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9A44B0">
      <w:pPr>
        <w:jc w:val="center"/>
        <w:rPr>
          <w:rFonts w:ascii="Times New Roman" w:hAnsi="Times New Roman" w:eastAsia="黑体"/>
          <w:kern w:val="0"/>
          <w:sz w:val="28"/>
          <w:szCs w:val="20"/>
          <w:lang w:val="zh-CN"/>
        </w:rPr>
      </w:pPr>
      <w:bookmarkStart w:id="0" w:name="_Toc152045511"/>
      <w:bookmarkStart w:id="1" w:name="_Toc144974479"/>
      <w:bookmarkStart w:id="2" w:name="_Toc152042287"/>
    </w:p>
    <w:p w14:paraId="63028219">
      <w:pPr>
        <w:jc w:val="center"/>
        <w:rPr>
          <w:rFonts w:ascii="Times New Roman" w:hAnsi="Times New Roman" w:eastAsia="黑体"/>
          <w:kern w:val="0"/>
          <w:sz w:val="28"/>
          <w:szCs w:val="20"/>
          <w:lang w:val="zh-CN"/>
        </w:rPr>
      </w:pPr>
    </w:p>
    <w:p w14:paraId="7C5CE1A0">
      <w:pPr>
        <w:jc w:val="center"/>
        <w:rPr>
          <w:rFonts w:ascii="Times New Roman" w:hAnsi="Times New Roman"/>
          <w:b/>
          <w:sz w:val="36"/>
        </w:rPr>
      </w:pPr>
      <w:r>
        <w:rPr>
          <w:rFonts w:ascii="Times New Roman" w:hAnsi="Times New Roman" w:eastAsia="黑体"/>
          <w:kern w:val="0"/>
          <w:sz w:val="28"/>
          <w:szCs w:val="20"/>
          <w:lang w:val="zh-CN"/>
        </w:rPr>
        <w:t xml:space="preserve">     </w:t>
      </w:r>
    </w:p>
    <w:p w14:paraId="43309C81">
      <w:pPr>
        <w:rPr>
          <w:rFonts w:ascii="Times New Roman" w:hAnsi="Times New Roman"/>
        </w:rPr>
      </w:pPr>
    </w:p>
    <w:p w14:paraId="64A5C7CD">
      <w:pPr>
        <w:rPr>
          <w:rFonts w:ascii="Times New Roman" w:hAnsi="Times New Roman"/>
        </w:rPr>
      </w:pPr>
    </w:p>
    <w:p w14:paraId="671A7EBE">
      <w:pPr>
        <w:tabs>
          <w:tab w:val="left" w:pos="420"/>
        </w:tabs>
        <w:spacing w:line="360" w:lineRule="auto"/>
        <w:jc w:val="center"/>
        <w:rPr>
          <w:rFonts w:hint="eastAsia" w:ascii="Times New Roman" w:hAnsi="Times New Roman"/>
          <w:b/>
          <w:bCs/>
          <w:color w:val="000000"/>
          <w:sz w:val="52"/>
          <w:szCs w:val="52"/>
          <w:lang w:eastAsia="zh-CN"/>
        </w:rPr>
      </w:pPr>
      <w:r>
        <w:rPr>
          <w:rFonts w:ascii="Times New Roman" w:hAnsi="Times New Roman"/>
          <w:b/>
          <w:bCs/>
          <w:color w:val="000000"/>
          <w:sz w:val="52"/>
        </w:rPr>
        <w:t>招标文件</w:t>
      </w:r>
      <w:r>
        <w:rPr>
          <w:rFonts w:hint="eastAsia" w:ascii="Times New Roman" w:hAnsi="Times New Roman"/>
          <w:b/>
          <w:bCs/>
          <w:color w:val="000000"/>
          <w:sz w:val="52"/>
          <w:lang w:eastAsia="zh-CN"/>
        </w:rPr>
        <w:t>（</w:t>
      </w:r>
      <w:r>
        <w:rPr>
          <w:rFonts w:ascii="Times New Roman" w:hAnsi="Times New Roman"/>
          <w:b/>
          <w:bCs/>
          <w:color w:val="000000"/>
          <w:sz w:val="52"/>
          <w:szCs w:val="52"/>
        </w:rPr>
        <w:t>服务类</w:t>
      </w:r>
      <w:r>
        <w:rPr>
          <w:rFonts w:hint="eastAsia" w:ascii="Times New Roman" w:hAnsi="Times New Roman"/>
          <w:b/>
          <w:bCs/>
          <w:color w:val="000000"/>
          <w:sz w:val="52"/>
          <w:szCs w:val="52"/>
          <w:lang w:eastAsia="zh-CN"/>
        </w:rPr>
        <w:t>）</w:t>
      </w:r>
    </w:p>
    <w:p w14:paraId="384A113C">
      <w:pPr>
        <w:tabs>
          <w:tab w:val="left" w:pos="420"/>
        </w:tabs>
        <w:spacing w:line="360" w:lineRule="auto"/>
        <w:ind w:firstLine="2610" w:firstLineChars="500"/>
        <w:jc w:val="both"/>
        <w:rPr>
          <w:rFonts w:ascii="Times New Roman" w:hAnsi="Times New Roman" w:eastAsia="宋体" w:cs="Times New Roman"/>
          <w:b/>
          <w:bCs/>
          <w:color w:val="000000"/>
          <w:sz w:val="52"/>
        </w:rPr>
      </w:pPr>
      <w:r>
        <w:rPr>
          <w:rFonts w:hint="eastAsia" w:ascii="Times New Roman" w:hAnsi="Times New Roman" w:eastAsia="宋体" w:cs="Times New Roman"/>
          <w:b/>
          <w:bCs/>
          <w:color w:val="000000"/>
          <w:sz w:val="52"/>
          <w:lang w:eastAsia="zh-CN"/>
        </w:rPr>
        <w:t>（</w:t>
      </w:r>
      <w:r>
        <w:rPr>
          <w:rFonts w:hint="eastAsia" w:ascii="Times New Roman" w:hAnsi="Times New Roman" w:eastAsia="宋体" w:cs="Times New Roman"/>
          <w:b/>
          <w:bCs/>
          <w:color w:val="000000"/>
          <w:sz w:val="52"/>
          <w:lang w:val="en-US" w:eastAsia="zh-CN"/>
        </w:rPr>
        <w:t>2026版</w:t>
      </w:r>
      <w:r>
        <w:rPr>
          <w:rFonts w:hint="eastAsia" w:ascii="Times New Roman" w:hAnsi="Times New Roman" w:eastAsia="宋体" w:cs="Times New Roman"/>
          <w:b/>
          <w:bCs/>
          <w:color w:val="000000"/>
          <w:sz w:val="52"/>
          <w:lang w:eastAsia="zh-CN"/>
        </w:rPr>
        <w:t>）</w:t>
      </w:r>
    </w:p>
    <w:p w14:paraId="65A2F2B2">
      <w:pPr>
        <w:spacing w:line="360" w:lineRule="auto"/>
        <w:jc w:val="center"/>
        <w:rPr>
          <w:rFonts w:ascii="Times New Roman" w:hAnsi="Times New Roman"/>
          <w:color w:val="000000"/>
        </w:rPr>
      </w:pPr>
    </w:p>
    <w:p w14:paraId="0D2B1D83">
      <w:pPr>
        <w:spacing w:line="500" w:lineRule="exact"/>
        <w:rPr>
          <w:rFonts w:ascii="Times New Roman" w:hAnsi="Times New Roman"/>
        </w:rPr>
      </w:pPr>
    </w:p>
    <w:p w14:paraId="1235CE7D">
      <w:pPr>
        <w:spacing w:line="500" w:lineRule="exact"/>
        <w:jc w:val="center"/>
        <w:rPr>
          <w:rFonts w:ascii="Times New Roman" w:hAnsi="Times New Roman"/>
          <w:color w:val="000000"/>
        </w:rPr>
      </w:pPr>
    </w:p>
    <w:p w14:paraId="5F3BEED5">
      <w:pPr>
        <w:keepNext/>
        <w:keepLines/>
        <w:spacing w:line="360" w:lineRule="auto"/>
        <w:jc w:val="center"/>
        <w:rPr>
          <w:rFonts w:ascii="Times New Roman" w:hAnsi="Times New Roman"/>
        </w:rPr>
      </w:pPr>
      <w:r>
        <w:rPr>
          <w:rFonts w:ascii="Times New Roman" w:hAnsi="Times New Roman"/>
          <w:color w:val="000000"/>
        </w:rPr>
        <w:drawing>
          <wp:inline distT="0" distB="0" distL="114300" distR="114300">
            <wp:extent cx="1565910" cy="1511935"/>
            <wp:effectExtent l="0" t="0" r="15240" b="1206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0"/>
                    <a:stretch>
                      <a:fillRect/>
                    </a:stretch>
                  </pic:blipFill>
                  <pic:spPr>
                    <a:xfrm>
                      <a:off x="0" y="0"/>
                      <a:ext cx="1565910" cy="1511935"/>
                    </a:xfrm>
                    <a:prstGeom prst="rect">
                      <a:avLst/>
                    </a:prstGeom>
                    <a:noFill/>
                    <a:ln>
                      <a:noFill/>
                    </a:ln>
                  </pic:spPr>
                </pic:pic>
              </a:graphicData>
            </a:graphic>
          </wp:inline>
        </w:drawing>
      </w:r>
    </w:p>
    <w:p w14:paraId="6F3FFB46">
      <w:pPr>
        <w:tabs>
          <w:tab w:val="left" w:pos="315"/>
          <w:tab w:val="left" w:pos="8820"/>
        </w:tabs>
        <w:spacing w:line="500" w:lineRule="exact"/>
        <w:ind w:right="267" w:rightChars="127"/>
        <w:jc w:val="center"/>
        <w:rPr>
          <w:rFonts w:ascii="Times New Roman" w:hAnsi="Times New Roman"/>
          <w:b/>
          <w:bCs/>
          <w:sz w:val="44"/>
          <w:szCs w:val="44"/>
        </w:rPr>
      </w:pPr>
    </w:p>
    <w:p w14:paraId="748448AE"/>
    <w:p w14:paraId="554C8CCD">
      <w:pPr>
        <w:tabs>
          <w:tab w:val="left" w:pos="315"/>
          <w:tab w:val="left" w:pos="8820"/>
        </w:tabs>
        <w:spacing w:line="500" w:lineRule="exact"/>
        <w:ind w:right="267" w:rightChars="127"/>
        <w:jc w:val="center"/>
        <w:rPr>
          <w:rFonts w:ascii="Times New Roman" w:hAnsi="Times New Roman"/>
          <w:b/>
          <w:bCs/>
          <w:sz w:val="44"/>
          <w:szCs w:val="44"/>
        </w:rPr>
      </w:pPr>
    </w:p>
    <w:p w14:paraId="7C75F8AA">
      <w:pPr>
        <w:tabs>
          <w:tab w:val="left" w:pos="315"/>
          <w:tab w:val="left" w:pos="8820"/>
        </w:tabs>
        <w:spacing w:line="500" w:lineRule="exact"/>
        <w:ind w:right="267" w:rightChars="127"/>
        <w:jc w:val="center"/>
        <w:rPr>
          <w:rFonts w:ascii="Times New Roman" w:hAnsi="Times New Roman"/>
          <w:b/>
          <w:bCs/>
          <w:sz w:val="44"/>
          <w:szCs w:val="44"/>
        </w:rPr>
      </w:pPr>
    </w:p>
    <w:p w14:paraId="423D2FE3">
      <w:pPr>
        <w:tabs>
          <w:tab w:val="left" w:pos="2410"/>
        </w:tabs>
        <w:autoSpaceDE w:val="0"/>
        <w:autoSpaceDN w:val="0"/>
        <w:adjustRightInd w:val="0"/>
        <w:snapToGrid w:val="0"/>
        <w:spacing w:line="500" w:lineRule="exact"/>
        <w:rPr>
          <w:rFonts w:ascii="Times New Roman" w:hAnsi="Times New Roman"/>
          <w:b/>
          <w:spacing w:val="20"/>
          <w:sz w:val="32"/>
          <w:szCs w:val="32"/>
        </w:rPr>
      </w:pPr>
      <w:r>
        <w:rPr>
          <w:rFonts w:ascii="Times New Roman" w:hAnsi="Times New Roman"/>
          <w:b/>
          <w:spacing w:val="20"/>
          <w:sz w:val="32"/>
          <w:szCs w:val="32"/>
        </w:rPr>
        <w:t>招标项目名称：</w:t>
      </w:r>
      <w:r>
        <w:rPr>
          <w:rFonts w:hint="eastAsia" w:ascii="Times New Roman" w:hAnsi="Times New Roman"/>
          <w:b/>
          <w:spacing w:val="20"/>
          <w:sz w:val="32"/>
          <w:szCs w:val="32"/>
          <w:u w:val="single"/>
          <w:lang w:val="en-US" w:eastAsia="zh-CN"/>
        </w:rPr>
        <w:t>合肥市妇女儿童活动中心2026年</w:t>
      </w:r>
      <w:r>
        <w:rPr>
          <w:rFonts w:hint="eastAsia" w:ascii="Times New Roman" w:hAnsi="Times New Roman"/>
          <w:b/>
          <w:spacing w:val="20"/>
          <w:sz w:val="32"/>
          <w:szCs w:val="32"/>
          <w:u w:val="single"/>
        </w:rPr>
        <w:t>消防维保服务</w:t>
      </w:r>
    </w:p>
    <w:p w14:paraId="60AB1175">
      <w:pPr>
        <w:tabs>
          <w:tab w:val="left" w:pos="2410"/>
        </w:tabs>
        <w:autoSpaceDE w:val="0"/>
        <w:autoSpaceDN w:val="0"/>
        <w:adjustRightInd w:val="0"/>
        <w:snapToGrid w:val="0"/>
        <w:spacing w:line="500" w:lineRule="exact"/>
        <w:rPr>
          <w:rFonts w:hint="default" w:ascii="Times New Roman" w:hAnsi="Times New Roman" w:eastAsia="宋体"/>
          <w:b/>
          <w:spacing w:val="20"/>
          <w:sz w:val="32"/>
          <w:szCs w:val="32"/>
          <w:lang w:val="en-US" w:eastAsia="zh-CN"/>
        </w:rPr>
      </w:pPr>
      <w:r>
        <w:rPr>
          <w:rFonts w:ascii="Times New Roman" w:hAnsi="Times New Roman"/>
          <w:b/>
          <w:spacing w:val="20"/>
          <w:sz w:val="32"/>
          <w:szCs w:val="32"/>
        </w:rPr>
        <w:t>招标项目编号：</w:t>
      </w:r>
      <w:r>
        <w:rPr>
          <w:rFonts w:hint="eastAsia" w:ascii="Times New Roman" w:hAnsi="Times New Roman"/>
          <w:b/>
          <w:spacing w:val="20"/>
          <w:sz w:val="32"/>
          <w:szCs w:val="32"/>
          <w:u w:val="single"/>
          <w:lang w:val="en-US" w:eastAsia="zh-CN"/>
        </w:rPr>
        <w:t>2</w:t>
      </w:r>
      <w:r>
        <w:rPr>
          <w:rFonts w:hint="eastAsia" w:ascii="Times New Roman" w:hAnsi="Times New Roman"/>
          <w:b/>
          <w:spacing w:val="20"/>
          <w:sz w:val="32"/>
          <w:szCs w:val="32"/>
          <w:u w:val="single"/>
          <w:lang w:val="en-US" w:eastAsia="zh-CN"/>
        </w:rPr>
        <w:t>026TYGSCG02</w:t>
      </w:r>
    </w:p>
    <w:p w14:paraId="59A994DB">
      <w:pPr>
        <w:tabs>
          <w:tab w:val="left" w:pos="2410"/>
        </w:tabs>
        <w:autoSpaceDE w:val="0"/>
        <w:autoSpaceDN w:val="0"/>
        <w:adjustRightInd w:val="0"/>
        <w:snapToGrid w:val="0"/>
        <w:spacing w:line="500" w:lineRule="exact"/>
        <w:rPr>
          <w:rFonts w:ascii="Times New Roman" w:hAnsi="Times New Roman"/>
          <w:b/>
          <w:spacing w:val="20"/>
          <w:sz w:val="32"/>
          <w:szCs w:val="32"/>
          <w:u w:val="single"/>
        </w:rPr>
      </w:pPr>
      <w:r>
        <w:rPr>
          <w:rFonts w:ascii="Times New Roman" w:hAnsi="Times New Roman"/>
          <w:b/>
          <w:spacing w:val="20"/>
          <w:sz w:val="32"/>
          <w:szCs w:val="32"/>
        </w:rPr>
        <w:t>招 标 人：</w:t>
      </w:r>
      <w:r>
        <w:rPr>
          <w:rFonts w:hint="eastAsia" w:ascii="Times New Roman" w:hAnsi="Times New Roman"/>
          <w:b/>
          <w:spacing w:val="20"/>
          <w:sz w:val="32"/>
          <w:szCs w:val="32"/>
          <w:u w:val="single"/>
          <w:lang w:val="en-US" w:eastAsia="zh-CN"/>
        </w:rPr>
        <w:t>合肥体育产业投资有限公司</w:t>
      </w:r>
    </w:p>
    <w:p w14:paraId="66F1DF6A">
      <w:pPr>
        <w:pStyle w:val="42"/>
        <w:ind w:firstLine="0" w:firstLineChars="0"/>
        <w:jc w:val="center"/>
        <w:rPr>
          <w:b/>
          <w:sz w:val="36"/>
          <w:u w:val="single"/>
        </w:rPr>
      </w:pPr>
    </w:p>
    <w:p w14:paraId="2EE2334D">
      <w:pPr>
        <w:pStyle w:val="42"/>
        <w:ind w:firstLine="0" w:firstLineChars="0"/>
        <w:jc w:val="center"/>
      </w:pPr>
      <w:r>
        <w:rPr>
          <w:b/>
          <w:sz w:val="36"/>
          <w:u w:val="single"/>
        </w:rPr>
        <w:t xml:space="preserve"> </w:t>
      </w:r>
      <w:r>
        <w:rPr>
          <w:rFonts w:hint="eastAsia"/>
          <w:b/>
          <w:sz w:val="36"/>
          <w:u w:val="single"/>
          <w:lang w:val="en-US" w:eastAsia="zh-CN"/>
        </w:rPr>
        <w:t>2026</w:t>
      </w:r>
      <w:r>
        <w:rPr>
          <w:b/>
          <w:sz w:val="36"/>
          <w:u w:val="single"/>
        </w:rPr>
        <w:t xml:space="preserve">  </w:t>
      </w:r>
      <w:r>
        <w:rPr>
          <w:b/>
          <w:sz w:val="36"/>
        </w:rPr>
        <w:t>年</w:t>
      </w:r>
      <w:r>
        <w:rPr>
          <w:b/>
          <w:sz w:val="36"/>
          <w:u w:val="single"/>
        </w:rPr>
        <w:t xml:space="preserve">  </w:t>
      </w:r>
      <w:r>
        <w:rPr>
          <w:rFonts w:hint="eastAsia"/>
          <w:b/>
          <w:sz w:val="36"/>
          <w:u w:val="single"/>
          <w:lang w:val="en-US" w:eastAsia="zh-CN"/>
        </w:rPr>
        <w:t>1</w:t>
      </w:r>
      <w:r>
        <w:rPr>
          <w:b/>
          <w:sz w:val="36"/>
          <w:u w:val="single"/>
        </w:rPr>
        <w:t xml:space="preserve">  </w:t>
      </w:r>
      <w:r>
        <w:rPr>
          <w:b/>
          <w:sz w:val="36"/>
        </w:rPr>
        <w:t>月</w:t>
      </w:r>
    </w:p>
    <w:p w14:paraId="7F401E45">
      <w:pPr>
        <w:pStyle w:val="102"/>
        <w:jc w:val="center"/>
        <w:rPr>
          <w:rFonts w:ascii="Times New Roman" w:hAnsi="Times New Roman" w:eastAsia="黑体"/>
          <w:b w:val="0"/>
          <w:color w:val="auto"/>
          <w:lang w:val="zh-CN"/>
        </w:rPr>
        <w:sectPr>
          <w:headerReference r:id="rId4"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bookmarkStart w:id="3" w:name="_Toc23337"/>
      <w:bookmarkStart w:id="4" w:name="_Toc23093"/>
      <w:bookmarkStart w:id="5" w:name="_Toc13607"/>
    </w:p>
    <w:p w14:paraId="0DF0964E">
      <w:pPr>
        <w:rPr>
          <w:lang w:val="zh-CN"/>
        </w:rPr>
      </w:pPr>
    </w:p>
    <w:p w14:paraId="73348632">
      <w:pPr>
        <w:pStyle w:val="102"/>
        <w:jc w:val="center"/>
        <w:rPr>
          <w:rFonts w:ascii="Times New Roman" w:hAnsi="Times New Roman" w:eastAsia="黑体"/>
          <w:b w:val="0"/>
          <w:color w:val="auto"/>
        </w:rPr>
      </w:pPr>
      <w:r>
        <w:rPr>
          <w:rFonts w:ascii="Times New Roman" w:hAnsi="Times New Roman" w:eastAsia="黑体"/>
          <w:b w:val="0"/>
          <w:color w:val="auto"/>
          <w:lang w:val="zh-CN"/>
        </w:rPr>
        <w:t>目  录</w:t>
      </w:r>
      <w:bookmarkEnd w:id="3"/>
      <w:bookmarkEnd w:id="4"/>
      <w:bookmarkEnd w:id="5"/>
    </w:p>
    <w:p w14:paraId="4592E480">
      <w:pPr>
        <w:pStyle w:val="28"/>
        <w:tabs>
          <w:tab w:val="right" w:leader="dot" w:pos="8630"/>
        </w:tabs>
        <w:spacing w:line="360" w:lineRule="auto"/>
        <w:jc w:val="center"/>
        <w:rPr>
          <w:rFonts w:ascii="Times New Roman" w:hAnsi="Times New Roman" w:eastAsia="黑体"/>
          <w:sz w:val="20"/>
          <w:szCs w:val="20"/>
        </w:rPr>
      </w:pPr>
    </w:p>
    <w:p w14:paraId="5CF5DA93">
      <w:pPr>
        <w:pStyle w:val="28"/>
        <w:tabs>
          <w:tab w:val="right" w:leader="middleDot" w:pos="8640"/>
        </w:tabs>
      </w:pPr>
      <w:r>
        <w:rPr>
          <w:rFonts w:ascii="Times New Roman" w:hAnsi="Times New Roman" w:eastAsia="黑体"/>
          <w:szCs w:val="21"/>
        </w:rPr>
        <w:fldChar w:fldCharType="begin"/>
      </w:r>
      <w:r>
        <w:rPr>
          <w:rFonts w:ascii="Times New Roman" w:hAnsi="Times New Roman" w:eastAsia="黑体"/>
          <w:szCs w:val="21"/>
        </w:rPr>
        <w:instrText xml:space="preserve"> TOC \o "2-2" \h \z \t "标题 1,1,样式 标题 1 + 黑体 三号 非加粗 居中 段前: 6 磅 段后: 6 磅 行距: 固定值 20 磅,1" </w:instrText>
      </w:r>
      <w:r>
        <w:rPr>
          <w:rFonts w:ascii="Times New Roman" w:hAnsi="Times New Roman" w:eastAsia="黑体"/>
          <w:szCs w:val="21"/>
        </w:rPr>
        <w:fldChar w:fldCharType="separate"/>
      </w:r>
      <w:r>
        <w:rPr>
          <w:rFonts w:ascii="Times New Roman" w:hAnsi="Times New Roman" w:eastAsia="黑体"/>
          <w:szCs w:val="21"/>
        </w:rPr>
        <w:fldChar w:fldCharType="begin"/>
      </w:r>
      <w:r>
        <w:rPr>
          <w:rFonts w:ascii="Times New Roman" w:hAnsi="Times New Roman" w:eastAsia="黑体"/>
          <w:szCs w:val="21"/>
        </w:rPr>
        <w:instrText xml:space="preserve"> HYPERLINK \l _Toc18801 </w:instrText>
      </w:r>
      <w:r>
        <w:rPr>
          <w:rFonts w:ascii="Times New Roman" w:hAnsi="Times New Roman" w:eastAsia="黑体"/>
          <w:szCs w:val="21"/>
        </w:rPr>
        <w:fldChar w:fldCharType="separate"/>
      </w:r>
      <w:r>
        <w:rPr>
          <w:rFonts w:eastAsia="黑体"/>
          <w:bCs/>
          <w:szCs w:val="32"/>
        </w:rPr>
        <w:t>第一章 招标公告</w:t>
      </w:r>
      <w:r>
        <w:tab/>
      </w:r>
      <w:r>
        <w:fldChar w:fldCharType="begin"/>
      </w:r>
      <w:r>
        <w:instrText xml:space="preserve"> PAGEREF _Toc18801 \h </w:instrText>
      </w:r>
      <w:r>
        <w:fldChar w:fldCharType="separate"/>
      </w:r>
      <w:r>
        <w:t>1</w:t>
      </w:r>
      <w:r>
        <w:fldChar w:fldCharType="end"/>
      </w:r>
      <w:r>
        <w:rPr>
          <w:rFonts w:ascii="Times New Roman" w:hAnsi="Times New Roman" w:eastAsia="黑体"/>
          <w:szCs w:val="21"/>
        </w:rPr>
        <w:fldChar w:fldCharType="end"/>
      </w:r>
    </w:p>
    <w:p w14:paraId="544C93C3">
      <w:pPr>
        <w:pStyle w:val="28"/>
        <w:tabs>
          <w:tab w:val="right" w:leader="middle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_Toc3556 </w:instrText>
      </w:r>
      <w:r>
        <w:rPr>
          <w:rFonts w:ascii="Times New Roman" w:hAnsi="Times New Roman" w:eastAsia="黑体"/>
          <w:szCs w:val="21"/>
        </w:rPr>
        <w:fldChar w:fldCharType="separate"/>
      </w:r>
      <w:r>
        <w:rPr>
          <w:rFonts w:hint="eastAsia" w:ascii="黑体" w:hAnsi="黑体" w:eastAsia="黑体" w:cs="黑体"/>
          <w:szCs w:val="32"/>
        </w:rPr>
        <w:t>第二章  投标人须知</w:t>
      </w:r>
      <w:r>
        <w:tab/>
      </w:r>
      <w:r>
        <w:fldChar w:fldCharType="begin"/>
      </w:r>
      <w:r>
        <w:instrText xml:space="preserve"> PAGEREF _Toc3556 \h </w:instrText>
      </w:r>
      <w:r>
        <w:fldChar w:fldCharType="separate"/>
      </w:r>
      <w:r>
        <w:t>4</w:t>
      </w:r>
      <w:r>
        <w:fldChar w:fldCharType="end"/>
      </w:r>
      <w:r>
        <w:rPr>
          <w:rFonts w:ascii="Times New Roman" w:hAnsi="Times New Roman" w:eastAsia="黑体"/>
          <w:szCs w:val="21"/>
        </w:rPr>
        <w:fldChar w:fldCharType="end"/>
      </w:r>
    </w:p>
    <w:p w14:paraId="7D51110B">
      <w:pPr>
        <w:pStyle w:val="28"/>
        <w:tabs>
          <w:tab w:val="right" w:leader="middle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_Toc141 </w:instrText>
      </w:r>
      <w:r>
        <w:rPr>
          <w:rFonts w:ascii="Times New Roman" w:hAnsi="Times New Roman" w:eastAsia="黑体"/>
          <w:szCs w:val="21"/>
        </w:rPr>
        <w:fldChar w:fldCharType="separate"/>
      </w:r>
      <w:r>
        <w:rPr>
          <w:rFonts w:eastAsia="黑体"/>
          <w:bCs/>
          <w:szCs w:val="32"/>
        </w:rPr>
        <w:t>第三章</w:t>
      </w:r>
      <w:r>
        <w:rPr>
          <w:rFonts w:hint="eastAsia" w:eastAsia="黑体"/>
          <w:bCs/>
          <w:szCs w:val="32"/>
        </w:rPr>
        <w:t xml:space="preserve"> </w:t>
      </w:r>
      <w:r>
        <w:rPr>
          <w:rFonts w:eastAsia="黑体"/>
          <w:bCs/>
          <w:szCs w:val="32"/>
        </w:rPr>
        <w:t>评标办法</w:t>
      </w:r>
      <w:r>
        <w:rPr>
          <w:rFonts w:eastAsia="黑体"/>
        </w:rPr>
        <w:t xml:space="preserve"> </w:t>
      </w:r>
      <w:r>
        <w:rPr>
          <w:rFonts w:eastAsia="黑体"/>
          <w:szCs w:val="32"/>
        </w:rPr>
        <w:t>（第一种：综合评估法（有效价格））</w:t>
      </w:r>
      <w:r>
        <w:tab/>
      </w:r>
      <w:r>
        <w:fldChar w:fldCharType="begin"/>
      </w:r>
      <w:r>
        <w:instrText xml:space="preserve"> PAGEREF _Toc141 \h </w:instrText>
      </w:r>
      <w:r>
        <w:fldChar w:fldCharType="separate"/>
      </w:r>
      <w:r>
        <w:t>31</w:t>
      </w:r>
      <w:r>
        <w:fldChar w:fldCharType="end"/>
      </w:r>
      <w:r>
        <w:rPr>
          <w:rFonts w:ascii="Times New Roman" w:hAnsi="Times New Roman" w:eastAsia="黑体"/>
          <w:szCs w:val="21"/>
        </w:rPr>
        <w:fldChar w:fldCharType="end"/>
      </w:r>
    </w:p>
    <w:p w14:paraId="1AEBCD40">
      <w:pPr>
        <w:pStyle w:val="28"/>
        <w:tabs>
          <w:tab w:val="right" w:leader="middle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_Toc8662 </w:instrText>
      </w:r>
      <w:r>
        <w:rPr>
          <w:rFonts w:ascii="Times New Roman" w:hAnsi="Times New Roman" w:eastAsia="黑体"/>
          <w:szCs w:val="21"/>
        </w:rPr>
        <w:fldChar w:fldCharType="separate"/>
      </w:r>
      <w:r>
        <w:rPr>
          <w:rFonts w:hint="eastAsia" w:ascii="黑体" w:hAnsi="黑体" w:eastAsia="黑体" w:cs="黑体"/>
          <w:szCs w:val="32"/>
        </w:rPr>
        <w:t>第四章  合 同</w:t>
      </w:r>
      <w:r>
        <w:tab/>
      </w:r>
      <w:r>
        <w:fldChar w:fldCharType="begin"/>
      </w:r>
      <w:r>
        <w:instrText xml:space="preserve"> PAGEREF _Toc8662 \h </w:instrText>
      </w:r>
      <w:r>
        <w:fldChar w:fldCharType="separate"/>
      </w:r>
      <w:r>
        <w:t>44</w:t>
      </w:r>
      <w:r>
        <w:fldChar w:fldCharType="end"/>
      </w:r>
      <w:r>
        <w:rPr>
          <w:rFonts w:ascii="Times New Roman" w:hAnsi="Times New Roman" w:eastAsia="黑体"/>
          <w:szCs w:val="21"/>
        </w:rPr>
        <w:fldChar w:fldCharType="end"/>
      </w:r>
    </w:p>
    <w:p w14:paraId="01154725">
      <w:pPr>
        <w:pStyle w:val="28"/>
        <w:tabs>
          <w:tab w:val="right" w:leader="middle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_Toc24183 </w:instrText>
      </w:r>
      <w:r>
        <w:rPr>
          <w:rFonts w:ascii="Times New Roman" w:hAnsi="Times New Roman" w:eastAsia="黑体"/>
          <w:szCs w:val="21"/>
        </w:rPr>
        <w:fldChar w:fldCharType="separate"/>
      </w:r>
      <w:r>
        <w:rPr>
          <w:rFonts w:eastAsia="黑体"/>
          <w:bCs/>
          <w:szCs w:val="32"/>
        </w:rPr>
        <w:t xml:space="preserve">第五章  </w:t>
      </w:r>
      <w:r>
        <w:rPr>
          <w:rFonts w:hint="eastAsia" w:eastAsia="黑体"/>
          <w:bCs/>
          <w:szCs w:val="32"/>
        </w:rPr>
        <w:t>招标</w:t>
      </w:r>
      <w:r>
        <w:rPr>
          <w:rFonts w:eastAsia="黑体"/>
          <w:bCs/>
          <w:szCs w:val="32"/>
        </w:rPr>
        <w:t>人要求</w:t>
      </w:r>
      <w:r>
        <w:tab/>
      </w:r>
      <w:r>
        <w:fldChar w:fldCharType="begin"/>
      </w:r>
      <w:r>
        <w:instrText xml:space="preserve"> PAGEREF _Toc24183 \h </w:instrText>
      </w:r>
      <w:r>
        <w:fldChar w:fldCharType="separate"/>
      </w:r>
      <w:r>
        <w:t>52</w:t>
      </w:r>
      <w:r>
        <w:fldChar w:fldCharType="end"/>
      </w:r>
      <w:r>
        <w:rPr>
          <w:rFonts w:ascii="Times New Roman" w:hAnsi="Times New Roman" w:eastAsia="黑体"/>
          <w:szCs w:val="21"/>
        </w:rPr>
        <w:fldChar w:fldCharType="end"/>
      </w:r>
    </w:p>
    <w:p w14:paraId="28DD5BB5">
      <w:pPr>
        <w:spacing w:line="480" w:lineRule="auto"/>
        <w:rPr>
          <w:rFonts w:ascii="Times New Roman" w:hAnsi="Times New Roman" w:eastAsia="黑体"/>
          <w:szCs w:val="21"/>
        </w:rPr>
      </w:pPr>
      <w:r>
        <w:rPr>
          <w:rFonts w:ascii="Times New Roman" w:hAnsi="Times New Roman" w:eastAsia="黑体"/>
          <w:szCs w:val="21"/>
        </w:rPr>
        <w:fldChar w:fldCharType="end"/>
      </w:r>
    </w:p>
    <w:p w14:paraId="2028DEFE">
      <w:pPr>
        <w:spacing w:line="480" w:lineRule="auto"/>
        <w:rPr>
          <w:rFonts w:ascii="Times New Roman" w:hAnsi="Times New Roman"/>
        </w:rPr>
        <w:sectPr>
          <w:footerReference r:id="rId5"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p>
    <w:p w14:paraId="60BE6A96">
      <w:pPr>
        <w:pStyle w:val="2"/>
        <w:spacing w:before="240" w:beforeLines="100" w:after="240" w:afterLines="100" w:line="500" w:lineRule="exact"/>
        <w:jc w:val="center"/>
        <w:rPr>
          <w:rFonts w:eastAsia="黑体"/>
          <w:bCs/>
          <w:sz w:val="32"/>
          <w:szCs w:val="32"/>
        </w:rPr>
        <w:sectPr>
          <w:footerReference r:id="rId6" w:type="default"/>
          <w:footnotePr>
            <w:numFmt w:val="decimalEnclosedCircleChinese"/>
            <w:numRestart w:val="eachPage"/>
          </w:footnotePr>
          <w:type w:val="continuous"/>
          <w:pgSz w:w="12240" w:h="15840"/>
          <w:pgMar w:top="1440" w:right="1800" w:bottom="1440" w:left="1800" w:header="850" w:footer="720" w:gutter="0"/>
          <w:cols w:space="720" w:num="1"/>
          <w:docGrid w:linePitch="286" w:charSpace="0"/>
        </w:sectPr>
      </w:pPr>
      <w:bookmarkStart w:id="6" w:name="_Toc18801"/>
      <w:bookmarkStart w:id="7" w:name="_Toc12462186"/>
    </w:p>
    <w:p w14:paraId="08F4534A">
      <w:pPr>
        <w:pStyle w:val="2"/>
        <w:spacing w:before="240" w:beforeLines="100" w:after="240" w:afterLines="100" w:line="500" w:lineRule="exact"/>
        <w:jc w:val="center"/>
        <w:rPr>
          <w:rFonts w:eastAsia="黑体"/>
          <w:b w:val="0"/>
          <w:sz w:val="32"/>
          <w:szCs w:val="32"/>
        </w:rPr>
      </w:pPr>
      <w:r>
        <w:rPr>
          <w:rFonts w:eastAsia="黑体"/>
          <w:bCs/>
          <w:sz w:val="32"/>
          <w:szCs w:val="32"/>
        </w:rPr>
        <w:t>第一章 招标公告</w:t>
      </w:r>
      <w:bookmarkEnd w:id="6"/>
      <w:bookmarkEnd w:id="7"/>
    </w:p>
    <w:p w14:paraId="4827E216">
      <w:pPr>
        <w:keepNext/>
        <w:keepLines/>
        <w:spacing w:line="500" w:lineRule="exact"/>
        <w:jc w:val="center"/>
        <w:rPr>
          <w:rFonts w:ascii="Times New Roman" w:hAnsi="Times New Roman"/>
          <w:bCs/>
          <w:sz w:val="28"/>
          <w:szCs w:val="21"/>
        </w:rPr>
      </w:pPr>
      <w:bookmarkStart w:id="8" w:name="_Toc22082"/>
      <w:bookmarkStart w:id="9" w:name="_Toc29350"/>
      <w:r>
        <w:rPr>
          <w:rFonts w:hint="eastAsia" w:ascii="Times New Roman" w:hAnsi="Times New Roman" w:eastAsia="黑体"/>
          <w:bCs/>
          <w:sz w:val="28"/>
          <w:szCs w:val="21"/>
          <w:lang w:val="en-US" w:eastAsia="zh-CN"/>
        </w:rPr>
        <w:t>合肥市妇女儿童活动中心2026年度</w:t>
      </w:r>
      <w:r>
        <w:rPr>
          <w:rFonts w:hint="eastAsia" w:ascii="Times New Roman" w:hAnsi="Times New Roman" w:eastAsia="黑体"/>
          <w:bCs/>
          <w:sz w:val="28"/>
          <w:szCs w:val="21"/>
        </w:rPr>
        <w:t>消防维保服务</w:t>
      </w:r>
      <w:r>
        <w:rPr>
          <w:rFonts w:hint="eastAsia" w:ascii="Times New Roman" w:hAnsi="Times New Roman" w:eastAsia="黑体"/>
          <w:bCs/>
          <w:sz w:val="28"/>
          <w:szCs w:val="21"/>
          <w:lang w:val="en-US" w:eastAsia="zh-CN"/>
        </w:rPr>
        <w:t>项目</w:t>
      </w:r>
      <w:r>
        <w:rPr>
          <w:rFonts w:ascii="Times New Roman" w:hAnsi="Times New Roman" w:eastAsia="黑体"/>
          <w:bCs/>
          <w:sz w:val="28"/>
          <w:szCs w:val="21"/>
        </w:rPr>
        <w:t>招标公告</w:t>
      </w:r>
      <w:bookmarkEnd w:id="8"/>
      <w:bookmarkEnd w:id="9"/>
    </w:p>
    <w:p w14:paraId="2C3E283C">
      <w:pPr>
        <w:spacing w:line="500" w:lineRule="exact"/>
        <w:ind w:firstLine="420" w:firstLineChars="200"/>
        <w:rPr>
          <w:bCs/>
          <w:color w:val="000000"/>
        </w:rPr>
      </w:pPr>
      <w:r>
        <w:rPr>
          <w:rFonts w:hint="eastAsia"/>
          <w:bCs/>
          <w:color w:val="000000"/>
          <w:u w:val="single"/>
          <w:lang w:val="en-US" w:eastAsia="zh-CN"/>
        </w:rPr>
        <w:t>合肥体育产业投资有限公司</w:t>
      </w:r>
      <w:r>
        <w:rPr>
          <w:rFonts w:hint="eastAsia"/>
          <w:bCs/>
          <w:color w:val="000000"/>
        </w:rPr>
        <w:t>（简称“招标人”）</w:t>
      </w:r>
      <w:r>
        <w:rPr>
          <w:bCs/>
          <w:color w:val="000000"/>
        </w:rPr>
        <w:t>现对</w:t>
      </w:r>
      <w:r>
        <w:rPr>
          <w:rFonts w:hint="eastAsia"/>
          <w:bCs/>
          <w:color w:val="000000"/>
          <w:u w:val="single"/>
          <w:lang w:val="en-US" w:eastAsia="zh-CN"/>
        </w:rPr>
        <w:t>合肥市妇女儿童活动中心2026年</w:t>
      </w:r>
      <w:r>
        <w:rPr>
          <w:rFonts w:hint="eastAsia"/>
          <w:bCs/>
          <w:color w:val="000000"/>
          <w:u w:val="single"/>
        </w:rPr>
        <w:t>消防维保服务</w:t>
      </w:r>
      <w:r>
        <w:rPr>
          <w:bCs/>
          <w:color w:val="000000"/>
        </w:rPr>
        <w:t>进行公开招标，欢迎具备条件的投标人参加投标。</w:t>
      </w:r>
    </w:p>
    <w:p w14:paraId="79DD30FB">
      <w:pPr>
        <w:spacing w:line="500" w:lineRule="exact"/>
        <w:rPr>
          <w:rFonts w:ascii="Times New Roman" w:hAnsi="Times New Roman" w:eastAsia="黑体"/>
          <w:sz w:val="24"/>
        </w:rPr>
      </w:pPr>
      <w:r>
        <w:rPr>
          <w:rFonts w:ascii="Times New Roman" w:hAnsi="Times New Roman" w:eastAsia="黑体"/>
          <w:sz w:val="24"/>
        </w:rPr>
        <w:t>1. 项目概况与招标范围</w:t>
      </w:r>
    </w:p>
    <w:p w14:paraId="639A1F9E">
      <w:pPr>
        <w:spacing w:line="500" w:lineRule="exact"/>
        <w:ind w:firstLine="420" w:firstLineChars="200"/>
        <w:rPr>
          <w:rFonts w:ascii="Times New Roman" w:hAnsi="Times New Roman"/>
          <w:szCs w:val="24"/>
        </w:rPr>
      </w:pPr>
      <w:r>
        <w:rPr>
          <w:rFonts w:ascii="Times New Roman" w:hAnsi="Times New Roman"/>
          <w:bCs/>
          <w:snapToGrid w:val="0"/>
          <w:szCs w:val="24"/>
        </w:rPr>
        <w:t>1.1 项目名称：</w:t>
      </w:r>
      <w:r>
        <w:rPr>
          <w:rFonts w:hint="eastAsia" w:ascii="Times New Roman" w:hAnsi="Times New Roman"/>
          <w:bCs/>
          <w:snapToGrid w:val="0"/>
          <w:szCs w:val="24"/>
          <w:u w:val="single"/>
          <w:lang w:val="en-US" w:eastAsia="zh-CN"/>
        </w:rPr>
        <w:t>合肥市妇女儿童活动中心2026年度</w:t>
      </w:r>
      <w:r>
        <w:rPr>
          <w:rFonts w:hint="eastAsia" w:ascii="Times New Roman" w:hAnsi="Times New Roman"/>
          <w:bCs/>
          <w:snapToGrid w:val="0"/>
          <w:szCs w:val="24"/>
          <w:u w:val="single"/>
        </w:rPr>
        <w:t>消防维保服务</w:t>
      </w:r>
    </w:p>
    <w:p w14:paraId="2784E51A">
      <w:pPr>
        <w:spacing w:line="500" w:lineRule="exact"/>
        <w:ind w:firstLine="420" w:firstLineChars="200"/>
        <w:rPr>
          <w:rFonts w:ascii="Times New Roman" w:hAnsi="Times New Roman"/>
          <w:bCs/>
          <w:snapToGrid w:val="0"/>
          <w:szCs w:val="24"/>
          <w:u w:val="single"/>
        </w:rPr>
      </w:pPr>
      <w:r>
        <w:rPr>
          <w:rFonts w:ascii="Times New Roman" w:hAnsi="Times New Roman"/>
          <w:bCs/>
          <w:snapToGrid w:val="0"/>
          <w:szCs w:val="24"/>
        </w:rPr>
        <w:t>1.2 项目编号：</w:t>
      </w:r>
      <w:r>
        <w:rPr>
          <w:rFonts w:hint="eastAsia" w:ascii="Times New Roman" w:hAnsi="Times New Roman"/>
          <w:bCs/>
          <w:snapToGrid w:val="0"/>
          <w:szCs w:val="24"/>
          <w:u w:val="single"/>
          <w:lang w:val="en-US" w:eastAsia="zh-CN"/>
        </w:rPr>
        <w:t>2026TYGSCG02</w:t>
      </w:r>
      <w:r>
        <w:rPr>
          <w:rFonts w:ascii="Times New Roman" w:hAnsi="Times New Roman"/>
          <w:bCs/>
          <w:snapToGrid w:val="0"/>
          <w:szCs w:val="24"/>
        </w:rPr>
        <w:t xml:space="preserve"> </w:t>
      </w:r>
    </w:p>
    <w:p w14:paraId="068F9240">
      <w:pPr>
        <w:spacing w:line="500" w:lineRule="exact"/>
        <w:ind w:firstLine="420" w:firstLineChars="200"/>
        <w:rPr>
          <w:rFonts w:ascii="Times New Roman" w:hAnsi="Times New Roman"/>
          <w:u w:val="single"/>
        </w:rPr>
      </w:pPr>
      <w:r>
        <w:rPr>
          <w:rFonts w:ascii="Times New Roman" w:hAnsi="Times New Roman"/>
          <w:bCs/>
          <w:snapToGrid w:val="0"/>
          <w:szCs w:val="24"/>
        </w:rPr>
        <w:t xml:space="preserve">1.3 </w:t>
      </w:r>
      <w:r>
        <w:rPr>
          <w:rFonts w:ascii="Times New Roman" w:hAnsi="Times New Roman"/>
          <w:bCs/>
          <w:snapToGrid w:val="0"/>
          <w:kern w:val="0"/>
          <w:szCs w:val="21"/>
        </w:rPr>
        <w:t>标段划分：</w:t>
      </w:r>
      <w:r>
        <w:rPr>
          <w:rFonts w:ascii="Times New Roman" w:hAnsi="Times New Roman"/>
          <w:szCs w:val="24"/>
          <w:u w:val="single"/>
        </w:rPr>
        <w:t xml:space="preserve"> </w:t>
      </w:r>
      <w:r>
        <w:rPr>
          <w:rFonts w:hint="eastAsia" w:ascii="Times New Roman" w:hAnsi="Times New Roman"/>
          <w:szCs w:val="24"/>
          <w:u w:val="single"/>
          <w:lang w:val="en-US" w:eastAsia="zh-CN"/>
        </w:rPr>
        <w:t>本项目共一个标段</w:t>
      </w:r>
      <w:r>
        <w:rPr>
          <w:rFonts w:ascii="Times New Roman" w:hAnsi="Times New Roman"/>
          <w:szCs w:val="24"/>
          <w:u w:val="single"/>
        </w:rPr>
        <w:t xml:space="preserve"> </w:t>
      </w:r>
    </w:p>
    <w:p w14:paraId="5B9A1693">
      <w:pPr>
        <w:spacing w:line="500" w:lineRule="exact"/>
        <w:ind w:firstLine="420" w:firstLineChars="200"/>
        <w:rPr>
          <w:rFonts w:hint="default" w:ascii="Times New Roman" w:hAnsi="Times New Roman" w:eastAsia="宋体"/>
          <w:bCs/>
          <w:snapToGrid w:val="0"/>
          <w:kern w:val="0"/>
          <w:szCs w:val="21"/>
          <w:lang w:val="en-US" w:eastAsia="zh-CN"/>
        </w:rPr>
      </w:pPr>
      <w:r>
        <w:rPr>
          <w:rFonts w:ascii="Times New Roman" w:hAnsi="Times New Roman"/>
          <w:bCs/>
          <w:snapToGrid w:val="0"/>
          <w:kern w:val="0"/>
          <w:szCs w:val="21"/>
        </w:rPr>
        <w:t>1.4 招标项目标段编号：</w:t>
      </w:r>
      <w:r>
        <w:rPr>
          <w:rFonts w:hint="eastAsia" w:ascii="Times New Roman" w:hAnsi="Times New Roman" w:eastAsia="宋体" w:cs="Times New Roman"/>
          <w:szCs w:val="24"/>
          <w:u w:val="single"/>
          <w:lang w:val="en-US" w:eastAsia="zh-CN"/>
        </w:rPr>
        <w:t xml:space="preserve">    /     </w:t>
      </w:r>
    </w:p>
    <w:p w14:paraId="733E587E">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1.5 招标人：</w:t>
      </w:r>
      <w:r>
        <w:rPr>
          <w:rFonts w:hint="eastAsia" w:ascii="Times New Roman" w:hAnsi="Times New Roman"/>
          <w:bCs/>
          <w:snapToGrid w:val="0"/>
          <w:szCs w:val="24"/>
          <w:u w:val="single"/>
          <w:lang w:val="en-US" w:eastAsia="zh-CN"/>
        </w:rPr>
        <w:t xml:space="preserve">合肥体育产业投资有限公司 </w:t>
      </w:r>
    </w:p>
    <w:p w14:paraId="0FB429A1">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1.6 招标范围：</w:t>
      </w:r>
      <w:r>
        <w:rPr>
          <w:rFonts w:hint="eastAsia" w:ascii="Times New Roman" w:hAnsi="Times New Roman"/>
          <w:bCs/>
          <w:snapToGrid w:val="0"/>
          <w:szCs w:val="24"/>
          <w:u w:val="single"/>
          <w:lang w:val="en-US" w:eastAsia="zh-CN"/>
        </w:rPr>
        <w:t>合肥市妇女儿童活动中心所有消防设施进行维保服务，服务期限为10个月（2026年2月-11月）</w:t>
      </w:r>
      <w:r>
        <w:rPr>
          <w:rFonts w:ascii="Times New Roman" w:hAnsi="Times New Roman"/>
          <w:bCs/>
          <w:snapToGrid w:val="0"/>
          <w:szCs w:val="24"/>
          <w:u w:val="single"/>
        </w:rPr>
        <w:t xml:space="preserve"> </w:t>
      </w:r>
    </w:p>
    <w:p w14:paraId="5FA5A772">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1.7 项目概算：</w:t>
      </w:r>
      <w:r>
        <w:rPr>
          <w:rFonts w:hint="eastAsia" w:ascii="Times New Roman" w:hAnsi="Times New Roman"/>
          <w:bCs/>
          <w:snapToGrid w:val="0"/>
          <w:szCs w:val="24"/>
          <w:u w:val="single"/>
          <w:lang w:val="en-US" w:eastAsia="zh-CN"/>
        </w:rPr>
        <w:t xml:space="preserve">    </w:t>
      </w:r>
      <w:r>
        <w:rPr>
          <w:rFonts w:hint="eastAsia" w:ascii="Times New Roman" w:hAnsi="Times New Roman"/>
          <w:bCs/>
          <w:snapToGrid w:val="0"/>
          <w:szCs w:val="24"/>
          <w:highlight w:val="none"/>
          <w:u w:val="single"/>
          <w:lang w:val="en-US" w:eastAsia="zh-CN"/>
        </w:rPr>
        <w:t>7万元</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3E64AAC3">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1.8 资金来源：</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自筹</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4DA131CF">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1.9 项目性质：</w:t>
      </w:r>
      <w:r>
        <w:rPr>
          <w:rFonts w:ascii="Times New Roman" w:hAnsi="Times New Roman"/>
          <w:bCs/>
          <w:snapToGrid w:val="0"/>
          <w:szCs w:val="24"/>
          <w:u w:val="single"/>
        </w:rPr>
        <w:t xml:space="preserve">  服务类         </w:t>
      </w:r>
      <w:r>
        <w:rPr>
          <w:rFonts w:ascii="Times New Roman" w:hAnsi="Times New Roman"/>
          <w:bCs/>
          <w:snapToGrid w:val="0"/>
          <w:szCs w:val="24"/>
        </w:rPr>
        <w:t xml:space="preserve">                                                                </w:t>
      </w:r>
    </w:p>
    <w:p w14:paraId="1E95BB9E">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1.1</w:t>
      </w:r>
      <w:r>
        <w:rPr>
          <w:rFonts w:hint="eastAsia" w:ascii="Times New Roman" w:hAnsi="Times New Roman"/>
          <w:bCs/>
          <w:snapToGrid w:val="0"/>
          <w:szCs w:val="24"/>
        </w:rPr>
        <w:t>0</w:t>
      </w:r>
      <w:r>
        <w:rPr>
          <w:rFonts w:ascii="Times New Roman" w:hAnsi="Times New Roman"/>
          <w:bCs/>
          <w:snapToGrid w:val="0"/>
          <w:szCs w:val="24"/>
        </w:rPr>
        <w:t xml:space="preserve"> 其他： </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 xml:space="preserve"> </w:t>
      </w:r>
      <w:r>
        <w:rPr>
          <w:rFonts w:ascii="Times New Roman" w:hAnsi="Times New Roman"/>
          <w:bCs/>
          <w:snapToGrid w:val="0"/>
          <w:szCs w:val="24"/>
        </w:rPr>
        <w:t xml:space="preserve">    </w:t>
      </w:r>
      <w:r>
        <w:rPr>
          <w:rFonts w:ascii="Times New Roman" w:hAnsi="Times New Roman"/>
          <w:bCs/>
          <w:snapToGrid w:val="0"/>
          <w:szCs w:val="24"/>
        </w:rPr>
        <w:t xml:space="preserve">                                   </w:t>
      </w:r>
    </w:p>
    <w:p w14:paraId="74A78565">
      <w:pPr>
        <w:spacing w:line="500" w:lineRule="exact"/>
        <w:rPr>
          <w:rFonts w:ascii="Times New Roman" w:hAnsi="Times New Roman" w:eastAsia="黑体"/>
          <w:sz w:val="24"/>
        </w:rPr>
      </w:pPr>
      <w:r>
        <w:rPr>
          <w:rFonts w:ascii="Times New Roman" w:hAnsi="Times New Roman" w:eastAsia="黑体"/>
          <w:sz w:val="24"/>
        </w:rPr>
        <w:t>2. 投标人资格要求</w:t>
      </w:r>
    </w:p>
    <w:p w14:paraId="4E5C379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2.1具有独立承担民事责任的能力；</w:t>
      </w:r>
    </w:p>
    <w:p w14:paraId="121EC7E4">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2.2 投标人资质要求：</w:t>
      </w:r>
      <w:r>
        <w:rPr>
          <w:rFonts w:ascii="Times New Roman" w:hAnsi="Times New Roman"/>
          <w:bCs/>
          <w:snapToGrid w:val="0"/>
          <w:kern w:val="0"/>
          <w:szCs w:val="21"/>
          <w:u w:val="single"/>
        </w:rPr>
        <w:t xml:space="preserve"> </w:t>
      </w:r>
      <w:r>
        <w:rPr>
          <w:rFonts w:hint="eastAsia" w:ascii="Times New Roman" w:hAnsi="Times New Roman" w:eastAsia="宋体" w:cs="Times New Roman"/>
          <w:bCs/>
          <w:snapToGrid w:val="0"/>
          <w:szCs w:val="24"/>
          <w:highlight w:val="none"/>
          <w:u w:val="single"/>
          <w:lang w:val="en-US" w:eastAsia="zh-CN"/>
        </w:rPr>
        <w:t>投标人须在社会消防技术服务信息系统完成备案（提供社会消防技术服务信息系统备案截图和书面承诺书），且单位服务类型为消防设施维护保养检测/消防安全评估</w:t>
      </w:r>
      <w:r>
        <w:rPr>
          <w:rFonts w:hint="eastAsia" w:ascii="Times New Roman" w:hAnsi="Times New Roman" w:cs="Times New Roman"/>
          <w:bCs/>
          <w:snapToGrid w:val="0"/>
          <w:szCs w:val="24"/>
          <w:highlight w:val="none"/>
          <w:u w:val="single"/>
          <w:lang w:val="en-US" w:eastAsia="zh-CN"/>
        </w:rPr>
        <w:t>。</w:t>
      </w:r>
      <w:r>
        <w:rPr>
          <w:rFonts w:ascii="Times New Roman" w:hAnsi="Times New Roman"/>
          <w:bCs/>
          <w:snapToGrid w:val="0"/>
          <w:kern w:val="0"/>
          <w:szCs w:val="21"/>
          <w:u w:val="single"/>
        </w:rPr>
        <w:t xml:space="preserve"> </w:t>
      </w:r>
      <w:r>
        <w:rPr>
          <w:rFonts w:ascii="Times New Roman" w:hAnsi="Times New Roman"/>
          <w:bCs/>
          <w:snapToGrid w:val="0"/>
          <w:kern w:val="0"/>
          <w:szCs w:val="21"/>
        </w:rPr>
        <w:t xml:space="preserve">            </w:t>
      </w:r>
    </w:p>
    <w:p w14:paraId="720193FB">
      <w:pPr>
        <w:spacing w:line="50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2.3 投标人业绩要求：</w:t>
      </w:r>
      <w:r>
        <w:rPr>
          <w:rFonts w:ascii="Times New Roman" w:hAnsi="Times New Roman"/>
          <w:bCs/>
          <w:snapToGrid w:val="0"/>
          <w:color w:val="000000"/>
          <w:highlight w:val="none"/>
        </w:rPr>
        <w:t>自</w:t>
      </w:r>
      <w:r>
        <w:rPr>
          <w:rFonts w:hint="eastAsia" w:ascii="Times New Roman" w:hAnsi="Times New Roman"/>
          <w:bCs/>
          <w:snapToGrid w:val="0"/>
          <w:kern w:val="0"/>
          <w:szCs w:val="21"/>
          <w:highlight w:val="none"/>
          <w:u w:val="single"/>
          <w:lang w:val="en-US" w:eastAsia="zh-CN"/>
        </w:rPr>
        <w:t>2021</w:t>
      </w:r>
      <w:r>
        <w:rPr>
          <w:rFonts w:ascii="Times New Roman" w:hAnsi="Times New Roman"/>
          <w:bCs/>
          <w:snapToGrid w:val="0"/>
          <w:kern w:val="0"/>
          <w:szCs w:val="21"/>
          <w:highlight w:val="none"/>
        </w:rPr>
        <w:t>年</w:t>
      </w:r>
      <w:r>
        <w:rPr>
          <w:rFonts w:ascii="Times New Roman" w:hAnsi="Times New Roman"/>
          <w:bCs/>
          <w:snapToGrid w:val="0"/>
          <w:kern w:val="0"/>
          <w:szCs w:val="21"/>
          <w:highlight w:val="none"/>
          <w:u w:val="single"/>
        </w:rPr>
        <w:t xml:space="preserve"> </w:t>
      </w:r>
      <w:r>
        <w:rPr>
          <w:rFonts w:hint="eastAsia" w:ascii="Times New Roman" w:hAnsi="Times New Roman"/>
          <w:bCs/>
          <w:snapToGrid w:val="0"/>
          <w:kern w:val="0"/>
          <w:szCs w:val="21"/>
          <w:highlight w:val="none"/>
          <w:u w:val="single"/>
          <w:lang w:val="en-US" w:eastAsia="zh-CN"/>
        </w:rPr>
        <w:t>1</w:t>
      </w:r>
      <w:r>
        <w:rPr>
          <w:rFonts w:ascii="Times New Roman" w:hAnsi="Times New Roman"/>
          <w:bCs/>
          <w:snapToGrid w:val="0"/>
          <w:kern w:val="0"/>
          <w:szCs w:val="21"/>
          <w:highlight w:val="none"/>
          <w:u w:val="single"/>
        </w:rPr>
        <w:t xml:space="preserve"> </w:t>
      </w:r>
      <w:r>
        <w:rPr>
          <w:rFonts w:ascii="Times New Roman" w:hAnsi="Times New Roman"/>
          <w:bCs/>
          <w:snapToGrid w:val="0"/>
          <w:kern w:val="0"/>
          <w:szCs w:val="21"/>
          <w:highlight w:val="none"/>
        </w:rPr>
        <w:t>月</w:t>
      </w:r>
      <w:r>
        <w:rPr>
          <w:rFonts w:ascii="Times New Roman" w:hAnsi="Times New Roman"/>
          <w:bCs/>
          <w:snapToGrid w:val="0"/>
          <w:kern w:val="0"/>
          <w:szCs w:val="21"/>
          <w:highlight w:val="none"/>
          <w:u w:val="single"/>
        </w:rPr>
        <w:t xml:space="preserve"> </w:t>
      </w:r>
      <w:r>
        <w:rPr>
          <w:rFonts w:hint="eastAsia" w:ascii="Times New Roman" w:hAnsi="Times New Roman"/>
          <w:bCs/>
          <w:snapToGrid w:val="0"/>
          <w:kern w:val="0"/>
          <w:szCs w:val="21"/>
          <w:highlight w:val="none"/>
          <w:u w:val="single"/>
          <w:lang w:val="en-US" w:eastAsia="zh-CN"/>
        </w:rPr>
        <w:t>1</w:t>
      </w:r>
      <w:r>
        <w:rPr>
          <w:rFonts w:ascii="Times New Roman" w:hAnsi="Times New Roman"/>
          <w:bCs/>
          <w:snapToGrid w:val="0"/>
          <w:kern w:val="0"/>
          <w:szCs w:val="21"/>
          <w:highlight w:val="none"/>
          <w:u w:val="single"/>
        </w:rPr>
        <w:t xml:space="preserve"> </w:t>
      </w:r>
      <w:r>
        <w:rPr>
          <w:rFonts w:ascii="Times New Roman" w:hAnsi="Times New Roman"/>
          <w:bCs/>
          <w:snapToGrid w:val="0"/>
          <w:kern w:val="0"/>
          <w:szCs w:val="21"/>
          <w:highlight w:val="none"/>
        </w:rPr>
        <w:t>日以来</w:t>
      </w:r>
      <w:r>
        <w:rPr>
          <w:rFonts w:ascii="Times New Roman" w:hAnsi="Times New Roman"/>
          <w:bCs/>
          <w:snapToGrid w:val="0"/>
          <w:color w:val="000000"/>
          <w:highlight w:val="none"/>
        </w:rPr>
        <w:t>（</w:t>
      </w:r>
      <w:r>
        <w:rPr>
          <w:rFonts w:ascii="Times New Roman" w:hAnsi="Times New Roman"/>
          <w:bCs/>
          <w:snapToGrid w:val="0"/>
          <w:kern w:val="0"/>
          <w:szCs w:val="21"/>
          <w:highlight w:val="none"/>
        </w:rPr>
        <w:t>以合同签订时间为准</w:t>
      </w:r>
      <w:r>
        <w:rPr>
          <w:rFonts w:ascii="Times New Roman" w:hAnsi="Times New Roman"/>
          <w:bCs/>
          <w:snapToGrid w:val="0"/>
          <w:color w:val="000000"/>
          <w:highlight w:val="none"/>
        </w:rPr>
        <w:t>），投标人在中华人民共和国境内（不含港澳台）须具备</w:t>
      </w:r>
      <w:r>
        <w:rPr>
          <w:rFonts w:hint="eastAsia" w:ascii="Times New Roman" w:hAnsi="Times New Roman" w:eastAsia="宋体" w:cs="Times New Roman"/>
          <w:bCs/>
          <w:snapToGrid w:val="0"/>
          <w:szCs w:val="24"/>
          <w:highlight w:val="none"/>
          <w:u w:val="single"/>
          <w:lang w:val="en-US" w:eastAsia="zh-CN"/>
        </w:rPr>
        <w:t>公共建筑消防系统维保服务业绩（不含工矿企业类似业绩），服务内容须包含气体灭火系统维保或消防水炮系统维保</w:t>
      </w:r>
      <w:r>
        <w:rPr>
          <w:rFonts w:ascii="Times New Roman" w:hAnsi="Times New Roman"/>
          <w:bCs/>
          <w:snapToGrid w:val="0"/>
          <w:color w:val="auto"/>
          <w:highlight w:val="none"/>
          <w:u w:val="single"/>
        </w:rPr>
        <w:t>业绩</w:t>
      </w:r>
      <w:r>
        <w:rPr>
          <w:rFonts w:ascii="Times New Roman" w:hAnsi="Times New Roman"/>
          <w:bCs/>
          <w:snapToGrid w:val="0"/>
          <w:color w:val="000000"/>
        </w:rPr>
        <w:t>。</w:t>
      </w:r>
    </w:p>
    <w:p w14:paraId="4A990941">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2.4 项目负责人资格要求：投标人拟委任项目负责人须具备</w:t>
      </w:r>
      <w:r>
        <w:rPr>
          <w:rFonts w:ascii="Times New Roman" w:hAnsi="Times New Roman" w:eastAsia="楷体"/>
          <w:u w:val="single"/>
        </w:rPr>
        <w:t xml:space="preserve">     </w:t>
      </w:r>
      <w:r>
        <w:rPr>
          <w:rFonts w:hint="eastAsia" w:ascii="Times New Roman" w:hAnsi="Times New Roman" w:eastAsia="楷体"/>
          <w:u w:val="single"/>
          <w:lang w:val="en-US" w:eastAsia="zh-CN"/>
        </w:rPr>
        <w:t>/</w:t>
      </w:r>
      <w:r>
        <w:rPr>
          <w:rFonts w:ascii="Times New Roman" w:hAnsi="Times New Roman" w:eastAsia="楷体"/>
          <w:u w:val="single"/>
        </w:rPr>
        <w:t xml:space="preserve">      </w:t>
      </w:r>
      <w:r>
        <w:rPr>
          <w:rFonts w:ascii="Times New Roman" w:hAnsi="Times New Roman" w:eastAsia="楷体"/>
          <w:bCs/>
          <w:snapToGrid w:val="0"/>
          <w:kern w:val="0"/>
          <w:szCs w:val="21"/>
          <w:u w:val="single"/>
        </w:rPr>
        <w:t xml:space="preserve">  </w:t>
      </w:r>
      <w:r>
        <w:rPr>
          <w:rFonts w:ascii="Times New Roman" w:hAnsi="Times New Roman"/>
          <w:bCs/>
          <w:snapToGrid w:val="0"/>
          <w:kern w:val="0"/>
          <w:szCs w:val="21"/>
        </w:rPr>
        <w:t>。</w:t>
      </w:r>
    </w:p>
    <w:p w14:paraId="5449F740">
      <w:pPr>
        <w:spacing w:line="500" w:lineRule="exact"/>
        <w:ind w:firstLine="420" w:firstLineChars="200"/>
        <w:jc w:val="left"/>
        <w:rPr>
          <w:rFonts w:ascii="Times New Roman" w:hAnsi="Times New Roman" w:eastAsia="楷体"/>
          <w:bCs/>
          <w:snapToGrid w:val="0"/>
          <w:color w:val="auto"/>
          <w:kern w:val="0"/>
          <w:szCs w:val="21"/>
          <w:highlight w:val="none"/>
        </w:rPr>
      </w:pPr>
      <w:r>
        <w:rPr>
          <w:rFonts w:ascii="Times New Roman" w:hAnsi="Times New Roman"/>
          <w:bCs/>
          <w:snapToGrid w:val="0"/>
          <w:color w:val="auto"/>
          <w:kern w:val="0"/>
          <w:szCs w:val="21"/>
          <w:highlight w:val="none"/>
        </w:rPr>
        <w:t xml:space="preserve">2.5 项目负责人业绩要求： </w:t>
      </w:r>
      <w:r>
        <w:rPr>
          <w:rFonts w:ascii="Times New Roman" w:hAnsi="Times New Roman"/>
          <w:bCs/>
          <w:snapToGrid w:val="0"/>
          <w:color w:val="auto"/>
          <w:highlight w:val="none"/>
        </w:rPr>
        <w:t>自</w:t>
      </w:r>
      <w:r>
        <w:rPr>
          <w:rFonts w:ascii="Times New Roman" w:hAnsi="Times New Roman"/>
          <w:bCs/>
          <w:snapToGrid w:val="0"/>
          <w:color w:val="auto"/>
          <w:kern w:val="0"/>
          <w:szCs w:val="21"/>
          <w:highlight w:val="none"/>
          <w:u w:val="single"/>
        </w:rPr>
        <w:t xml:space="preserve"> </w:t>
      </w:r>
      <w:r>
        <w:rPr>
          <w:rFonts w:hint="eastAsia" w:ascii="Times New Roman" w:hAnsi="Times New Roman"/>
          <w:bCs/>
          <w:snapToGrid w:val="0"/>
          <w:color w:val="auto"/>
          <w:kern w:val="0"/>
          <w:szCs w:val="21"/>
          <w:highlight w:val="none"/>
          <w:u w:val="single"/>
          <w:lang w:val="en-US" w:eastAsia="zh-CN"/>
        </w:rPr>
        <w:t>/</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年</w:t>
      </w:r>
      <w:r>
        <w:rPr>
          <w:rFonts w:ascii="Times New Roman" w:hAnsi="Times New Roman"/>
          <w:bCs/>
          <w:snapToGrid w:val="0"/>
          <w:color w:val="auto"/>
          <w:kern w:val="0"/>
          <w:szCs w:val="21"/>
          <w:highlight w:val="none"/>
          <w:u w:val="single"/>
        </w:rPr>
        <w:t xml:space="preserve"> </w:t>
      </w:r>
      <w:r>
        <w:rPr>
          <w:rFonts w:hint="eastAsia" w:ascii="Times New Roman" w:hAnsi="Times New Roman"/>
          <w:bCs/>
          <w:snapToGrid w:val="0"/>
          <w:color w:val="auto"/>
          <w:kern w:val="0"/>
          <w:szCs w:val="21"/>
          <w:highlight w:val="none"/>
          <w:u w:val="single"/>
          <w:lang w:val="en-US" w:eastAsia="zh-CN"/>
        </w:rPr>
        <w:t>/</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月</w:t>
      </w:r>
      <w:r>
        <w:rPr>
          <w:rFonts w:ascii="Times New Roman" w:hAnsi="Times New Roman"/>
          <w:bCs/>
          <w:snapToGrid w:val="0"/>
          <w:color w:val="auto"/>
          <w:kern w:val="0"/>
          <w:szCs w:val="21"/>
          <w:highlight w:val="none"/>
          <w:u w:val="single"/>
        </w:rPr>
        <w:t xml:space="preserve"> </w:t>
      </w:r>
      <w:r>
        <w:rPr>
          <w:rFonts w:hint="eastAsia" w:ascii="Times New Roman" w:hAnsi="Times New Roman"/>
          <w:bCs/>
          <w:snapToGrid w:val="0"/>
          <w:color w:val="auto"/>
          <w:kern w:val="0"/>
          <w:szCs w:val="21"/>
          <w:highlight w:val="none"/>
          <w:u w:val="single"/>
          <w:lang w:val="en-US" w:eastAsia="zh-CN"/>
        </w:rPr>
        <w:t>/</w:t>
      </w:r>
      <w:r>
        <w:rPr>
          <w:rFonts w:ascii="Times New Roman" w:hAnsi="Times New Roman"/>
          <w:bCs/>
          <w:snapToGrid w:val="0"/>
          <w:color w:val="auto"/>
          <w:kern w:val="0"/>
          <w:szCs w:val="21"/>
          <w:highlight w:val="none"/>
        </w:rPr>
        <w:t>日以来</w:t>
      </w:r>
      <w:r>
        <w:rPr>
          <w:rFonts w:ascii="Times New Roman" w:hAnsi="Times New Roman"/>
          <w:bCs/>
          <w:snapToGrid w:val="0"/>
          <w:color w:val="auto"/>
          <w:highlight w:val="none"/>
        </w:rPr>
        <w:t>（</w:t>
      </w:r>
      <w:r>
        <w:rPr>
          <w:rFonts w:ascii="Times New Roman" w:hAnsi="Times New Roman"/>
          <w:bCs/>
          <w:snapToGrid w:val="0"/>
          <w:color w:val="auto"/>
          <w:kern w:val="0"/>
          <w:szCs w:val="21"/>
          <w:highlight w:val="none"/>
        </w:rPr>
        <w:t>以合同签订时间为准</w:t>
      </w:r>
      <w:r>
        <w:rPr>
          <w:rFonts w:ascii="Times New Roman" w:hAnsi="Times New Roman"/>
          <w:bCs/>
          <w:snapToGrid w:val="0"/>
          <w:color w:val="auto"/>
          <w:highlight w:val="none"/>
        </w:rPr>
        <w:t>），投标人拟委任</w:t>
      </w:r>
      <w:r>
        <w:rPr>
          <w:rFonts w:ascii="Times New Roman" w:hAnsi="Times New Roman"/>
          <w:bCs/>
          <w:snapToGrid w:val="0"/>
          <w:color w:val="auto"/>
          <w:kern w:val="0"/>
          <w:szCs w:val="21"/>
          <w:highlight w:val="none"/>
        </w:rPr>
        <w:t>项目负责人</w:t>
      </w:r>
      <w:r>
        <w:rPr>
          <w:rFonts w:ascii="Times New Roman" w:hAnsi="Times New Roman"/>
          <w:bCs/>
          <w:snapToGrid w:val="0"/>
          <w:color w:val="auto"/>
          <w:highlight w:val="none"/>
        </w:rPr>
        <w:t>在中华人民共和国境内（不含港澳台）须具备</w:t>
      </w:r>
      <w:r>
        <w:rPr>
          <w:rFonts w:ascii="Times New Roman" w:hAnsi="Times New Roman"/>
          <w:color w:val="auto"/>
          <w:highlight w:val="none"/>
          <w:u w:val="single"/>
        </w:rPr>
        <w:t xml:space="preserve"> </w:t>
      </w:r>
      <w:r>
        <w:rPr>
          <w:rFonts w:hint="eastAsia" w:ascii="Times New Roman" w:hAnsi="Times New Roman"/>
          <w:color w:val="auto"/>
          <w:highlight w:val="none"/>
          <w:u w:val="single"/>
          <w:lang w:val="en-US" w:eastAsia="zh-CN"/>
        </w:rPr>
        <w:t xml:space="preserve">  /</w:t>
      </w:r>
      <w:r>
        <w:rPr>
          <w:rFonts w:ascii="Times New Roman" w:hAnsi="Times New Roman"/>
          <w:bCs/>
          <w:snapToGrid w:val="0"/>
          <w:color w:val="auto"/>
          <w:highlight w:val="none"/>
          <w:u w:val="single"/>
        </w:rPr>
        <w:t xml:space="preserve">   </w:t>
      </w:r>
      <w:r>
        <w:rPr>
          <w:rFonts w:ascii="Times New Roman" w:hAnsi="Times New Roman"/>
          <w:bCs/>
          <w:snapToGrid w:val="0"/>
          <w:color w:val="auto"/>
          <w:highlight w:val="none"/>
        </w:rPr>
        <w:t>业绩。</w:t>
      </w:r>
    </w:p>
    <w:p w14:paraId="70D63332">
      <w:pPr>
        <w:spacing w:line="500" w:lineRule="exact"/>
        <w:ind w:firstLine="420" w:firstLineChars="200"/>
        <w:rPr>
          <w:rFonts w:ascii="Times New Roman" w:hAnsi="Times New Roman"/>
          <w:bCs/>
          <w:snapToGrid w:val="0"/>
          <w:kern w:val="0"/>
          <w:szCs w:val="21"/>
        </w:rPr>
      </w:pPr>
      <w:r>
        <w:rPr>
          <w:rFonts w:ascii="Times New Roman" w:hAnsi="Times New Roman"/>
          <w:bCs/>
          <w:snapToGrid w:val="0"/>
          <w:color w:val="auto"/>
          <w:kern w:val="0"/>
          <w:szCs w:val="21"/>
          <w:highlight w:val="none"/>
        </w:rPr>
        <w:t>2.6 信誉要求：</w:t>
      </w: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rFonts w:ascii="Times New Roman" w:hAnsi="Times New Roman"/>
          <w:bCs/>
          <w:snapToGrid w:val="0"/>
          <w:kern w:val="0"/>
          <w:szCs w:val="21"/>
        </w:rPr>
        <w:t>投标人未被合肥市及其所辖县（市）、区（开发区）公共资源交易监督管理部门记不良行为记录的；或被记不良行为记录（以公布日期为准），但同时符合下列情形的：</w:t>
      </w:r>
    </w:p>
    <w:p w14:paraId="02749A29">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（1）开标日前（含当日）6个月内记分累计未满10分的；</w:t>
      </w:r>
    </w:p>
    <w:p w14:paraId="7A6DB2D4">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（2）开标日前（含当日）12个月内记分累计未满15分的；</w:t>
      </w:r>
    </w:p>
    <w:p w14:paraId="1B26C3E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（3）开标日前（含当日）18个月内记分累计未满20分的；</w:t>
      </w:r>
    </w:p>
    <w:p w14:paraId="46DECEC2">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（4）开标日前（含当日）24个月内记分累计未满25分的。</w:t>
      </w:r>
    </w:p>
    <w:p w14:paraId="1DB7D644">
      <w:pPr>
        <w:spacing w:line="500" w:lineRule="exact"/>
        <w:ind w:firstLine="420" w:firstLineChars="200"/>
        <w:rPr>
          <w:rFonts w:ascii="Times New Roman" w:hAnsi="Times New Roman"/>
          <w:color w:val="FF0000"/>
        </w:rPr>
      </w:pPr>
      <w:r>
        <w:rPr>
          <w:rFonts w:ascii="Times New Roman" w:hAnsi="Times New Roman"/>
          <w:bCs/>
          <w:snapToGrid w:val="0"/>
          <w:color w:val="000000"/>
          <w:kern w:val="0"/>
          <w:szCs w:val="21"/>
        </w:rPr>
        <w:t>2.</w:t>
      </w:r>
      <w:r>
        <w:rPr>
          <w:rFonts w:hint="eastAsia" w:ascii="Times New Roman" w:hAnsi="Times New Roman"/>
          <w:bCs/>
          <w:snapToGrid w:val="0"/>
          <w:color w:val="000000"/>
          <w:kern w:val="0"/>
          <w:szCs w:val="21"/>
        </w:rPr>
        <w:t>7</w:t>
      </w:r>
      <w:r>
        <w:rPr>
          <w:rFonts w:ascii="Times New Roman" w:hAnsi="Times New Roman"/>
          <w:bCs/>
          <w:snapToGrid w:val="0"/>
          <w:color w:val="000000"/>
          <w:kern w:val="0"/>
          <w:szCs w:val="21"/>
        </w:rPr>
        <w:t xml:space="preserve"> 本次招标</w:t>
      </w:r>
      <w:r>
        <w:rPr>
          <w:rFonts w:ascii="Times New Roman" w:hAnsi="Times New Roman"/>
          <w:color w:val="000000"/>
          <w:u w:val="single"/>
        </w:rPr>
        <w:t xml:space="preserve">  </w:t>
      </w:r>
      <w:r>
        <w:rPr>
          <w:rFonts w:hint="eastAsia" w:ascii="Times New Roman" w:hAnsi="Times New Roman"/>
          <w:color w:val="000000"/>
          <w:u w:val="single"/>
          <w:lang w:val="en-US" w:eastAsia="zh-CN"/>
        </w:rPr>
        <w:t>不接受</w:t>
      </w:r>
      <w:r>
        <w:rPr>
          <w:rFonts w:ascii="Times New Roman" w:hAnsi="Times New Roman"/>
          <w:color w:val="000000"/>
          <w:u w:val="single"/>
        </w:rPr>
        <w:t xml:space="preserve">   </w:t>
      </w:r>
      <w:r>
        <w:rPr>
          <w:rFonts w:ascii="Times New Roman" w:hAnsi="Times New Roman"/>
          <w:bCs/>
          <w:snapToGrid w:val="0"/>
          <w:color w:val="000000"/>
          <w:kern w:val="0"/>
          <w:szCs w:val="21"/>
        </w:rPr>
        <w:t>联合体投标。</w:t>
      </w:r>
      <w:r>
        <w:rPr>
          <w:rFonts w:ascii="Times New Roman" w:hAnsi="Times New Roman"/>
        </w:rPr>
        <w:t>联合体投标的，联合体各方总数量不超过*家，且联合体各方均须具备投标人资格2.1、2.2及2.5要求，投标时须提供联合体协议书。</w:t>
      </w:r>
    </w:p>
    <w:p w14:paraId="4D960318">
      <w:pPr>
        <w:spacing w:line="500" w:lineRule="exact"/>
        <w:ind w:firstLine="420" w:firstLineChars="200"/>
        <w:rPr>
          <w:rFonts w:ascii="Times New Roman" w:hAnsi="Times New Roman"/>
          <w:color w:val="000000"/>
        </w:rPr>
      </w:pPr>
      <w:r>
        <w:rPr>
          <w:rFonts w:ascii="Times New Roman" w:hAnsi="Times New Roman"/>
          <w:bCs/>
          <w:snapToGrid w:val="0"/>
          <w:color w:val="000000"/>
          <w:kern w:val="0"/>
          <w:szCs w:val="21"/>
        </w:rPr>
        <w:t>2.</w:t>
      </w:r>
      <w:r>
        <w:rPr>
          <w:rFonts w:hint="eastAsia" w:ascii="Times New Roman" w:hAnsi="Times New Roman"/>
          <w:bCs/>
          <w:snapToGrid w:val="0"/>
          <w:color w:val="000000"/>
          <w:kern w:val="0"/>
          <w:szCs w:val="21"/>
        </w:rPr>
        <w:t>8</w:t>
      </w:r>
      <w:r>
        <w:rPr>
          <w:rFonts w:ascii="Times New Roman" w:hAnsi="Times New Roman"/>
          <w:bCs/>
          <w:snapToGrid w:val="0"/>
          <w:color w:val="000000"/>
          <w:kern w:val="0"/>
          <w:szCs w:val="21"/>
        </w:rPr>
        <w:t>其他要求</w:t>
      </w:r>
      <w:r>
        <w:rPr>
          <w:rStyle w:val="51"/>
          <w:rFonts w:ascii="Times New Roman" w:hAnsi="Times New Roman"/>
          <w:bCs/>
          <w:snapToGrid w:val="0"/>
          <w:color w:val="000000"/>
          <w:kern w:val="0"/>
          <w:szCs w:val="21"/>
        </w:rPr>
        <w:footnoteReference w:id="0"/>
      </w:r>
      <w:r>
        <w:rPr>
          <w:rFonts w:ascii="Times New Roman" w:hAnsi="Times New Roman"/>
          <w:bCs/>
          <w:snapToGrid w:val="0"/>
          <w:color w:val="000000"/>
          <w:kern w:val="0"/>
          <w:szCs w:val="21"/>
        </w:rPr>
        <w:t>：</w:t>
      </w:r>
      <w:r>
        <w:rPr>
          <w:rFonts w:ascii="Times New Roman" w:hAnsi="Times New Roman"/>
          <w:color w:val="000000"/>
          <w:u w:val="single"/>
        </w:rPr>
        <w:t xml:space="preserve">   </w:t>
      </w:r>
      <w:r>
        <w:rPr>
          <w:rFonts w:hint="eastAsia" w:ascii="Times New Roman" w:hAnsi="Times New Roman"/>
          <w:color w:val="000000"/>
          <w:u w:val="single"/>
          <w:lang w:val="en-US" w:eastAsia="zh-CN"/>
        </w:rPr>
        <w:t>/</w:t>
      </w:r>
      <w:r>
        <w:rPr>
          <w:rFonts w:ascii="Times New Roman" w:hAnsi="Times New Roman"/>
          <w:color w:val="000000"/>
          <w:u w:val="single"/>
        </w:rPr>
        <w:t xml:space="preserve">   </w:t>
      </w:r>
      <w:r>
        <w:rPr>
          <w:rFonts w:ascii="Times New Roman" w:hAnsi="Times New Roman"/>
          <w:color w:val="000000"/>
        </w:rPr>
        <w:t>。</w:t>
      </w:r>
    </w:p>
    <w:p w14:paraId="52134293">
      <w:pPr>
        <w:spacing w:line="500" w:lineRule="exact"/>
        <w:rPr>
          <w:rFonts w:eastAsia="黑体"/>
          <w:sz w:val="24"/>
        </w:rPr>
      </w:pPr>
      <w:r>
        <w:rPr>
          <w:rFonts w:eastAsia="黑体"/>
          <w:sz w:val="24"/>
        </w:rPr>
        <w:t>3. 招标文件的获取</w:t>
      </w:r>
      <w:r>
        <w:rPr>
          <w:rFonts w:hint="eastAsia" w:eastAsia="黑体"/>
          <w:sz w:val="24"/>
        </w:rPr>
        <w:t>及报名</w:t>
      </w:r>
    </w:p>
    <w:p w14:paraId="0DBEB4F7">
      <w:pPr>
        <w:widowControl/>
        <w:spacing w:line="500" w:lineRule="exact"/>
        <w:ind w:firstLine="420" w:firstLineChars="200"/>
        <w:jc w:val="left"/>
        <w:rPr>
          <w:bCs/>
          <w:snapToGrid w:val="0"/>
          <w:color w:val="000000"/>
        </w:rPr>
      </w:pPr>
      <w:r>
        <w:rPr>
          <w:bCs/>
          <w:snapToGrid w:val="0"/>
          <w:color w:val="000000"/>
        </w:rPr>
        <w:t xml:space="preserve">3.1 </w:t>
      </w:r>
      <w:r>
        <w:rPr>
          <w:rFonts w:hint="eastAsia"/>
          <w:bCs/>
          <w:snapToGrid w:val="0"/>
          <w:color w:val="000000"/>
        </w:rPr>
        <w:t>报名</w:t>
      </w:r>
      <w:r>
        <w:rPr>
          <w:bCs/>
          <w:snapToGrid w:val="0"/>
          <w:color w:val="000000"/>
        </w:rPr>
        <w:t>时间：</w:t>
      </w:r>
      <w:r>
        <w:rPr>
          <w:rFonts w:hint="eastAsia"/>
          <w:bCs/>
          <w:snapToGrid w:val="0"/>
          <w:kern w:val="0"/>
          <w:szCs w:val="21"/>
          <w:u w:val="single"/>
          <w:lang w:val="en-US" w:eastAsia="zh-CN"/>
        </w:rPr>
        <w:t>2026</w:t>
      </w:r>
      <w:r>
        <w:rPr>
          <w:bCs/>
          <w:snapToGrid w:val="0"/>
          <w:color w:val="000000"/>
        </w:rPr>
        <w:t>年</w:t>
      </w:r>
      <w:r>
        <w:rPr>
          <w:rFonts w:hint="eastAsia"/>
          <w:bCs/>
          <w:snapToGrid w:val="0"/>
          <w:kern w:val="0"/>
          <w:szCs w:val="21"/>
          <w:u w:val="single"/>
          <w:lang w:val="en-US" w:eastAsia="zh-CN"/>
        </w:rPr>
        <w:t>1</w:t>
      </w:r>
      <w:r>
        <w:rPr>
          <w:bCs/>
          <w:snapToGrid w:val="0"/>
          <w:color w:val="000000"/>
        </w:rPr>
        <w:t>月</w:t>
      </w:r>
      <w:r>
        <w:rPr>
          <w:rFonts w:hint="eastAsia"/>
          <w:bCs/>
          <w:snapToGrid w:val="0"/>
          <w:kern w:val="0"/>
          <w:szCs w:val="21"/>
          <w:u w:val="single"/>
          <w:lang w:val="en-US" w:eastAsia="zh-CN"/>
        </w:rPr>
        <w:t>30</w:t>
      </w:r>
      <w:r>
        <w:rPr>
          <w:bCs/>
          <w:snapToGrid w:val="0"/>
          <w:color w:val="000000"/>
        </w:rPr>
        <w:t>日至</w:t>
      </w:r>
      <w:r>
        <w:rPr>
          <w:rFonts w:hint="eastAsia"/>
          <w:bCs/>
          <w:snapToGrid w:val="0"/>
          <w:kern w:val="0"/>
          <w:szCs w:val="21"/>
          <w:u w:val="single"/>
          <w:lang w:val="en-US" w:eastAsia="zh-CN"/>
        </w:rPr>
        <w:t>2026</w:t>
      </w:r>
      <w:r>
        <w:rPr>
          <w:bCs/>
          <w:snapToGrid w:val="0"/>
          <w:color w:val="000000"/>
        </w:rPr>
        <w:t>年</w:t>
      </w:r>
      <w:r>
        <w:rPr>
          <w:rFonts w:hint="eastAsia"/>
          <w:bCs/>
          <w:snapToGrid w:val="0"/>
          <w:kern w:val="0"/>
          <w:szCs w:val="21"/>
          <w:u w:val="single"/>
          <w:lang w:val="en-US" w:eastAsia="zh-CN"/>
        </w:rPr>
        <w:t>2</w:t>
      </w:r>
      <w:r>
        <w:rPr>
          <w:bCs/>
          <w:snapToGrid w:val="0"/>
          <w:color w:val="000000"/>
        </w:rPr>
        <w:t>月</w:t>
      </w:r>
      <w:r>
        <w:rPr>
          <w:rFonts w:hint="eastAsia"/>
          <w:bCs/>
          <w:snapToGrid w:val="0"/>
          <w:color w:val="000000"/>
          <w:u w:val="single"/>
          <w:lang w:val="en-US" w:eastAsia="zh-CN"/>
        </w:rPr>
        <w:t>5</w:t>
      </w:r>
      <w:r>
        <w:rPr>
          <w:bCs/>
          <w:snapToGrid w:val="0"/>
          <w:color w:val="000000"/>
        </w:rPr>
        <w:t>日(北京时间)</w:t>
      </w:r>
    </w:p>
    <w:p w14:paraId="429D6B3A">
      <w:pPr>
        <w:widowControl/>
        <w:spacing w:line="500" w:lineRule="exact"/>
        <w:ind w:firstLine="420" w:firstLineChars="200"/>
        <w:jc w:val="left"/>
        <w:rPr>
          <w:bCs/>
          <w:snapToGrid w:val="0"/>
          <w:color w:val="000000"/>
        </w:rPr>
      </w:pPr>
      <w:r>
        <w:rPr>
          <w:bCs/>
          <w:snapToGrid w:val="0"/>
          <w:color w:val="000000"/>
        </w:rPr>
        <w:t xml:space="preserve">3.2 </w:t>
      </w:r>
      <w:r>
        <w:rPr>
          <w:rFonts w:hint="eastAsia"/>
          <w:bCs/>
          <w:snapToGrid w:val="0"/>
          <w:color w:val="000000"/>
        </w:rPr>
        <w:t>招标文件获取</w:t>
      </w:r>
      <w:r>
        <w:rPr>
          <w:bCs/>
          <w:snapToGrid w:val="0"/>
          <w:color w:val="000000"/>
        </w:rPr>
        <w:t>方式：投标人登录</w:t>
      </w:r>
      <w:r>
        <w:rPr>
          <w:rFonts w:hint="eastAsia"/>
          <w:bCs/>
          <w:snapToGrid w:val="0"/>
          <w:color w:val="000000"/>
          <w:lang w:val="en-US" w:eastAsia="zh-CN"/>
        </w:rPr>
        <w:t>合肥体育产业投资</w:t>
      </w:r>
      <w:r>
        <w:rPr>
          <w:bCs/>
          <w:snapToGrid w:val="0"/>
          <w:color w:val="000000"/>
        </w:rPr>
        <w:t>有限公司网站（</w:t>
      </w:r>
      <w:r>
        <w:rPr>
          <w:rFonts w:hint="eastAsia"/>
          <w:bCs/>
          <w:snapToGrid w:val="0"/>
          <w:color w:val="000000"/>
        </w:rPr>
        <w:t>http://www.hftycy.com/</w:t>
      </w:r>
      <w:r>
        <w:rPr>
          <w:bCs/>
          <w:snapToGrid w:val="0"/>
          <w:color w:val="000000"/>
        </w:rPr>
        <w:t>）下载招标文件</w:t>
      </w:r>
    </w:p>
    <w:p w14:paraId="30291312">
      <w:pPr>
        <w:widowControl/>
        <w:spacing w:line="500" w:lineRule="exact"/>
        <w:ind w:firstLine="420" w:firstLineChars="200"/>
        <w:jc w:val="left"/>
        <w:rPr>
          <w:bCs/>
          <w:snapToGrid w:val="0"/>
          <w:color w:val="000000"/>
          <w:highlight w:val="none"/>
        </w:rPr>
      </w:pPr>
      <w:r>
        <w:rPr>
          <w:bCs/>
          <w:snapToGrid w:val="0"/>
          <w:color w:val="000000"/>
          <w:highlight w:val="none"/>
        </w:rPr>
        <w:t>3.3 报名方法：投标人下载附件《投标报名信息表》并完整填写信息后在</w:t>
      </w:r>
      <w:r>
        <w:rPr>
          <w:rFonts w:hint="eastAsia"/>
          <w:bCs/>
          <w:snapToGrid w:val="0"/>
          <w:color w:val="000000"/>
          <w:highlight w:val="none"/>
        </w:rPr>
        <w:t>本章节3.1</w:t>
      </w:r>
      <w:r>
        <w:rPr>
          <w:bCs/>
          <w:snapToGrid w:val="0"/>
          <w:color w:val="000000"/>
          <w:highlight w:val="none"/>
        </w:rPr>
        <w:t>规定的报名日期内发送至邮箱：</w:t>
      </w:r>
      <w:r>
        <w:rPr>
          <w:bCs/>
          <w:snapToGrid w:val="0"/>
          <w:color w:val="000000"/>
          <w:highlight w:val="none"/>
        </w:rPr>
        <w:fldChar w:fldCharType="begin"/>
      </w:r>
      <w:r>
        <w:rPr>
          <w:bCs/>
          <w:snapToGrid w:val="0"/>
          <w:color w:val="000000"/>
          <w:highlight w:val="none"/>
        </w:rPr>
        <w:instrText xml:space="preserve"> HYPERLINK "mailto:******@qq.com" </w:instrText>
      </w:r>
      <w:r>
        <w:rPr>
          <w:bCs/>
          <w:snapToGrid w:val="0"/>
          <w:color w:val="000000"/>
          <w:highlight w:val="none"/>
        </w:rPr>
        <w:fldChar w:fldCharType="separate"/>
      </w:r>
      <w:r>
        <w:rPr>
          <w:rFonts w:hint="eastAsia"/>
          <w:bCs/>
          <w:snapToGrid w:val="0"/>
          <w:color w:val="000000"/>
          <w:highlight w:val="none"/>
          <w:lang w:val="en-US" w:eastAsia="zh-CN"/>
        </w:rPr>
        <w:t>361365751</w:t>
      </w:r>
      <w:r>
        <w:rPr>
          <w:bCs/>
          <w:snapToGrid w:val="0"/>
          <w:color w:val="000000"/>
          <w:highlight w:val="none"/>
        </w:rPr>
        <w:t>@qq.com</w:t>
      </w:r>
      <w:r>
        <w:rPr>
          <w:bCs/>
          <w:snapToGrid w:val="0"/>
          <w:color w:val="000000"/>
          <w:highlight w:val="none"/>
        </w:rPr>
        <w:fldChar w:fldCharType="end"/>
      </w:r>
    </w:p>
    <w:p w14:paraId="5447BFB4">
      <w:pPr>
        <w:spacing w:line="500" w:lineRule="exact"/>
        <w:rPr>
          <w:rFonts w:ascii="Times New Roman" w:hAnsi="Times New Roman" w:eastAsia="黑体"/>
          <w:sz w:val="24"/>
        </w:rPr>
      </w:pPr>
      <w:r>
        <w:rPr>
          <w:rFonts w:ascii="Times New Roman" w:hAnsi="Times New Roman" w:eastAsia="黑体"/>
          <w:sz w:val="24"/>
        </w:rPr>
        <w:t>4. 投标文件的递交</w:t>
      </w:r>
    </w:p>
    <w:p w14:paraId="64E73A79">
      <w:pPr>
        <w:pStyle w:val="38"/>
        <w:spacing w:before="0" w:beforeAutospacing="0" w:after="0" w:afterAutospacing="0" w:line="500" w:lineRule="exact"/>
        <w:ind w:firstLine="420" w:firstLineChars="200"/>
        <w:rPr>
          <w:rFonts w:ascii="Times New Roman" w:hAnsi="Times New Roman" w:cs="Times New Roman"/>
          <w:bCs/>
          <w:snapToGrid w:val="0"/>
        </w:rPr>
      </w:pPr>
      <w:r>
        <w:rPr>
          <w:rFonts w:ascii="Times New Roman" w:hAnsi="Times New Roman" w:cs="Times New Roman"/>
          <w:bCs/>
          <w:snapToGrid w:val="0"/>
          <w:color w:val="auto"/>
          <w:sz w:val="21"/>
          <w:szCs w:val="21"/>
        </w:rPr>
        <w:t>投标文件递交的截止时间(开标时间，下同）为</w:t>
      </w:r>
      <w:r>
        <w:rPr>
          <w:rFonts w:hint="eastAsia" w:ascii="Times New Roman" w:hAnsi="Times New Roman" w:cs="Times New Roman"/>
          <w:bCs/>
          <w:snapToGrid w:val="0"/>
          <w:color w:val="auto"/>
          <w:szCs w:val="21"/>
          <w:u w:val="single"/>
          <w:lang w:val="en-US" w:eastAsia="zh-CN"/>
        </w:rPr>
        <w:t>2</w:t>
      </w:r>
      <w:r>
        <w:rPr>
          <w:rFonts w:hint="eastAsia" w:ascii="Times New Roman" w:hAnsi="Times New Roman" w:cs="Times New Roman"/>
          <w:bCs/>
          <w:snapToGrid w:val="0"/>
          <w:color w:val="auto"/>
          <w:szCs w:val="21"/>
          <w:u w:val="single"/>
          <w:lang w:val="en-US" w:eastAsia="zh-CN"/>
        </w:rPr>
        <w:t>026</w:t>
      </w:r>
      <w:r>
        <w:rPr>
          <w:rFonts w:ascii="Times New Roman" w:hAnsi="Times New Roman" w:cs="Times New Roman"/>
          <w:bCs/>
          <w:snapToGrid w:val="0"/>
          <w:color w:val="auto"/>
          <w:sz w:val="21"/>
          <w:szCs w:val="21"/>
        </w:rPr>
        <w:t>年</w:t>
      </w:r>
      <w:r>
        <w:rPr>
          <w:rFonts w:hint="eastAsia" w:ascii="Times New Roman" w:hAnsi="Times New Roman" w:cs="Times New Roman"/>
          <w:bCs/>
          <w:snapToGrid w:val="0"/>
          <w:color w:val="auto"/>
          <w:szCs w:val="21"/>
          <w:u w:val="single"/>
          <w:lang w:val="en-US" w:eastAsia="zh-CN"/>
        </w:rPr>
        <w:t>2</w:t>
      </w:r>
      <w:r>
        <w:rPr>
          <w:rFonts w:ascii="Times New Roman" w:hAnsi="Times New Roman" w:cs="Times New Roman"/>
          <w:bCs/>
          <w:snapToGrid w:val="0"/>
          <w:color w:val="auto"/>
          <w:sz w:val="21"/>
          <w:szCs w:val="21"/>
        </w:rPr>
        <w:t>月</w:t>
      </w:r>
      <w:r>
        <w:rPr>
          <w:rFonts w:hint="eastAsia" w:ascii="Times New Roman" w:hAnsi="Times New Roman" w:cs="Times New Roman"/>
          <w:bCs/>
          <w:snapToGrid w:val="0"/>
          <w:color w:val="auto"/>
          <w:szCs w:val="21"/>
          <w:u w:val="single"/>
          <w:lang w:val="en-US" w:eastAsia="zh-CN"/>
        </w:rPr>
        <w:t>6</w:t>
      </w:r>
      <w:r>
        <w:rPr>
          <w:rFonts w:ascii="Times New Roman" w:hAnsi="Times New Roman" w:cs="Times New Roman"/>
          <w:bCs/>
          <w:snapToGrid w:val="0"/>
          <w:color w:val="auto"/>
          <w:sz w:val="21"/>
          <w:szCs w:val="21"/>
        </w:rPr>
        <w:t>日</w:t>
      </w:r>
      <w:r>
        <w:rPr>
          <w:rFonts w:hint="eastAsia" w:ascii="Times New Roman" w:hAnsi="Times New Roman" w:cs="Times New Roman"/>
          <w:bCs/>
          <w:snapToGrid w:val="0"/>
          <w:color w:val="auto"/>
          <w:szCs w:val="21"/>
          <w:u w:val="single"/>
          <w:lang w:val="en-US" w:eastAsia="zh-CN"/>
        </w:rPr>
        <w:t>1</w:t>
      </w:r>
      <w:r>
        <w:rPr>
          <w:rFonts w:hint="eastAsia" w:ascii="Times New Roman" w:hAnsi="Times New Roman" w:cs="Times New Roman"/>
          <w:bCs/>
          <w:snapToGrid w:val="0"/>
          <w:color w:val="auto"/>
          <w:szCs w:val="21"/>
          <w:u w:val="single"/>
          <w:lang w:val="en-US" w:eastAsia="zh-CN"/>
        </w:rPr>
        <w:t>4</w:t>
      </w:r>
      <w:r>
        <w:rPr>
          <w:rFonts w:ascii="Times New Roman" w:hAnsi="Times New Roman" w:cs="Times New Roman"/>
          <w:bCs/>
          <w:snapToGrid w:val="0"/>
          <w:color w:val="auto"/>
          <w:sz w:val="21"/>
          <w:szCs w:val="21"/>
        </w:rPr>
        <w:t>时</w:t>
      </w:r>
      <w:r>
        <w:rPr>
          <w:rFonts w:hint="eastAsia" w:ascii="Times New Roman" w:hAnsi="Times New Roman" w:cs="Times New Roman"/>
          <w:bCs/>
          <w:snapToGrid w:val="0"/>
          <w:color w:val="auto"/>
          <w:szCs w:val="21"/>
          <w:u w:val="single"/>
          <w:lang w:val="en-US" w:eastAsia="zh-CN"/>
        </w:rPr>
        <w:t>3</w:t>
      </w:r>
      <w:r>
        <w:rPr>
          <w:rFonts w:hint="eastAsia" w:ascii="Times New Roman" w:hAnsi="Times New Roman" w:cs="Times New Roman"/>
          <w:bCs/>
          <w:snapToGrid w:val="0"/>
          <w:color w:val="auto"/>
          <w:szCs w:val="21"/>
          <w:u w:val="single"/>
          <w:lang w:val="en-US" w:eastAsia="zh-CN"/>
        </w:rPr>
        <w:t>0</w:t>
      </w:r>
      <w:r>
        <w:rPr>
          <w:rFonts w:ascii="Times New Roman" w:hAnsi="Times New Roman" w:cs="Times New Roman"/>
          <w:bCs/>
          <w:snapToGrid w:val="0"/>
          <w:color w:val="auto"/>
          <w:sz w:val="21"/>
          <w:szCs w:val="21"/>
        </w:rPr>
        <w:t>分，投标人应在截止时间前到达指定开标地点递交纸质版投标文件</w:t>
      </w:r>
      <w:r>
        <w:rPr>
          <w:rFonts w:ascii="Times New Roman" w:hAnsi="Times New Roman" w:cs="Times New Roman"/>
          <w:bCs/>
          <w:snapToGrid w:val="0"/>
        </w:rPr>
        <w:t>。</w:t>
      </w:r>
    </w:p>
    <w:bookmarkEnd w:id="0"/>
    <w:bookmarkEnd w:id="1"/>
    <w:bookmarkEnd w:id="2"/>
    <w:p w14:paraId="39F45A1E">
      <w:pPr>
        <w:spacing w:line="500" w:lineRule="exact"/>
        <w:rPr>
          <w:rFonts w:ascii="Times New Roman" w:hAnsi="Times New Roman" w:eastAsia="黑体"/>
          <w:sz w:val="24"/>
        </w:rPr>
      </w:pPr>
      <w:bookmarkStart w:id="10" w:name="_Toc460226716"/>
      <w:bookmarkStart w:id="11" w:name="_Toc460660058"/>
      <w:bookmarkStart w:id="12" w:name="_Toc460226985"/>
      <w:r>
        <w:rPr>
          <w:rFonts w:ascii="Times New Roman" w:hAnsi="Times New Roman" w:eastAsia="黑体"/>
          <w:sz w:val="24"/>
        </w:rPr>
        <w:t>5.</w:t>
      </w:r>
      <w:r>
        <w:rPr>
          <w:rFonts w:ascii="Times New Roman" w:hAnsi="Times New Roman"/>
        </w:rPr>
        <w:t xml:space="preserve"> </w:t>
      </w:r>
      <w:r>
        <w:rPr>
          <w:rFonts w:ascii="Times New Roman" w:hAnsi="Times New Roman" w:eastAsia="黑体"/>
          <w:sz w:val="24"/>
        </w:rPr>
        <w:t>开标时间及地点</w:t>
      </w:r>
    </w:p>
    <w:p w14:paraId="5650E16C">
      <w:pPr>
        <w:widowControl/>
        <w:spacing w:line="500" w:lineRule="exact"/>
        <w:ind w:firstLine="420" w:firstLineChars="200"/>
        <w:jc w:val="left"/>
        <w:rPr>
          <w:rFonts w:ascii="Times New Roman" w:hAnsi="Times New Roman"/>
          <w:bCs/>
          <w:color w:val="000000"/>
          <w:szCs w:val="21"/>
        </w:rPr>
      </w:pPr>
      <w:r>
        <w:rPr>
          <w:rFonts w:ascii="Times New Roman" w:hAnsi="Times New Roman"/>
          <w:bCs/>
          <w:snapToGrid w:val="0"/>
          <w:kern w:val="0"/>
          <w:szCs w:val="21"/>
        </w:rPr>
        <w:t>5.1 开标时间：</w:t>
      </w:r>
      <w:r>
        <w:rPr>
          <w:rFonts w:hint="eastAsia" w:ascii="Times New Roman" w:hAnsi="Times New Roman"/>
          <w:bCs/>
          <w:snapToGrid w:val="0"/>
          <w:kern w:val="0"/>
          <w:szCs w:val="21"/>
          <w:u w:val="single"/>
          <w:lang w:val="en-US" w:eastAsia="zh-CN"/>
        </w:rPr>
        <w:t>2</w:t>
      </w:r>
      <w:r>
        <w:rPr>
          <w:rFonts w:hint="eastAsia" w:ascii="Times New Roman" w:hAnsi="Times New Roman"/>
          <w:bCs/>
          <w:snapToGrid w:val="0"/>
          <w:kern w:val="0"/>
          <w:szCs w:val="21"/>
          <w:u w:val="single"/>
          <w:lang w:val="en-US" w:eastAsia="zh-CN"/>
        </w:rPr>
        <w:t>026</w:t>
      </w:r>
      <w:r>
        <w:rPr>
          <w:rFonts w:ascii="Times New Roman" w:hAnsi="Times New Roman"/>
          <w:bCs/>
          <w:color w:val="000000"/>
          <w:szCs w:val="21"/>
        </w:rPr>
        <w:t>年</w:t>
      </w:r>
      <w:r>
        <w:rPr>
          <w:rFonts w:hint="eastAsia" w:ascii="Times New Roman" w:hAnsi="Times New Roman"/>
          <w:bCs/>
          <w:snapToGrid w:val="0"/>
          <w:kern w:val="0"/>
          <w:szCs w:val="21"/>
          <w:u w:val="single"/>
          <w:lang w:val="en-US" w:eastAsia="zh-CN"/>
        </w:rPr>
        <w:t>2</w:t>
      </w:r>
      <w:r>
        <w:rPr>
          <w:rFonts w:ascii="Times New Roman" w:hAnsi="Times New Roman"/>
          <w:bCs/>
          <w:color w:val="000000"/>
          <w:szCs w:val="21"/>
        </w:rPr>
        <w:t>月</w:t>
      </w:r>
      <w:r>
        <w:rPr>
          <w:rFonts w:hint="eastAsia" w:ascii="Times New Roman" w:hAnsi="Times New Roman"/>
          <w:bCs/>
          <w:snapToGrid w:val="0"/>
          <w:kern w:val="0"/>
          <w:szCs w:val="21"/>
          <w:u w:val="single"/>
          <w:lang w:val="en-US" w:eastAsia="zh-CN"/>
        </w:rPr>
        <w:t>6</w:t>
      </w:r>
      <w:r>
        <w:rPr>
          <w:rFonts w:ascii="Times New Roman" w:hAnsi="Times New Roman"/>
          <w:bCs/>
          <w:color w:val="000000"/>
          <w:szCs w:val="21"/>
        </w:rPr>
        <w:t>日</w:t>
      </w:r>
      <w:r>
        <w:rPr>
          <w:rFonts w:hint="eastAsia" w:ascii="Times New Roman" w:hAnsi="Times New Roman"/>
          <w:bCs/>
          <w:snapToGrid w:val="0"/>
          <w:kern w:val="0"/>
          <w:szCs w:val="21"/>
          <w:u w:val="single"/>
          <w:lang w:val="en-US" w:eastAsia="zh-CN"/>
        </w:rPr>
        <w:t>1</w:t>
      </w:r>
      <w:r>
        <w:rPr>
          <w:rFonts w:hint="eastAsia" w:ascii="Times New Roman" w:hAnsi="Times New Roman"/>
          <w:bCs/>
          <w:snapToGrid w:val="0"/>
          <w:kern w:val="0"/>
          <w:szCs w:val="21"/>
          <w:u w:val="single"/>
          <w:lang w:val="en-US" w:eastAsia="zh-CN"/>
        </w:rPr>
        <w:t>4</w:t>
      </w:r>
      <w:r>
        <w:rPr>
          <w:rFonts w:ascii="Times New Roman" w:hAnsi="Times New Roman"/>
          <w:bCs/>
          <w:snapToGrid w:val="0"/>
          <w:kern w:val="0"/>
          <w:szCs w:val="21"/>
        </w:rPr>
        <w:t>时</w:t>
      </w:r>
      <w:r>
        <w:rPr>
          <w:rFonts w:hint="eastAsia" w:ascii="Times New Roman" w:hAnsi="Times New Roman"/>
          <w:bCs/>
          <w:snapToGrid w:val="0"/>
          <w:kern w:val="0"/>
          <w:szCs w:val="21"/>
          <w:u w:val="single"/>
          <w:lang w:val="en-US" w:eastAsia="zh-CN"/>
        </w:rPr>
        <w:t>3</w:t>
      </w:r>
      <w:r>
        <w:rPr>
          <w:rFonts w:hint="eastAsia" w:ascii="Times New Roman" w:hAnsi="Times New Roman"/>
          <w:bCs/>
          <w:snapToGrid w:val="0"/>
          <w:kern w:val="0"/>
          <w:szCs w:val="21"/>
          <w:u w:val="single"/>
          <w:lang w:val="en-US" w:eastAsia="zh-CN"/>
        </w:rPr>
        <w:t>0</w:t>
      </w:r>
      <w:r>
        <w:rPr>
          <w:rFonts w:ascii="Times New Roman" w:hAnsi="Times New Roman"/>
          <w:bCs/>
          <w:snapToGrid w:val="0"/>
          <w:kern w:val="0"/>
          <w:szCs w:val="21"/>
        </w:rPr>
        <w:t>分</w:t>
      </w:r>
    </w:p>
    <w:p w14:paraId="1C42C892">
      <w:pPr>
        <w:spacing w:line="500" w:lineRule="exact"/>
        <w:ind w:firstLine="420" w:firstLineChars="200"/>
        <w:rPr>
          <w:rFonts w:hint="default" w:ascii="Times New Roman" w:hAnsi="Times New Roman"/>
          <w:bCs/>
          <w:snapToGrid w:val="0"/>
          <w:kern w:val="0"/>
          <w:szCs w:val="21"/>
          <w:lang w:val="en-US"/>
        </w:rPr>
      </w:pPr>
      <w:r>
        <w:rPr>
          <w:rFonts w:ascii="Times New Roman" w:hAnsi="Times New Roman"/>
          <w:bCs/>
          <w:snapToGrid w:val="0"/>
          <w:kern w:val="0"/>
          <w:szCs w:val="21"/>
        </w:rPr>
        <w:t>5.2 开标地点：</w:t>
      </w:r>
      <w:r>
        <w:rPr>
          <w:rFonts w:hint="eastAsia" w:ascii="Times New Roman" w:hAnsi="Times New Roman"/>
          <w:bCs/>
          <w:snapToGrid w:val="0"/>
          <w:kern w:val="0"/>
          <w:szCs w:val="21"/>
          <w:u w:val="single"/>
          <w:lang w:val="en-US" w:eastAsia="zh-CN"/>
        </w:rPr>
        <w:t>合肥</w:t>
      </w:r>
      <w:r>
        <w:rPr>
          <w:rFonts w:hint="eastAsia" w:ascii="Times New Roman" w:hAnsi="Times New Roman"/>
          <w:bCs/>
          <w:snapToGrid w:val="0"/>
          <w:kern w:val="0"/>
          <w:szCs w:val="21"/>
          <w:u w:val="single"/>
          <w:lang w:val="en-US" w:eastAsia="zh-CN"/>
        </w:rPr>
        <w:t>体育中心主体育场一号会议室</w:t>
      </w:r>
    </w:p>
    <w:p w14:paraId="5D002B91">
      <w:pPr>
        <w:spacing w:line="500" w:lineRule="exact"/>
        <w:rPr>
          <w:rFonts w:ascii="Times New Roman" w:hAnsi="Times New Roman" w:eastAsia="黑体"/>
          <w:sz w:val="24"/>
        </w:rPr>
      </w:pPr>
      <w:r>
        <w:rPr>
          <w:rFonts w:ascii="Times New Roman" w:hAnsi="Times New Roman" w:eastAsia="黑体"/>
          <w:sz w:val="24"/>
        </w:rPr>
        <w:t>6. 发布公告的媒介</w:t>
      </w:r>
    </w:p>
    <w:p w14:paraId="3D43AD3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本次招标公告在合肥文旅博览集团</w:t>
      </w:r>
      <w:r>
        <w:rPr>
          <w:rFonts w:hint="eastAsia" w:ascii="Times New Roman" w:hAnsi="Times New Roman"/>
          <w:bCs/>
          <w:snapToGrid w:val="0"/>
          <w:kern w:val="0"/>
          <w:szCs w:val="21"/>
        </w:rPr>
        <w:t>有限公司</w:t>
      </w:r>
      <w:r>
        <w:rPr>
          <w:rFonts w:ascii="Times New Roman" w:hAnsi="Times New Roman"/>
          <w:bCs/>
          <w:snapToGrid w:val="0"/>
          <w:kern w:val="0"/>
          <w:szCs w:val="21"/>
        </w:rPr>
        <w:t>官网上发布。</w:t>
      </w:r>
    </w:p>
    <w:p w14:paraId="011AA939">
      <w:pPr>
        <w:spacing w:line="500" w:lineRule="exact"/>
        <w:rPr>
          <w:rFonts w:ascii="Times New Roman" w:hAnsi="Times New Roman" w:eastAsia="黑体"/>
          <w:sz w:val="24"/>
          <w:szCs w:val="24"/>
        </w:rPr>
      </w:pPr>
      <w:r>
        <w:rPr>
          <w:rFonts w:ascii="Times New Roman" w:hAnsi="Times New Roman" w:eastAsia="黑体"/>
          <w:sz w:val="24"/>
        </w:rPr>
        <w:t>7.联系方式</w:t>
      </w:r>
    </w:p>
    <w:p w14:paraId="43ABAFEA">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7.1招标人</w:t>
      </w:r>
    </w:p>
    <w:p w14:paraId="2AB0B6BF">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招标人：</w:t>
      </w:r>
      <w:r>
        <w:rPr>
          <w:rFonts w:hint="eastAsia" w:ascii="Times New Roman" w:hAnsi="Times New Roman"/>
          <w:bCs/>
          <w:snapToGrid w:val="0"/>
          <w:kern w:val="0"/>
          <w:szCs w:val="21"/>
          <w:highlight w:val="none"/>
          <w:u w:val="single"/>
          <w:lang w:val="en-US" w:eastAsia="zh-CN"/>
        </w:rPr>
        <w:t>合肥体育产业投资有限公司</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rPr>
        <w:t xml:space="preserve">   </w:t>
      </w:r>
    </w:p>
    <w:p w14:paraId="2F010BD0">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地  址：</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合肥市蜀山区政务文化新区习友路与潜山路交口西南角合肥体育中心内</w:t>
      </w:r>
      <w:r>
        <w:rPr>
          <w:rFonts w:hint="eastAsia" w:ascii="Times New Roman" w:hAnsi="Times New Roman"/>
          <w:bCs/>
          <w:snapToGrid w:val="0"/>
          <w:kern w:val="0"/>
          <w:szCs w:val="21"/>
          <w:u w:val="single"/>
        </w:rPr>
        <w:t xml:space="preserve"> </w:t>
      </w:r>
    </w:p>
    <w:p w14:paraId="63F55C29">
      <w:pPr>
        <w:widowControl/>
        <w:spacing w:line="460" w:lineRule="exact"/>
        <w:ind w:firstLine="420" w:firstLineChars="200"/>
        <w:jc w:val="left"/>
        <w:rPr>
          <w:rFonts w:hint="default" w:eastAsia="黑体"/>
          <w:lang w:val="en-US" w:eastAsia="zh-CN"/>
        </w:rPr>
      </w:pPr>
      <w:r>
        <w:rPr>
          <w:rFonts w:ascii="Times New Roman" w:hAnsi="Times New Roman"/>
          <w:bCs/>
          <w:snapToGrid w:val="0"/>
          <w:kern w:val="0"/>
          <w:szCs w:val="21"/>
        </w:rPr>
        <w:t>联系人：</w:t>
      </w:r>
      <w:r>
        <w:rPr>
          <w:rFonts w:hint="eastAsia" w:ascii="Times New Roman" w:hAnsi="Times New Roman"/>
          <w:bCs/>
          <w:snapToGrid w:val="0"/>
          <w:kern w:val="0"/>
          <w:szCs w:val="21"/>
          <w:highlight w:val="none"/>
          <w:u w:val="single"/>
          <w:lang w:val="en-US" w:eastAsia="zh-CN"/>
        </w:rPr>
        <w:t>孙工  0551-63363087</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投标对接</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赵工</w:t>
      </w:r>
      <w:r>
        <w:rPr>
          <w:rFonts w:hint="eastAsia" w:ascii="Times New Roman" w:hAnsi="Times New Roman"/>
          <w:bCs/>
          <w:snapToGrid w:val="0"/>
          <w:color w:val="auto"/>
          <w:kern w:val="0"/>
          <w:szCs w:val="21"/>
          <w:highlight w:val="none"/>
          <w:u w:val="single"/>
          <w:lang w:val="en-US" w:eastAsia="zh-CN"/>
        </w:rPr>
        <w:t xml:space="preserve">  </w:t>
      </w:r>
      <w:r>
        <w:rPr>
          <w:rFonts w:hint="eastAsia" w:ascii="Times New Roman" w:hAnsi="Times New Roman" w:eastAsia="宋体" w:cs="Times New Roman"/>
          <w:bCs/>
          <w:snapToGrid w:val="0"/>
          <w:color w:val="auto"/>
          <w:kern w:val="0"/>
          <w:szCs w:val="21"/>
          <w:highlight w:val="none"/>
          <w:u w:val="single"/>
          <w:lang w:val="en-US" w:eastAsia="zh-CN"/>
        </w:rPr>
        <w:t>13966664534</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技术对接</w:t>
      </w:r>
      <w:r>
        <w:rPr>
          <w:rFonts w:hint="eastAsia" w:ascii="Times New Roman" w:hAnsi="Times New Roman"/>
          <w:bCs/>
          <w:snapToGrid w:val="0"/>
          <w:kern w:val="0"/>
          <w:szCs w:val="21"/>
          <w:u w:val="single"/>
          <w:lang w:eastAsia="zh-CN"/>
        </w:rPr>
        <w:t>）</w:t>
      </w:r>
    </w:p>
    <w:p w14:paraId="3AEFEB1B">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7.</w:t>
      </w:r>
      <w:r>
        <w:rPr>
          <w:rFonts w:hint="eastAsia" w:ascii="Times New Roman" w:hAnsi="Times New Roman"/>
          <w:bCs/>
          <w:snapToGrid w:val="0"/>
          <w:kern w:val="0"/>
          <w:szCs w:val="21"/>
        </w:rPr>
        <w:t>2</w:t>
      </w:r>
      <w:r>
        <w:rPr>
          <w:rFonts w:ascii="Times New Roman" w:hAnsi="Times New Roman"/>
          <w:bCs/>
          <w:snapToGrid w:val="0"/>
          <w:kern w:val="0"/>
          <w:szCs w:val="21"/>
        </w:rPr>
        <w:t>监督管理部门</w:t>
      </w:r>
    </w:p>
    <w:p w14:paraId="1E6FC4A5">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监督管理部门：</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党群工作部</w:t>
      </w:r>
      <w:r>
        <w:rPr>
          <w:rFonts w:hint="eastAsia" w:ascii="Times New Roman" w:hAnsi="Times New Roman"/>
          <w:bCs/>
          <w:snapToGrid w:val="0"/>
          <w:kern w:val="0"/>
          <w:szCs w:val="21"/>
          <w:u w:val="single"/>
        </w:rPr>
        <w:t xml:space="preserve">  </w:t>
      </w:r>
    </w:p>
    <w:p w14:paraId="09BBACB3">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地  址：</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合肥市蜀山区政务文化新区习友路与潜山路交口西南角合肥体育中心内</w:t>
      </w:r>
      <w:r>
        <w:rPr>
          <w:rFonts w:hint="eastAsia" w:ascii="Times New Roman" w:hAnsi="Times New Roman"/>
          <w:bCs/>
          <w:snapToGrid w:val="0"/>
          <w:kern w:val="0"/>
          <w:szCs w:val="21"/>
          <w:u w:val="single"/>
        </w:rPr>
        <w:t xml:space="preserve"> </w:t>
      </w:r>
    </w:p>
    <w:p w14:paraId="41921F47">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电  话：</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rPr>
        <w:t>0551-63621300</w:t>
      </w:r>
      <w:r>
        <w:rPr>
          <w:rFonts w:hint="eastAsia" w:ascii="Times New Roman" w:hAnsi="Times New Roman"/>
          <w:bCs/>
          <w:snapToGrid w:val="0"/>
          <w:kern w:val="0"/>
          <w:szCs w:val="21"/>
          <w:u w:val="single"/>
        </w:rPr>
        <w:t xml:space="preserve"> </w:t>
      </w:r>
    </w:p>
    <w:p w14:paraId="61E4765F">
      <w:pPr>
        <w:spacing w:line="500" w:lineRule="exact"/>
        <w:rPr>
          <w:rFonts w:ascii="Times New Roman" w:hAnsi="Times New Roman" w:eastAsia="黑体"/>
          <w:sz w:val="24"/>
        </w:rPr>
      </w:pPr>
      <w:r>
        <w:rPr>
          <w:rFonts w:ascii="Times New Roman" w:hAnsi="Times New Roman" w:eastAsia="黑体"/>
          <w:sz w:val="24"/>
        </w:rPr>
        <w:t>8.其他事项说明</w:t>
      </w:r>
    </w:p>
    <w:p w14:paraId="5A94A52A">
      <w:pPr>
        <w:widowControl/>
        <w:spacing w:line="50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有任何疑问或问题，请在工作时间（</w:t>
      </w:r>
      <w:r>
        <w:rPr>
          <w:rFonts w:ascii="Times New Roman" w:hAnsi="Times New Roman"/>
          <w:bCs/>
          <w:snapToGrid w:val="0"/>
          <w:kern w:val="0"/>
          <w:szCs w:val="21"/>
        </w:rPr>
        <w:t>周一至周五，上午08:</w:t>
      </w:r>
      <w:r>
        <w:rPr>
          <w:rFonts w:hint="eastAsia" w:ascii="Times New Roman" w:hAnsi="Times New Roman"/>
          <w:bCs/>
          <w:snapToGrid w:val="0"/>
          <w:kern w:val="0"/>
          <w:szCs w:val="21"/>
          <w:lang w:val="en-US" w:eastAsia="zh-CN"/>
        </w:rPr>
        <w:t>3</w:t>
      </w:r>
      <w:r>
        <w:rPr>
          <w:rFonts w:ascii="Times New Roman" w:hAnsi="Times New Roman"/>
          <w:bCs/>
          <w:snapToGrid w:val="0"/>
          <w:kern w:val="0"/>
          <w:szCs w:val="21"/>
        </w:rPr>
        <w:t>0-12:00，下午2:</w:t>
      </w:r>
      <w:r>
        <w:rPr>
          <w:rFonts w:hint="eastAsia" w:ascii="Times New Roman" w:hAnsi="Times New Roman"/>
          <w:bCs/>
          <w:snapToGrid w:val="0"/>
          <w:kern w:val="0"/>
          <w:szCs w:val="21"/>
          <w:lang w:val="en-US" w:eastAsia="zh-CN"/>
        </w:rPr>
        <w:t>0</w:t>
      </w:r>
      <w:r>
        <w:rPr>
          <w:rFonts w:ascii="Times New Roman" w:hAnsi="Times New Roman"/>
          <w:bCs/>
          <w:snapToGrid w:val="0"/>
          <w:kern w:val="0"/>
          <w:szCs w:val="21"/>
        </w:rPr>
        <w:t>0-5:30，节假日休息</w:t>
      </w:r>
      <w:r>
        <w:rPr>
          <w:rFonts w:ascii="Times New Roman" w:hAnsi="Times New Roman"/>
          <w:bCs/>
          <w:snapToGrid w:val="0"/>
          <w:kern w:val="0"/>
          <w:szCs w:val="21"/>
        </w:rPr>
        <w:t>）与项目联系人联系。</w:t>
      </w:r>
    </w:p>
    <w:p w14:paraId="1056CBF1">
      <w:pPr>
        <w:snapToGrid w:val="0"/>
        <w:spacing w:line="500" w:lineRule="exact"/>
        <w:rPr>
          <w:rFonts w:ascii="Times New Roman" w:hAnsi="Times New Roman"/>
          <w:i/>
          <w:iCs/>
          <w:sz w:val="24"/>
          <w:szCs w:val="24"/>
        </w:rPr>
      </w:pPr>
      <w:r>
        <w:rPr>
          <w:rFonts w:ascii="Times New Roman" w:hAnsi="Times New Roman" w:eastAsia="黑体"/>
          <w:sz w:val="24"/>
        </w:rPr>
        <w:t>9.投标保证金账户</w:t>
      </w:r>
    </w:p>
    <w:bookmarkEnd w:id="10"/>
    <w:bookmarkEnd w:id="11"/>
    <w:bookmarkEnd w:id="12"/>
    <w:p w14:paraId="294BA133">
      <w:pPr>
        <w:widowControl/>
        <w:spacing w:line="460" w:lineRule="exact"/>
        <w:ind w:firstLine="420" w:firstLineChars="200"/>
        <w:jc w:val="left"/>
        <w:rPr>
          <w:rFonts w:hint="eastAsia" w:ascii="Times New Roman" w:hAnsi="Times New Roman"/>
          <w:bCs/>
          <w:snapToGrid w:val="0"/>
          <w:kern w:val="0"/>
          <w:szCs w:val="21"/>
        </w:rPr>
      </w:pPr>
      <w:bookmarkStart w:id="13" w:name="_Toc30158"/>
      <w:r>
        <w:rPr>
          <w:rFonts w:ascii="Times New Roman" w:hAnsi="Times New Roman"/>
          <w:bCs/>
          <w:snapToGrid w:val="0"/>
          <w:kern w:val="0"/>
          <w:szCs w:val="21"/>
        </w:rPr>
        <w:t>单位名称：</w:t>
      </w:r>
      <w:r>
        <w:rPr>
          <w:rFonts w:hint="eastAsia" w:ascii="Times New Roman" w:hAnsi="Times New Roman"/>
          <w:bCs/>
          <w:snapToGrid w:val="0"/>
          <w:kern w:val="0"/>
          <w:szCs w:val="21"/>
          <w:u w:val="single"/>
        </w:rPr>
        <w:t>合肥体育产业投资有限公司</w:t>
      </w:r>
    </w:p>
    <w:p w14:paraId="09DD73A3">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开户银行账号：</w:t>
      </w:r>
      <w:r>
        <w:rPr>
          <w:rFonts w:hint="eastAsia" w:ascii="Times New Roman" w:hAnsi="Times New Roman"/>
          <w:bCs/>
          <w:snapToGrid w:val="0"/>
          <w:kern w:val="0"/>
          <w:szCs w:val="21"/>
          <w:u w:val="single"/>
        </w:rPr>
        <w:t>12184001040029965</w:t>
      </w:r>
    </w:p>
    <w:p w14:paraId="60289080">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开户银行：</w:t>
      </w:r>
      <w:r>
        <w:rPr>
          <w:rFonts w:hint="eastAsia" w:ascii="Times New Roman" w:hAnsi="Times New Roman"/>
          <w:bCs/>
          <w:snapToGrid w:val="0"/>
          <w:kern w:val="0"/>
          <w:szCs w:val="21"/>
          <w:u w:val="single"/>
        </w:rPr>
        <w:t>中国农业银行股份有限公司合肥包河区支行</w:t>
      </w:r>
    </w:p>
    <w:p w14:paraId="17ECED5C">
      <w:pPr>
        <w:widowControl/>
        <w:spacing w:line="460" w:lineRule="exact"/>
        <w:ind w:firstLine="420" w:firstLineChars="200"/>
        <w:jc w:val="left"/>
        <w:rPr>
          <w:rFonts w:ascii="Times New Roman" w:hAnsi="Times New Roman"/>
          <w:bCs/>
          <w:snapToGrid w:val="0"/>
          <w:kern w:val="0"/>
          <w:szCs w:val="21"/>
        </w:rPr>
      </w:pPr>
    </w:p>
    <w:p w14:paraId="32149A5E">
      <w:pPr>
        <w:widowControl/>
        <w:spacing w:line="460" w:lineRule="exact"/>
        <w:ind w:firstLine="420" w:firstLineChars="200"/>
        <w:jc w:val="left"/>
        <w:rPr>
          <w:rFonts w:ascii="Times New Roman" w:hAnsi="Times New Roman"/>
          <w:bCs/>
          <w:snapToGrid w:val="0"/>
          <w:kern w:val="0"/>
          <w:szCs w:val="21"/>
        </w:rPr>
      </w:pPr>
    </w:p>
    <w:p w14:paraId="0AC3E8CB">
      <w:pPr>
        <w:widowControl/>
        <w:spacing w:line="460" w:lineRule="exact"/>
        <w:ind w:firstLine="420" w:firstLineChars="200"/>
        <w:jc w:val="left"/>
        <w:rPr>
          <w:rFonts w:ascii="Times New Roman" w:hAnsi="Times New Roman"/>
          <w:bCs/>
          <w:snapToGrid w:val="0"/>
          <w:kern w:val="0"/>
          <w:szCs w:val="21"/>
        </w:rPr>
      </w:pPr>
    </w:p>
    <w:p w14:paraId="7E01ED88">
      <w:pPr>
        <w:widowControl/>
        <w:spacing w:line="460" w:lineRule="exact"/>
        <w:ind w:firstLine="420" w:firstLineChars="200"/>
        <w:jc w:val="left"/>
        <w:rPr>
          <w:rFonts w:ascii="Times New Roman" w:hAnsi="Times New Roman"/>
          <w:bCs/>
          <w:snapToGrid w:val="0"/>
          <w:kern w:val="0"/>
          <w:szCs w:val="21"/>
        </w:rPr>
      </w:pPr>
    </w:p>
    <w:p w14:paraId="7C163280">
      <w:pPr>
        <w:widowControl/>
        <w:spacing w:line="460" w:lineRule="exact"/>
        <w:ind w:firstLine="420" w:firstLineChars="200"/>
        <w:jc w:val="left"/>
        <w:rPr>
          <w:rFonts w:ascii="Times New Roman" w:hAnsi="Times New Roman"/>
          <w:bCs/>
          <w:snapToGrid w:val="0"/>
          <w:kern w:val="0"/>
          <w:szCs w:val="21"/>
        </w:rPr>
      </w:pPr>
    </w:p>
    <w:p w14:paraId="6818E86E">
      <w:pPr>
        <w:widowControl/>
        <w:spacing w:line="460" w:lineRule="exact"/>
        <w:ind w:firstLine="643" w:firstLineChars="200"/>
        <w:jc w:val="left"/>
        <w:rPr>
          <w:rFonts w:hint="eastAsia" w:ascii="Times New Roman" w:hAnsi="Times New Roman" w:eastAsia="黑体"/>
          <w:b/>
          <w:bCs/>
          <w:sz w:val="32"/>
          <w:szCs w:val="32"/>
        </w:rPr>
      </w:pPr>
    </w:p>
    <w:p w14:paraId="7FF3A4BD">
      <w:pPr>
        <w:pStyle w:val="2"/>
        <w:spacing w:before="240" w:beforeLines="100" w:after="240" w:afterLines="100" w:line="360" w:lineRule="auto"/>
        <w:jc w:val="center"/>
        <w:rPr>
          <w:rFonts w:hint="eastAsia" w:ascii="黑体" w:hAnsi="黑体" w:eastAsia="黑体" w:cs="黑体"/>
          <w:sz w:val="32"/>
          <w:szCs w:val="32"/>
        </w:rPr>
      </w:pPr>
      <w:bookmarkStart w:id="14" w:name="_Toc3556"/>
      <w:r>
        <w:rPr>
          <w:rFonts w:hint="eastAsia" w:ascii="黑体" w:hAnsi="黑体" w:eastAsia="黑体" w:cs="黑体"/>
          <w:sz w:val="32"/>
          <w:szCs w:val="32"/>
        </w:rPr>
        <w:t>第二章  投标人须知</w:t>
      </w:r>
      <w:bookmarkEnd w:id="13"/>
      <w:bookmarkEnd w:id="14"/>
    </w:p>
    <w:p w14:paraId="6A073B8E">
      <w:pPr>
        <w:pStyle w:val="3"/>
        <w:spacing w:before="120" w:beforeLines="50" w:after="120" w:afterLines="50" w:line="500" w:lineRule="exact"/>
        <w:jc w:val="center"/>
        <w:rPr>
          <w:rFonts w:ascii="Times New Roman" w:hAnsi="Times New Roman"/>
          <w:b w:val="0"/>
          <w:sz w:val="28"/>
          <w:szCs w:val="18"/>
        </w:rPr>
      </w:pPr>
      <w:bookmarkStart w:id="15" w:name="_Toc2650"/>
      <w:bookmarkStart w:id="16" w:name="_Toc21016"/>
      <w:bookmarkStart w:id="17" w:name="_Toc7591"/>
      <w:bookmarkStart w:id="18" w:name="_Toc19735"/>
      <w:bookmarkStart w:id="19" w:name="_Toc7779"/>
      <w:bookmarkStart w:id="20" w:name="_Toc5587"/>
      <w:bookmarkStart w:id="21" w:name="_Toc13805"/>
      <w:bookmarkStart w:id="22" w:name="_Toc17753"/>
      <w:r>
        <w:rPr>
          <w:rFonts w:ascii="Times New Roman" w:hAnsi="Times New Roman"/>
          <w:b w:val="0"/>
          <w:sz w:val="28"/>
          <w:szCs w:val="18"/>
        </w:rPr>
        <w:t>投标人须知前附表</w:t>
      </w:r>
      <w:bookmarkEnd w:id="15"/>
      <w:bookmarkEnd w:id="16"/>
      <w:bookmarkEnd w:id="17"/>
      <w:bookmarkEnd w:id="18"/>
      <w:bookmarkEnd w:id="19"/>
      <w:bookmarkEnd w:id="20"/>
      <w:bookmarkEnd w:id="21"/>
      <w:bookmarkEnd w:id="22"/>
    </w:p>
    <w:tbl>
      <w:tblPr>
        <w:tblStyle w:val="43"/>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487"/>
        <w:gridCol w:w="5670"/>
      </w:tblGrid>
      <w:tr w14:paraId="456B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noWrap w:val="0"/>
            <w:vAlign w:val="center"/>
          </w:tcPr>
          <w:p w14:paraId="3B351696">
            <w:pPr>
              <w:spacing w:line="500" w:lineRule="exact"/>
              <w:jc w:val="center"/>
              <w:rPr>
                <w:rFonts w:ascii="Times New Roman" w:hAnsi="Times New Roman"/>
                <w:b/>
              </w:rPr>
            </w:pPr>
            <w:r>
              <w:rPr>
                <w:rFonts w:ascii="Times New Roman" w:hAnsi="Times New Roman"/>
                <w:b/>
              </w:rPr>
              <w:t>条款号</w:t>
            </w:r>
          </w:p>
        </w:tc>
        <w:tc>
          <w:tcPr>
            <w:tcW w:w="2487" w:type="dxa"/>
            <w:noWrap w:val="0"/>
            <w:vAlign w:val="center"/>
          </w:tcPr>
          <w:p w14:paraId="2A58F70C">
            <w:pPr>
              <w:spacing w:line="500" w:lineRule="exact"/>
              <w:jc w:val="center"/>
              <w:rPr>
                <w:rFonts w:ascii="Times New Roman" w:hAnsi="Times New Roman"/>
                <w:b/>
              </w:rPr>
            </w:pPr>
            <w:r>
              <w:rPr>
                <w:rFonts w:ascii="Times New Roman" w:hAnsi="Times New Roman"/>
                <w:b/>
              </w:rPr>
              <w:t>条款名称</w:t>
            </w:r>
          </w:p>
        </w:tc>
        <w:tc>
          <w:tcPr>
            <w:tcW w:w="5670" w:type="dxa"/>
            <w:noWrap w:val="0"/>
            <w:vAlign w:val="center"/>
          </w:tcPr>
          <w:p w14:paraId="48EA4D74">
            <w:pPr>
              <w:spacing w:line="500" w:lineRule="exact"/>
              <w:jc w:val="center"/>
              <w:rPr>
                <w:rFonts w:ascii="Times New Roman" w:hAnsi="Times New Roman"/>
                <w:b/>
              </w:rPr>
            </w:pPr>
            <w:r>
              <w:rPr>
                <w:rFonts w:ascii="Times New Roman" w:hAnsi="Times New Roman"/>
                <w:b/>
              </w:rPr>
              <w:t>编列内容</w:t>
            </w:r>
          </w:p>
        </w:tc>
      </w:tr>
      <w:tr w14:paraId="4B1B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73C0E29">
            <w:pPr>
              <w:spacing w:line="500" w:lineRule="exact"/>
              <w:jc w:val="center"/>
              <w:rPr>
                <w:rFonts w:ascii="Times New Roman" w:hAnsi="Times New Roman"/>
              </w:rPr>
            </w:pPr>
            <w:r>
              <w:rPr>
                <w:rFonts w:ascii="Times New Roman" w:hAnsi="Times New Roman"/>
              </w:rPr>
              <w:t>1.1.2</w:t>
            </w:r>
          </w:p>
        </w:tc>
        <w:tc>
          <w:tcPr>
            <w:tcW w:w="2487" w:type="dxa"/>
            <w:noWrap w:val="0"/>
            <w:vAlign w:val="center"/>
          </w:tcPr>
          <w:p w14:paraId="016B80D7">
            <w:pPr>
              <w:spacing w:line="500" w:lineRule="exact"/>
              <w:jc w:val="center"/>
              <w:rPr>
                <w:rFonts w:ascii="Times New Roman" w:hAnsi="Times New Roman"/>
              </w:rPr>
            </w:pPr>
            <w:r>
              <w:rPr>
                <w:rFonts w:ascii="Times New Roman" w:hAnsi="Times New Roman"/>
              </w:rPr>
              <w:t>招标人</w:t>
            </w:r>
          </w:p>
        </w:tc>
        <w:tc>
          <w:tcPr>
            <w:tcW w:w="5670" w:type="dxa"/>
            <w:noWrap w:val="0"/>
            <w:vAlign w:val="center"/>
          </w:tcPr>
          <w:p w14:paraId="0972E731">
            <w:pPr>
              <w:spacing w:line="500" w:lineRule="exact"/>
              <w:rPr>
                <w:rFonts w:ascii="Times New Roman" w:hAnsi="Times New Roman"/>
              </w:rPr>
            </w:pPr>
            <w:r>
              <w:rPr>
                <w:rFonts w:ascii="Times New Roman" w:hAnsi="Times New Roman"/>
              </w:rPr>
              <w:t>见招标公告</w:t>
            </w:r>
          </w:p>
        </w:tc>
      </w:tr>
      <w:tr w14:paraId="7BDF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BF8C882">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3</w:t>
            </w:r>
          </w:p>
        </w:tc>
        <w:tc>
          <w:tcPr>
            <w:tcW w:w="2487" w:type="dxa"/>
            <w:noWrap w:val="0"/>
            <w:vAlign w:val="center"/>
          </w:tcPr>
          <w:p w14:paraId="40CD70F8">
            <w:pPr>
              <w:spacing w:line="500" w:lineRule="exact"/>
              <w:jc w:val="center"/>
              <w:rPr>
                <w:rFonts w:ascii="Times New Roman" w:hAnsi="Times New Roman"/>
              </w:rPr>
            </w:pPr>
            <w:r>
              <w:rPr>
                <w:rFonts w:ascii="Times New Roman" w:hAnsi="Times New Roman"/>
              </w:rPr>
              <w:t>项目名称</w:t>
            </w:r>
          </w:p>
        </w:tc>
        <w:tc>
          <w:tcPr>
            <w:tcW w:w="5670" w:type="dxa"/>
            <w:noWrap w:val="0"/>
            <w:vAlign w:val="center"/>
          </w:tcPr>
          <w:p w14:paraId="03E3CFEC">
            <w:pPr>
              <w:spacing w:line="500" w:lineRule="exact"/>
              <w:rPr>
                <w:rFonts w:ascii="Times New Roman" w:hAnsi="Times New Roman"/>
              </w:rPr>
            </w:pPr>
            <w:r>
              <w:rPr>
                <w:rFonts w:ascii="Times New Roman" w:hAnsi="Times New Roman"/>
              </w:rPr>
              <w:t>见招标公告</w:t>
            </w:r>
          </w:p>
        </w:tc>
      </w:tr>
      <w:tr w14:paraId="520C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50EDAD3F">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4</w:t>
            </w:r>
          </w:p>
        </w:tc>
        <w:tc>
          <w:tcPr>
            <w:tcW w:w="2487" w:type="dxa"/>
            <w:noWrap w:val="0"/>
            <w:vAlign w:val="center"/>
          </w:tcPr>
          <w:p w14:paraId="221821DD">
            <w:pPr>
              <w:spacing w:line="500" w:lineRule="exact"/>
              <w:jc w:val="center"/>
              <w:rPr>
                <w:rFonts w:ascii="Times New Roman" w:hAnsi="Times New Roman"/>
                <w:color w:val="000000"/>
              </w:rPr>
            </w:pPr>
            <w:r>
              <w:rPr>
                <w:rFonts w:ascii="Times New Roman" w:hAnsi="Times New Roman"/>
                <w:color w:val="000000"/>
              </w:rPr>
              <w:t>项目地点</w:t>
            </w:r>
          </w:p>
        </w:tc>
        <w:tc>
          <w:tcPr>
            <w:tcW w:w="5670" w:type="dxa"/>
            <w:noWrap w:val="0"/>
            <w:vAlign w:val="center"/>
          </w:tcPr>
          <w:p w14:paraId="7476C83F">
            <w:pPr>
              <w:spacing w:line="500" w:lineRule="exact"/>
              <w:rPr>
                <w:rFonts w:ascii="Times New Roman" w:hAnsi="Times New Roman"/>
                <w:color w:val="000000"/>
              </w:rPr>
            </w:pPr>
            <w:r>
              <w:rPr>
                <w:rFonts w:ascii="Times New Roman" w:hAnsi="Times New Roman"/>
                <w:color w:val="000000"/>
              </w:rPr>
              <w:t>见招标公告</w:t>
            </w:r>
          </w:p>
        </w:tc>
      </w:tr>
      <w:tr w14:paraId="7729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8B3D5AE">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5</w:t>
            </w:r>
          </w:p>
        </w:tc>
        <w:tc>
          <w:tcPr>
            <w:tcW w:w="2487" w:type="dxa"/>
            <w:noWrap w:val="0"/>
            <w:vAlign w:val="center"/>
          </w:tcPr>
          <w:p w14:paraId="583E5254">
            <w:pPr>
              <w:spacing w:line="500" w:lineRule="exact"/>
              <w:jc w:val="center"/>
              <w:rPr>
                <w:rFonts w:ascii="Times New Roman" w:hAnsi="Times New Roman"/>
                <w:color w:val="000000"/>
              </w:rPr>
            </w:pPr>
            <w:r>
              <w:rPr>
                <w:rFonts w:ascii="Times New Roman" w:hAnsi="Times New Roman"/>
                <w:color w:val="000000"/>
              </w:rPr>
              <w:t>项目规模</w:t>
            </w:r>
          </w:p>
        </w:tc>
        <w:tc>
          <w:tcPr>
            <w:tcW w:w="5670" w:type="dxa"/>
            <w:noWrap w:val="0"/>
            <w:vAlign w:val="center"/>
          </w:tcPr>
          <w:p w14:paraId="54CD2F9B">
            <w:pPr>
              <w:spacing w:line="500" w:lineRule="exact"/>
              <w:rPr>
                <w:rFonts w:ascii="Times New Roman" w:hAnsi="Times New Roman"/>
                <w:color w:val="000000"/>
              </w:rPr>
            </w:pPr>
            <w:r>
              <w:rPr>
                <w:rFonts w:ascii="Times New Roman" w:hAnsi="Times New Roman"/>
                <w:color w:val="000000"/>
              </w:rPr>
              <w:t>见招标公告</w:t>
            </w:r>
          </w:p>
        </w:tc>
      </w:tr>
      <w:tr w14:paraId="54D6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7AAA46D">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6</w:t>
            </w:r>
          </w:p>
        </w:tc>
        <w:tc>
          <w:tcPr>
            <w:tcW w:w="2487" w:type="dxa"/>
            <w:noWrap w:val="0"/>
            <w:vAlign w:val="center"/>
          </w:tcPr>
          <w:p w14:paraId="20BB29F5">
            <w:pPr>
              <w:spacing w:line="500" w:lineRule="exact"/>
              <w:jc w:val="center"/>
              <w:rPr>
                <w:rFonts w:ascii="Times New Roman" w:hAnsi="Times New Roman"/>
                <w:color w:val="000000"/>
              </w:rPr>
            </w:pPr>
            <w:r>
              <w:rPr>
                <w:rFonts w:ascii="Times New Roman" w:hAnsi="Times New Roman"/>
                <w:color w:val="000000"/>
              </w:rPr>
              <w:t>项目预计进场日期</w:t>
            </w:r>
          </w:p>
        </w:tc>
        <w:tc>
          <w:tcPr>
            <w:tcW w:w="5670" w:type="dxa"/>
            <w:noWrap w:val="0"/>
            <w:vAlign w:val="center"/>
          </w:tcPr>
          <w:p w14:paraId="6978F6A0">
            <w:pPr>
              <w:spacing w:line="500" w:lineRule="exact"/>
              <w:rPr>
                <w:rFonts w:ascii="Times New Roman" w:hAnsi="Times New Roman"/>
                <w:color w:val="000000"/>
              </w:rPr>
            </w:pPr>
            <w:r>
              <w:rPr>
                <w:rFonts w:ascii="Times New Roman" w:hAnsi="Times New Roman"/>
                <w:color w:val="000000"/>
              </w:rPr>
              <w:t>见招标公告</w:t>
            </w:r>
          </w:p>
        </w:tc>
      </w:tr>
      <w:tr w14:paraId="318F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9F9F0ED">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7</w:t>
            </w:r>
          </w:p>
        </w:tc>
        <w:tc>
          <w:tcPr>
            <w:tcW w:w="2487" w:type="dxa"/>
            <w:noWrap w:val="0"/>
            <w:vAlign w:val="center"/>
          </w:tcPr>
          <w:p w14:paraId="546EA08E">
            <w:pPr>
              <w:spacing w:line="500" w:lineRule="exact"/>
              <w:jc w:val="center"/>
              <w:rPr>
                <w:rFonts w:ascii="Times New Roman" w:hAnsi="Times New Roman"/>
                <w:color w:val="000000"/>
              </w:rPr>
            </w:pPr>
            <w:r>
              <w:rPr>
                <w:rFonts w:ascii="Times New Roman" w:hAnsi="Times New Roman"/>
                <w:color w:val="000000"/>
              </w:rPr>
              <w:t>合同估算价</w:t>
            </w:r>
          </w:p>
        </w:tc>
        <w:tc>
          <w:tcPr>
            <w:tcW w:w="5670" w:type="dxa"/>
            <w:noWrap w:val="0"/>
            <w:vAlign w:val="center"/>
          </w:tcPr>
          <w:p w14:paraId="5F913D6C">
            <w:pPr>
              <w:spacing w:line="500" w:lineRule="exact"/>
              <w:rPr>
                <w:rFonts w:ascii="Times New Roman" w:hAnsi="Times New Roman"/>
                <w:color w:val="000000"/>
              </w:rPr>
            </w:pPr>
            <w:r>
              <w:rPr>
                <w:rFonts w:ascii="Times New Roman" w:hAnsi="Times New Roman"/>
                <w:color w:val="000000"/>
              </w:rPr>
              <w:t>见招标公告</w:t>
            </w:r>
          </w:p>
        </w:tc>
      </w:tr>
      <w:tr w14:paraId="4FB1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0FC3A77">
            <w:pPr>
              <w:spacing w:line="500" w:lineRule="exact"/>
              <w:jc w:val="center"/>
              <w:rPr>
                <w:rFonts w:ascii="Times New Roman" w:hAnsi="Times New Roman"/>
              </w:rPr>
            </w:pPr>
            <w:r>
              <w:rPr>
                <w:rFonts w:ascii="Times New Roman" w:hAnsi="Times New Roman"/>
              </w:rPr>
              <w:t>1.2.1</w:t>
            </w:r>
          </w:p>
        </w:tc>
        <w:tc>
          <w:tcPr>
            <w:tcW w:w="2487" w:type="dxa"/>
            <w:noWrap w:val="0"/>
            <w:vAlign w:val="center"/>
          </w:tcPr>
          <w:p w14:paraId="21533618">
            <w:pPr>
              <w:spacing w:line="500" w:lineRule="exact"/>
              <w:jc w:val="center"/>
              <w:rPr>
                <w:rFonts w:ascii="Times New Roman" w:hAnsi="Times New Roman"/>
                <w:color w:val="000000"/>
              </w:rPr>
            </w:pPr>
            <w:r>
              <w:rPr>
                <w:rFonts w:ascii="Times New Roman" w:hAnsi="Times New Roman"/>
                <w:color w:val="000000"/>
              </w:rPr>
              <w:t>资金来源</w:t>
            </w:r>
          </w:p>
        </w:tc>
        <w:tc>
          <w:tcPr>
            <w:tcW w:w="5670" w:type="dxa"/>
            <w:noWrap w:val="0"/>
            <w:vAlign w:val="center"/>
          </w:tcPr>
          <w:p w14:paraId="47770242">
            <w:pPr>
              <w:spacing w:line="500" w:lineRule="exact"/>
              <w:rPr>
                <w:rFonts w:ascii="Times New Roman" w:hAnsi="Times New Roman"/>
                <w:color w:val="000000"/>
              </w:rPr>
            </w:pPr>
            <w:r>
              <w:rPr>
                <w:rFonts w:ascii="Times New Roman" w:hAnsi="Times New Roman"/>
                <w:color w:val="000000"/>
              </w:rPr>
              <w:t>见招标公告</w:t>
            </w:r>
          </w:p>
        </w:tc>
      </w:tr>
      <w:tr w14:paraId="1EA9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20A496D">
            <w:pPr>
              <w:spacing w:line="500" w:lineRule="exact"/>
              <w:jc w:val="center"/>
              <w:rPr>
                <w:rFonts w:ascii="Times New Roman" w:hAnsi="Times New Roman"/>
              </w:rPr>
            </w:pPr>
            <w:r>
              <w:rPr>
                <w:rFonts w:ascii="Times New Roman" w:hAnsi="Times New Roman"/>
              </w:rPr>
              <w:t>1.2.2</w:t>
            </w:r>
          </w:p>
        </w:tc>
        <w:tc>
          <w:tcPr>
            <w:tcW w:w="2487" w:type="dxa"/>
            <w:noWrap w:val="0"/>
            <w:vAlign w:val="center"/>
          </w:tcPr>
          <w:p w14:paraId="33016A6B">
            <w:pPr>
              <w:spacing w:line="500" w:lineRule="exact"/>
              <w:jc w:val="center"/>
              <w:rPr>
                <w:rFonts w:ascii="Times New Roman" w:hAnsi="Times New Roman"/>
              </w:rPr>
            </w:pPr>
            <w:r>
              <w:rPr>
                <w:rFonts w:ascii="Times New Roman" w:hAnsi="Times New Roman"/>
              </w:rPr>
              <w:t>资金落实情况</w:t>
            </w:r>
          </w:p>
        </w:tc>
        <w:tc>
          <w:tcPr>
            <w:tcW w:w="5670" w:type="dxa"/>
            <w:noWrap w:val="0"/>
            <w:vAlign w:val="center"/>
          </w:tcPr>
          <w:p w14:paraId="2F82D6B9">
            <w:pPr>
              <w:spacing w:line="500" w:lineRule="exact"/>
              <w:rPr>
                <w:rFonts w:ascii="Times New Roman" w:hAnsi="Times New Roman"/>
              </w:rPr>
            </w:pPr>
            <w:r>
              <w:rPr>
                <w:rFonts w:ascii="Times New Roman" w:hAnsi="Times New Roman"/>
              </w:rPr>
              <w:t>已落实</w:t>
            </w:r>
          </w:p>
        </w:tc>
      </w:tr>
      <w:tr w14:paraId="0612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2417E72">
            <w:pPr>
              <w:spacing w:line="500" w:lineRule="exact"/>
              <w:jc w:val="center"/>
              <w:rPr>
                <w:rFonts w:ascii="Times New Roman" w:hAnsi="Times New Roman"/>
              </w:rPr>
            </w:pPr>
            <w:r>
              <w:rPr>
                <w:rFonts w:ascii="Times New Roman" w:hAnsi="Times New Roman"/>
              </w:rPr>
              <w:t>1.3.1</w:t>
            </w:r>
          </w:p>
        </w:tc>
        <w:tc>
          <w:tcPr>
            <w:tcW w:w="2487" w:type="dxa"/>
            <w:noWrap w:val="0"/>
            <w:vAlign w:val="center"/>
          </w:tcPr>
          <w:p w14:paraId="7962FBAE">
            <w:pPr>
              <w:spacing w:line="500" w:lineRule="exact"/>
              <w:jc w:val="center"/>
              <w:rPr>
                <w:rFonts w:ascii="Times New Roman" w:hAnsi="Times New Roman"/>
              </w:rPr>
            </w:pPr>
            <w:r>
              <w:rPr>
                <w:rFonts w:ascii="Times New Roman" w:hAnsi="Times New Roman"/>
              </w:rPr>
              <w:t>招标范围</w:t>
            </w:r>
          </w:p>
        </w:tc>
        <w:tc>
          <w:tcPr>
            <w:tcW w:w="5670" w:type="dxa"/>
            <w:noWrap w:val="0"/>
            <w:vAlign w:val="center"/>
          </w:tcPr>
          <w:p w14:paraId="69DCD407">
            <w:pPr>
              <w:spacing w:line="500" w:lineRule="exact"/>
              <w:rPr>
                <w:rFonts w:ascii="Times New Roman" w:hAnsi="Times New Roman"/>
              </w:rPr>
            </w:pPr>
            <w:r>
              <w:rPr>
                <w:rFonts w:ascii="Times New Roman" w:hAnsi="Times New Roman"/>
                <w:color w:val="000000"/>
              </w:rPr>
              <w:t>见招标公告</w:t>
            </w:r>
          </w:p>
        </w:tc>
      </w:tr>
      <w:tr w14:paraId="2731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0F0C2FB">
            <w:pPr>
              <w:spacing w:line="500" w:lineRule="exact"/>
              <w:jc w:val="center"/>
              <w:rPr>
                <w:rFonts w:ascii="Times New Roman" w:hAnsi="Times New Roman"/>
              </w:rPr>
            </w:pPr>
            <w:r>
              <w:rPr>
                <w:rFonts w:ascii="Times New Roman" w:hAnsi="Times New Roman"/>
              </w:rPr>
              <w:t>1.3.2</w:t>
            </w:r>
          </w:p>
        </w:tc>
        <w:tc>
          <w:tcPr>
            <w:tcW w:w="2487" w:type="dxa"/>
            <w:noWrap w:val="0"/>
            <w:vAlign w:val="center"/>
          </w:tcPr>
          <w:p w14:paraId="11FC41BE">
            <w:pPr>
              <w:spacing w:line="500" w:lineRule="exact"/>
              <w:jc w:val="center"/>
              <w:rPr>
                <w:rFonts w:ascii="Times New Roman" w:hAnsi="Times New Roman"/>
              </w:rPr>
            </w:pPr>
            <w:r>
              <w:rPr>
                <w:rFonts w:ascii="Times New Roman" w:hAnsi="Times New Roman"/>
              </w:rPr>
              <w:t>服务期限</w:t>
            </w:r>
          </w:p>
        </w:tc>
        <w:tc>
          <w:tcPr>
            <w:tcW w:w="5670" w:type="dxa"/>
            <w:noWrap w:val="0"/>
            <w:vAlign w:val="center"/>
          </w:tcPr>
          <w:p w14:paraId="444BA615">
            <w:pPr>
              <w:spacing w:line="500" w:lineRule="exact"/>
              <w:rPr>
                <w:rFonts w:ascii="Times New Roman" w:hAnsi="Times New Roman"/>
              </w:rPr>
            </w:pPr>
            <w:r>
              <w:rPr>
                <w:rFonts w:ascii="Times New Roman" w:hAnsi="Times New Roman"/>
              </w:rPr>
              <w:t>见招标公告</w:t>
            </w:r>
          </w:p>
        </w:tc>
      </w:tr>
      <w:tr w14:paraId="4EA9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510AF8E">
            <w:pPr>
              <w:spacing w:line="500" w:lineRule="exact"/>
              <w:jc w:val="center"/>
              <w:rPr>
                <w:rFonts w:ascii="Times New Roman" w:hAnsi="Times New Roman"/>
              </w:rPr>
            </w:pPr>
            <w:r>
              <w:rPr>
                <w:rFonts w:ascii="Times New Roman" w:hAnsi="Times New Roman"/>
              </w:rPr>
              <w:t>1.3.3</w:t>
            </w:r>
          </w:p>
        </w:tc>
        <w:tc>
          <w:tcPr>
            <w:tcW w:w="2487" w:type="dxa"/>
            <w:noWrap w:val="0"/>
            <w:vAlign w:val="center"/>
          </w:tcPr>
          <w:p w14:paraId="162A346F">
            <w:pPr>
              <w:spacing w:line="500" w:lineRule="exact"/>
              <w:jc w:val="center"/>
              <w:rPr>
                <w:rFonts w:ascii="Times New Roman" w:hAnsi="Times New Roman"/>
              </w:rPr>
            </w:pPr>
            <w:r>
              <w:rPr>
                <w:rFonts w:ascii="Times New Roman" w:hAnsi="Times New Roman"/>
              </w:rPr>
              <w:t>质量要求</w:t>
            </w:r>
          </w:p>
        </w:tc>
        <w:tc>
          <w:tcPr>
            <w:tcW w:w="5670" w:type="dxa"/>
            <w:noWrap w:val="0"/>
            <w:vAlign w:val="center"/>
          </w:tcPr>
          <w:p w14:paraId="12464580">
            <w:pPr>
              <w:spacing w:line="500" w:lineRule="exact"/>
              <w:jc w:val="left"/>
              <w:rPr>
                <w:rFonts w:ascii="Times New Roman" w:hAnsi="Times New Roman"/>
              </w:rPr>
            </w:pPr>
            <w:r>
              <w:rPr>
                <w:rFonts w:ascii="Times New Roman" w:hAnsi="Times New Roman"/>
              </w:rPr>
              <w:t xml:space="preserve">质量标准： </w:t>
            </w:r>
            <w:r>
              <w:rPr>
                <w:rFonts w:ascii="Times New Roman" w:hAnsi="Times New Roman"/>
                <w:u w:val="single"/>
              </w:rPr>
              <w:t xml:space="preserve">   </w:t>
            </w:r>
            <w:r>
              <w:rPr>
                <w:rFonts w:hint="eastAsia" w:ascii="Times New Roman" w:hAnsi="Times New Roman"/>
                <w:u w:val="single"/>
                <w:lang w:val="en-US" w:eastAsia="zh-CN"/>
              </w:rPr>
              <w:t>合格</w:t>
            </w:r>
            <w:r>
              <w:rPr>
                <w:rFonts w:ascii="Times New Roman" w:hAnsi="Times New Roman"/>
                <w:u w:val="single"/>
              </w:rPr>
              <w:t xml:space="preserve">    </w:t>
            </w:r>
          </w:p>
        </w:tc>
      </w:tr>
      <w:tr w14:paraId="69EF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C973B59">
            <w:pPr>
              <w:spacing w:line="500" w:lineRule="exact"/>
              <w:jc w:val="center"/>
              <w:rPr>
                <w:rFonts w:ascii="Times New Roman" w:hAnsi="Times New Roman"/>
              </w:rPr>
            </w:pPr>
            <w:r>
              <w:rPr>
                <w:rFonts w:ascii="Times New Roman" w:hAnsi="Times New Roman"/>
              </w:rPr>
              <w:t>1.4.1</w:t>
            </w:r>
          </w:p>
        </w:tc>
        <w:tc>
          <w:tcPr>
            <w:tcW w:w="2487" w:type="dxa"/>
            <w:noWrap w:val="0"/>
            <w:vAlign w:val="center"/>
          </w:tcPr>
          <w:p w14:paraId="3B110128">
            <w:pPr>
              <w:spacing w:line="500" w:lineRule="exact"/>
              <w:jc w:val="center"/>
              <w:rPr>
                <w:rFonts w:ascii="Times New Roman" w:hAnsi="Times New Roman"/>
              </w:rPr>
            </w:pPr>
            <w:r>
              <w:rPr>
                <w:rFonts w:ascii="Times New Roman" w:hAnsi="Times New Roman"/>
              </w:rPr>
              <w:t>投标人资质条件、能力和信誉</w:t>
            </w:r>
          </w:p>
        </w:tc>
        <w:tc>
          <w:tcPr>
            <w:tcW w:w="5670" w:type="dxa"/>
            <w:noWrap w:val="0"/>
            <w:vAlign w:val="center"/>
          </w:tcPr>
          <w:p w14:paraId="4D8CCA8F">
            <w:pPr>
              <w:spacing w:line="500" w:lineRule="exact"/>
              <w:rPr>
                <w:rFonts w:ascii="Times New Roman" w:hAnsi="Times New Roman"/>
              </w:rPr>
            </w:pPr>
            <w:r>
              <w:rPr>
                <w:rFonts w:ascii="Times New Roman" w:hAnsi="Times New Roman"/>
              </w:rPr>
              <w:t>（1）资质要求：见附录1</w:t>
            </w:r>
          </w:p>
          <w:p w14:paraId="17307F12">
            <w:pPr>
              <w:spacing w:line="500" w:lineRule="exact"/>
              <w:rPr>
                <w:rFonts w:ascii="Times New Roman" w:hAnsi="Times New Roman"/>
              </w:rPr>
            </w:pPr>
            <w:r>
              <w:rPr>
                <w:rFonts w:ascii="Times New Roman" w:hAnsi="Times New Roman"/>
              </w:rPr>
              <w:t>（2）业绩要求：见附录2</w:t>
            </w:r>
          </w:p>
          <w:p w14:paraId="374D53EA">
            <w:pPr>
              <w:spacing w:line="500" w:lineRule="exact"/>
              <w:rPr>
                <w:rFonts w:ascii="Times New Roman" w:hAnsi="Times New Roman"/>
              </w:rPr>
            </w:pPr>
            <w:r>
              <w:rPr>
                <w:rFonts w:ascii="Times New Roman" w:hAnsi="Times New Roman"/>
              </w:rPr>
              <w:t>（3）信誉要求：见附录3</w:t>
            </w:r>
          </w:p>
          <w:p w14:paraId="1C396311">
            <w:pPr>
              <w:spacing w:line="500" w:lineRule="exact"/>
              <w:rPr>
                <w:rFonts w:ascii="Times New Roman" w:hAnsi="Times New Roman"/>
              </w:rPr>
            </w:pPr>
            <w:r>
              <w:rPr>
                <w:rFonts w:ascii="Times New Roman" w:hAnsi="Times New Roman"/>
              </w:rPr>
              <w:t>（4）项目负责人的资格及业绩要求：见附录4</w:t>
            </w:r>
          </w:p>
          <w:p w14:paraId="1E52302E">
            <w:pPr>
              <w:spacing w:line="500" w:lineRule="exact"/>
              <w:rPr>
                <w:rFonts w:ascii="Times New Roman" w:hAnsi="Times New Roman"/>
              </w:rPr>
            </w:pPr>
            <w:r>
              <w:rPr>
                <w:rFonts w:ascii="Times New Roman" w:hAnsi="Times New Roman"/>
              </w:rPr>
              <w:t>（5）其他主要人员要求：见附录5</w:t>
            </w:r>
          </w:p>
          <w:p w14:paraId="78959DA1">
            <w:pPr>
              <w:spacing w:line="500" w:lineRule="exact"/>
              <w:rPr>
                <w:rFonts w:ascii="Times New Roman" w:hAnsi="Times New Roman"/>
              </w:rPr>
            </w:pPr>
            <w:r>
              <w:rPr>
                <w:rFonts w:ascii="Times New Roman" w:hAnsi="Times New Roman"/>
              </w:rPr>
              <w:t>（6）其他要求：见附录6</w:t>
            </w:r>
          </w:p>
        </w:tc>
      </w:tr>
      <w:tr w14:paraId="0570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AA91393">
            <w:pPr>
              <w:spacing w:line="500" w:lineRule="exact"/>
              <w:jc w:val="center"/>
              <w:rPr>
                <w:rFonts w:ascii="Times New Roman" w:hAnsi="Times New Roman"/>
              </w:rPr>
            </w:pPr>
            <w:r>
              <w:rPr>
                <w:rFonts w:ascii="Times New Roman" w:hAnsi="Times New Roman"/>
              </w:rPr>
              <w:t>1.4.2</w:t>
            </w:r>
          </w:p>
        </w:tc>
        <w:tc>
          <w:tcPr>
            <w:tcW w:w="2487" w:type="dxa"/>
            <w:noWrap w:val="0"/>
            <w:vAlign w:val="center"/>
          </w:tcPr>
          <w:p w14:paraId="41F2756C">
            <w:pPr>
              <w:spacing w:line="500" w:lineRule="exact"/>
              <w:jc w:val="center"/>
              <w:rPr>
                <w:rFonts w:ascii="Times New Roman" w:hAnsi="Times New Roman"/>
              </w:rPr>
            </w:pPr>
            <w:r>
              <w:rPr>
                <w:rFonts w:ascii="Times New Roman" w:hAnsi="Times New Roman"/>
              </w:rPr>
              <w:t>是否接受联合体投标</w:t>
            </w:r>
          </w:p>
        </w:tc>
        <w:tc>
          <w:tcPr>
            <w:tcW w:w="5670" w:type="dxa"/>
            <w:noWrap w:val="0"/>
            <w:vAlign w:val="center"/>
          </w:tcPr>
          <w:p w14:paraId="64FD74C1">
            <w:pPr>
              <w:topLinePunct/>
              <w:spacing w:line="500" w:lineRule="exact"/>
              <w:rPr>
                <w:rFonts w:ascii="Times New Roman" w:hAnsi="Times New Roman"/>
              </w:rPr>
            </w:pPr>
            <w:r>
              <w:rPr>
                <w:rFonts w:hint="eastAsia" w:ascii="Times New Roman" w:hAnsi="Times New Roman"/>
                <w:sz w:val="32"/>
              </w:rPr>
              <w:t>☑</w:t>
            </w:r>
            <w:r>
              <w:rPr>
                <w:rFonts w:ascii="Times New Roman" w:hAnsi="Times New Roman"/>
              </w:rPr>
              <w:t>不接受</w:t>
            </w:r>
          </w:p>
          <w:p w14:paraId="63FC7360">
            <w:pPr>
              <w:spacing w:line="500" w:lineRule="exact"/>
              <w:rPr>
                <w:rFonts w:ascii="Times New Roman" w:hAnsi="Times New Roman"/>
                <w:u w:val="single"/>
              </w:rPr>
            </w:pPr>
            <w:r>
              <w:rPr>
                <w:rFonts w:ascii="Times New Roman" w:hAnsi="Times New Roman"/>
                <w:sz w:val="32"/>
              </w:rPr>
              <w:t>□</w:t>
            </w:r>
            <w:r>
              <w:rPr>
                <w:rFonts w:ascii="Times New Roman" w:hAnsi="Times New Roman"/>
              </w:rPr>
              <w:t>接受，应满足下列要求：</w:t>
            </w:r>
            <w:r>
              <w:rPr>
                <w:rFonts w:ascii="Times New Roman" w:hAnsi="Times New Roman"/>
                <w:u w:val="single"/>
              </w:rPr>
              <w:t xml:space="preserve">              </w:t>
            </w:r>
          </w:p>
          <w:p w14:paraId="203A4D51">
            <w:pPr>
              <w:spacing w:line="500" w:lineRule="exact"/>
              <w:rPr>
                <w:rFonts w:ascii="Times New Roman" w:hAnsi="Times New Roman"/>
                <w:u w:val="single"/>
              </w:rPr>
            </w:pPr>
            <w:r>
              <w:rPr>
                <w:rFonts w:ascii="Times New Roman" w:hAnsi="Times New Roman"/>
              </w:rPr>
              <w:t>以联合体形式参加投标的，对本项目中标候选人公示有异议的，应由联合体成员方共同或联合体牵头人按相关规定提出。</w:t>
            </w:r>
          </w:p>
        </w:tc>
      </w:tr>
      <w:tr w14:paraId="7DA5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2C3B73C">
            <w:pPr>
              <w:spacing w:line="500" w:lineRule="exact"/>
              <w:jc w:val="center"/>
              <w:rPr>
                <w:rFonts w:ascii="Times New Roman" w:hAnsi="Times New Roman"/>
              </w:rPr>
            </w:pPr>
            <w:r>
              <w:rPr>
                <w:rFonts w:ascii="Times New Roman" w:hAnsi="Times New Roman"/>
              </w:rPr>
              <w:t>1.4.3</w:t>
            </w:r>
          </w:p>
        </w:tc>
        <w:tc>
          <w:tcPr>
            <w:tcW w:w="2487" w:type="dxa"/>
            <w:noWrap w:val="0"/>
            <w:vAlign w:val="center"/>
          </w:tcPr>
          <w:p w14:paraId="6BA40C53">
            <w:pPr>
              <w:spacing w:line="500" w:lineRule="exact"/>
              <w:jc w:val="center"/>
              <w:rPr>
                <w:rFonts w:ascii="Times New Roman" w:hAnsi="Times New Roman"/>
              </w:rPr>
            </w:pPr>
            <w:r>
              <w:rPr>
                <w:rFonts w:ascii="Times New Roman" w:hAnsi="Times New Roman"/>
                <w:szCs w:val="21"/>
              </w:rPr>
              <w:t>投</w:t>
            </w:r>
            <w:r>
              <w:rPr>
                <w:rFonts w:ascii="Times New Roman" w:hAnsi="Times New Roman"/>
              </w:rPr>
              <w:t>标人不得存在的其他关联情形</w:t>
            </w:r>
          </w:p>
        </w:tc>
        <w:tc>
          <w:tcPr>
            <w:tcW w:w="5670" w:type="dxa"/>
            <w:noWrap w:val="0"/>
            <w:vAlign w:val="center"/>
          </w:tcPr>
          <w:p w14:paraId="52E009BE">
            <w:pPr>
              <w:topLinePunct/>
              <w:spacing w:line="500" w:lineRule="exact"/>
              <w:rPr>
                <w:rFonts w:ascii="Times New Roman" w:hAnsi="Times New Roman"/>
                <w:color w:val="FF0000"/>
                <w:sz w:val="32"/>
              </w:rPr>
            </w:pPr>
            <w:r>
              <w:rPr>
                <w:rFonts w:hint="eastAsia" w:ascii="Times New Roman" w:hAnsi="Times New Roman"/>
                <w:color w:val="000000"/>
                <w:lang w:eastAsia="zh-CN"/>
              </w:rPr>
              <w:t>☑</w:t>
            </w:r>
            <w:r>
              <w:rPr>
                <w:rFonts w:hint="eastAsia" w:ascii="Times New Roman" w:hAnsi="Times New Roman"/>
                <w:bCs/>
                <w:snapToGrid w:val="0"/>
                <w:color w:val="000000"/>
                <w:kern w:val="0"/>
                <w:szCs w:val="21"/>
                <w:lang w:val="en-US" w:eastAsia="zh-CN"/>
              </w:rPr>
              <w:t>/</w:t>
            </w:r>
            <w:r>
              <w:rPr>
                <w:rFonts w:ascii="Times New Roman" w:hAnsi="Times New Roman"/>
                <w:bCs/>
                <w:snapToGrid w:val="0"/>
                <w:color w:val="000000"/>
                <w:kern w:val="0"/>
                <w:szCs w:val="21"/>
              </w:rPr>
              <w:t>…</w:t>
            </w:r>
          </w:p>
        </w:tc>
      </w:tr>
      <w:tr w14:paraId="1A7B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43CC783">
            <w:pPr>
              <w:spacing w:line="500" w:lineRule="exact"/>
              <w:jc w:val="center"/>
              <w:rPr>
                <w:rFonts w:ascii="Times New Roman" w:hAnsi="Times New Roman"/>
              </w:rPr>
            </w:pPr>
            <w:r>
              <w:rPr>
                <w:rFonts w:ascii="Times New Roman" w:hAnsi="Times New Roman"/>
              </w:rPr>
              <w:t>1.4.4</w:t>
            </w:r>
          </w:p>
        </w:tc>
        <w:tc>
          <w:tcPr>
            <w:tcW w:w="2487" w:type="dxa"/>
            <w:noWrap w:val="0"/>
            <w:vAlign w:val="center"/>
          </w:tcPr>
          <w:p w14:paraId="408A3422">
            <w:pPr>
              <w:snapToGrid w:val="0"/>
              <w:spacing w:line="500" w:lineRule="exact"/>
              <w:jc w:val="center"/>
              <w:rPr>
                <w:rFonts w:ascii="Times New Roman" w:hAnsi="Times New Roman"/>
                <w:color w:val="FF0000"/>
                <w:szCs w:val="21"/>
              </w:rPr>
            </w:pPr>
            <w:r>
              <w:rPr>
                <w:rFonts w:ascii="Times New Roman" w:hAnsi="Times New Roman"/>
              </w:rPr>
              <w:t>投标人不得存在的其他不良状况或不良信用记录</w:t>
            </w:r>
          </w:p>
        </w:tc>
        <w:tc>
          <w:tcPr>
            <w:tcW w:w="5670" w:type="dxa"/>
            <w:noWrap w:val="0"/>
            <w:vAlign w:val="center"/>
          </w:tcPr>
          <w:p w14:paraId="547E4A14">
            <w:pPr>
              <w:snapToGrid w:val="0"/>
              <w:spacing w:line="500" w:lineRule="exact"/>
              <w:rPr>
                <w:rFonts w:ascii="Times New Roman" w:hAnsi="Times New Roman"/>
                <w:color w:val="FF0000"/>
                <w:sz w:val="32"/>
              </w:rPr>
            </w:pPr>
            <w:r>
              <w:rPr>
                <w:rFonts w:ascii="Times New Roman" w:hAnsi="Times New Roman"/>
              </w:rPr>
              <w:t>详见“投标人须知”</w:t>
            </w:r>
          </w:p>
        </w:tc>
      </w:tr>
      <w:tr w14:paraId="19AE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5458653">
            <w:pPr>
              <w:spacing w:line="500" w:lineRule="exact"/>
              <w:jc w:val="center"/>
              <w:rPr>
                <w:rFonts w:ascii="Times New Roman" w:hAnsi="Times New Roman"/>
              </w:rPr>
            </w:pPr>
            <w:r>
              <w:rPr>
                <w:rFonts w:ascii="Times New Roman" w:hAnsi="Times New Roman"/>
              </w:rPr>
              <w:t>1.9.1</w:t>
            </w:r>
          </w:p>
        </w:tc>
        <w:tc>
          <w:tcPr>
            <w:tcW w:w="2487" w:type="dxa"/>
            <w:noWrap w:val="0"/>
            <w:vAlign w:val="center"/>
          </w:tcPr>
          <w:p w14:paraId="7CA775D3">
            <w:pPr>
              <w:spacing w:line="500" w:lineRule="exact"/>
              <w:jc w:val="center"/>
              <w:rPr>
                <w:rFonts w:ascii="Times New Roman" w:hAnsi="Times New Roman"/>
                <w:color w:val="000000"/>
              </w:rPr>
            </w:pPr>
            <w:r>
              <w:rPr>
                <w:rFonts w:ascii="Times New Roman" w:hAnsi="Times New Roman"/>
                <w:color w:val="000000"/>
              </w:rPr>
              <w:t>踏勘现场</w:t>
            </w:r>
          </w:p>
        </w:tc>
        <w:tc>
          <w:tcPr>
            <w:tcW w:w="5670" w:type="dxa"/>
            <w:noWrap w:val="0"/>
            <w:vAlign w:val="center"/>
          </w:tcPr>
          <w:p w14:paraId="4BBF9559">
            <w:pPr>
              <w:pStyle w:val="15"/>
              <w:topLinePunct/>
              <w:spacing w:line="500" w:lineRule="exact"/>
              <w:rPr>
                <w:rFonts w:ascii="Times New Roman" w:hAnsi="Times New Roman"/>
                <w:color w:val="000000"/>
                <w:sz w:val="21"/>
                <w:szCs w:val="21"/>
              </w:rPr>
            </w:pPr>
            <w:r>
              <w:rPr>
                <w:rFonts w:ascii="Times New Roman" w:hAnsi="Times New Roman"/>
                <w:b/>
                <w:bCs/>
                <w:color w:val="000000"/>
                <w:szCs w:val="21"/>
              </w:rPr>
              <w:sym w:font="Wingdings" w:char="F0FE"/>
            </w:r>
            <w:r>
              <w:rPr>
                <w:rFonts w:ascii="Times New Roman" w:hAnsi="Times New Roman"/>
                <w:color w:val="000000"/>
                <w:sz w:val="21"/>
                <w:szCs w:val="21"/>
              </w:rPr>
              <w:t>不组织，投标人自行踏勘。</w:t>
            </w:r>
          </w:p>
          <w:p w14:paraId="0C87C058">
            <w:pPr>
              <w:pStyle w:val="15"/>
              <w:topLinePunct/>
              <w:spacing w:line="500" w:lineRule="exact"/>
              <w:rPr>
                <w:rFonts w:ascii="Times New Roman" w:hAnsi="Times New Roman"/>
                <w:color w:val="000000"/>
                <w:sz w:val="21"/>
                <w:szCs w:val="21"/>
              </w:rPr>
            </w:pPr>
            <w:r>
              <w:rPr>
                <w:rFonts w:ascii="Times New Roman" w:hAnsi="Times New Roman"/>
                <w:color w:val="000000"/>
                <w:sz w:val="32"/>
              </w:rPr>
              <w:t>□</w:t>
            </w:r>
            <w:r>
              <w:rPr>
                <w:rFonts w:ascii="Times New Roman" w:hAnsi="Times New Roman"/>
                <w:color w:val="000000"/>
                <w:sz w:val="21"/>
                <w:szCs w:val="21"/>
              </w:rPr>
              <w:t>组织，踏勘时间：</w:t>
            </w:r>
            <w:r>
              <w:rPr>
                <w:rFonts w:ascii="Times New Roman" w:hAnsi="Times New Roman"/>
                <w:color w:val="000000"/>
                <w:u w:val="single"/>
              </w:rPr>
              <w:t xml:space="preserve">           </w:t>
            </w:r>
          </w:p>
          <w:p w14:paraId="45ACFB9C">
            <w:pPr>
              <w:pStyle w:val="15"/>
              <w:topLinePunct/>
              <w:spacing w:line="500" w:lineRule="exact"/>
              <w:ind w:firstLine="840" w:firstLineChars="400"/>
              <w:rPr>
                <w:rFonts w:ascii="Times New Roman" w:hAnsi="Times New Roman"/>
                <w:color w:val="000000"/>
                <w:sz w:val="21"/>
                <w:szCs w:val="21"/>
                <w:u w:val="single"/>
              </w:rPr>
            </w:pPr>
            <w:r>
              <w:rPr>
                <w:rFonts w:ascii="Times New Roman" w:hAnsi="Times New Roman"/>
                <w:color w:val="000000"/>
                <w:sz w:val="21"/>
                <w:szCs w:val="21"/>
              </w:rPr>
              <w:t>踏勘集中地点：</w:t>
            </w:r>
            <w:r>
              <w:rPr>
                <w:rFonts w:ascii="Times New Roman" w:hAnsi="Times New Roman"/>
                <w:color w:val="000000"/>
                <w:u w:val="single"/>
              </w:rPr>
              <w:t xml:space="preserve">           </w:t>
            </w:r>
          </w:p>
        </w:tc>
      </w:tr>
      <w:tr w14:paraId="0AC8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7500976">
            <w:pPr>
              <w:spacing w:line="500" w:lineRule="exact"/>
              <w:jc w:val="center"/>
              <w:rPr>
                <w:rFonts w:ascii="Times New Roman" w:hAnsi="Times New Roman"/>
              </w:rPr>
            </w:pPr>
            <w:r>
              <w:rPr>
                <w:rFonts w:ascii="Times New Roman" w:hAnsi="Times New Roman"/>
              </w:rPr>
              <w:t>2.1</w:t>
            </w:r>
          </w:p>
        </w:tc>
        <w:tc>
          <w:tcPr>
            <w:tcW w:w="2487" w:type="dxa"/>
            <w:noWrap w:val="0"/>
            <w:vAlign w:val="center"/>
          </w:tcPr>
          <w:p w14:paraId="6F101F64">
            <w:pPr>
              <w:spacing w:line="500" w:lineRule="exact"/>
              <w:jc w:val="center"/>
              <w:rPr>
                <w:rFonts w:ascii="Times New Roman" w:hAnsi="Times New Roman"/>
              </w:rPr>
            </w:pPr>
            <w:r>
              <w:rPr>
                <w:rFonts w:ascii="Times New Roman" w:hAnsi="Times New Roman"/>
              </w:rPr>
              <w:t>构成招标文件的其他资料</w:t>
            </w:r>
          </w:p>
        </w:tc>
        <w:tc>
          <w:tcPr>
            <w:tcW w:w="5670" w:type="dxa"/>
            <w:noWrap w:val="0"/>
            <w:vAlign w:val="center"/>
          </w:tcPr>
          <w:p w14:paraId="734435C8">
            <w:pPr>
              <w:spacing w:line="500" w:lineRule="exact"/>
              <w:rPr>
                <w:rFonts w:ascii="Times New Roman" w:hAnsi="Times New Roman"/>
              </w:rPr>
            </w:pPr>
            <w:r>
              <w:rPr>
                <w:rFonts w:hint="eastAsia" w:ascii="Times New Roman" w:hAnsi="Times New Roman"/>
                <w:color w:val="auto"/>
                <w:u w:val="none"/>
                <w:lang w:val="en-US" w:eastAsia="zh-CN"/>
              </w:rPr>
              <w:t>招标需求及设备清单等</w:t>
            </w:r>
          </w:p>
        </w:tc>
      </w:tr>
      <w:tr w14:paraId="02F3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noWrap w:val="0"/>
            <w:vAlign w:val="center"/>
          </w:tcPr>
          <w:p w14:paraId="186735B8">
            <w:pPr>
              <w:spacing w:line="500" w:lineRule="exact"/>
              <w:jc w:val="center"/>
              <w:rPr>
                <w:rFonts w:ascii="Times New Roman" w:hAnsi="Times New Roman"/>
              </w:rPr>
            </w:pPr>
            <w:r>
              <w:rPr>
                <w:rFonts w:ascii="Times New Roman" w:hAnsi="Times New Roman"/>
              </w:rPr>
              <w:t>2.2.1</w:t>
            </w:r>
          </w:p>
        </w:tc>
        <w:tc>
          <w:tcPr>
            <w:tcW w:w="2487" w:type="dxa"/>
            <w:vMerge w:val="restart"/>
            <w:noWrap w:val="0"/>
            <w:vAlign w:val="center"/>
          </w:tcPr>
          <w:p w14:paraId="1470D8B4">
            <w:pPr>
              <w:spacing w:line="500" w:lineRule="exact"/>
              <w:jc w:val="center"/>
              <w:rPr>
                <w:rFonts w:ascii="Times New Roman" w:hAnsi="Times New Roman"/>
              </w:rPr>
            </w:pPr>
            <w:r>
              <w:rPr>
                <w:rFonts w:ascii="Times New Roman" w:hAnsi="Times New Roman"/>
              </w:rPr>
              <w:t>投标人要求澄清招标文件</w:t>
            </w:r>
          </w:p>
        </w:tc>
        <w:tc>
          <w:tcPr>
            <w:tcW w:w="5670" w:type="dxa"/>
            <w:noWrap w:val="0"/>
            <w:vAlign w:val="center"/>
          </w:tcPr>
          <w:p w14:paraId="464B68BC">
            <w:pPr>
              <w:spacing w:line="500" w:lineRule="exact"/>
              <w:rPr>
                <w:rFonts w:ascii="Times New Roman" w:hAnsi="Times New Roman"/>
              </w:rPr>
            </w:pPr>
            <w:r>
              <w:rPr>
                <w:rFonts w:ascii="Times New Roman" w:hAnsi="Times New Roman"/>
                <w:szCs w:val="21"/>
              </w:rPr>
              <w:t>时间：</w:t>
            </w:r>
            <w:r>
              <w:rPr>
                <w:rFonts w:hint="eastAsia" w:ascii="Times New Roman" w:hAnsi="Times New Roman"/>
                <w:bCs/>
                <w:snapToGrid w:val="0"/>
                <w:kern w:val="0"/>
                <w:szCs w:val="21"/>
                <w:u w:val="single"/>
                <w:lang w:val="en-US" w:eastAsia="zh-CN"/>
              </w:rPr>
              <w:t>2026</w:t>
            </w:r>
            <w:r>
              <w:rPr>
                <w:rFonts w:ascii="Times New Roman" w:hAnsi="Times New Roman"/>
                <w:bCs/>
                <w:snapToGrid w:val="0"/>
                <w:kern w:val="0"/>
                <w:szCs w:val="21"/>
              </w:rPr>
              <w:t>年</w:t>
            </w:r>
            <w:r>
              <w:rPr>
                <w:rFonts w:hint="eastAsia" w:ascii="Times New Roman" w:hAnsi="Times New Roman"/>
                <w:bCs/>
                <w:snapToGrid w:val="0"/>
                <w:kern w:val="0"/>
                <w:szCs w:val="21"/>
                <w:u w:val="single"/>
                <w:lang w:val="en-US" w:eastAsia="zh-CN"/>
              </w:rPr>
              <w:t>2</w:t>
            </w:r>
            <w:r>
              <w:rPr>
                <w:rFonts w:ascii="Times New Roman" w:hAnsi="Times New Roman"/>
                <w:bCs/>
                <w:snapToGrid w:val="0"/>
                <w:kern w:val="0"/>
                <w:szCs w:val="21"/>
              </w:rPr>
              <w:t>月</w:t>
            </w:r>
            <w:r>
              <w:rPr>
                <w:rFonts w:hint="eastAsia" w:ascii="Times New Roman" w:hAnsi="Times New Roman"/>
                <w:bCs/>
                <w:snapToGrid w:val="0"/>
                <w:kern w:val="0"/>
                <w:szCs w:val="21"/>
                <w:u w:val="single"/>
                <w:lang w:val="en-US" w:eastAsia="zh-CN"/>
              </w:rPr>
              <w:t>5</w:t>
            </w:r>
            <w:r>
              <w:rPr>
                <w:rFonts w:ascii="Times New Roman" w:hAnsi="Times New Roman"/>
                <w:bCs/>
                <w:snapToGrid w:val="0"/>
                <w:kern w:val="0"/>
                <w:szCs w:val="21"/>
                <w:u w:val="single"/>
              </w:rPr>
              <w:t xml:space="preserve"> </w:t>
            </w:r>
            <w:r>
              <w:rPr>
                <w:rFonts w:ascii="Times New Roman" w:hAnsi="Times New Roman"/>
                <w:bCs/>
                <w:snapToGrid w:val="0"/>
                <w:kern w:val="0"/>
                <w:szCs w:val="21"/>
              </w:rPr>
              <w:t>日</w:t>
            </w:r>
            <w:r>
              <w:rPr>
                <w:rFonts w:hint="eastAsia" w:ascii="Times New Roman" w:hAnsi="Times New Roman"/>
                <w:bCs/>
                <w:snapToGrid w:val="0"/>
                <w:kern w:val="0"/>
                <w:szCs w:val="21"/>
                <w:u w:val="single"/>
                <w:lang w:val="en-US" w:eastAsia="zh-CN"/>
              </w:rPr>
              <w:t>17</w:t>
            </w:r>
            <w:r>
              <w:rPr>
                <w:rFonts w:ascii="Times New Roman" w:hAnsi="Times New Roman"/>
                <w:bCs/>
                <w:snapToGrid w:val="0"/>
                <w:kern w:val="0"/>
                <w:szCs w:val="21"/>
              </w:rPr>
              <w:t>时</w:t>
            </w:r>
            <w:r>
              <w:rPr>
                <w:rFonts w:hint="eastAsia" w:ascii="Times New Roman" w:hAnsi="Times New Roman"/>
                <w:bCs/>
                <w:snapToGrid w:val="0"/>
                <w:kern w:val="0"/>
                <w:szCs w:val="21"/>
                <w:u w:val="single"/>
                <w:lang w:val="en-US" w:eastAsia="zh-CN"/>
              </w:rPr>
              <w:t>30</w:t>
            </w:r>
            <w:bookmarkStart w:id="481" w:name="_GoBack"/>
            <w:bookmarkEnd w:id="481"/>
            <w:r>
              <w:rPr>
                <w:rFonts w:ascii="Times New Roman" w:hAnsi="Times New Roman"/>
                <w:bCs/>
                <w:snapToGrid w:val="0"/>
                <w:kern w:val="0"/>
                <w:szCs w:val="21"/>
              </w:rPr>
              <w:t>分前</w:t>
            </w:r>
            <w:r>
              <w:rPr>
                <w:rFonts w:ascii="Times New Roman" w:hAnsi="Times New Roman"/>
                <w:szCs w:val="21"/>
              </w:rPr>
              <w:t>。</w:t>
            </w:r>
          </w:p>
        </w:tc>
      </w:tr>
      <w:tr w14:paraId="2C80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noWrap w:val="0"/>
            <w:vAlign w:val="center"/>
          </w:tcPr>
          <w:p w14:paraId="5D54D23B">
            <w:pPr>
              <w:spacing w:line="500" w:lineRule="exact"/>
              <w:jc w:val="center"/>
              <w:rPr>
                <w:rFonts w:ascii="Times New Roman" w:hAnsi="Times New Roman"/>
              </w:rPr>
            </w:pPr>
          </w:p>
        </w:tc>
        <w:tc>
          <w:tcPr>
            <w:tcW w:w="2487" w:type="dxa"/>
            <w:vMerge w:val="continue"/>
            <w:noWrap w:val="0"/>
            <w:vAlign w:val="center"/>
          </w:tcPr>
          <w:p w14:paraId="78BCD0A7">
            <w:pPr>
              <w:spacing w:line="500" w:lineRule="exact"/>
              <w:jc w:val="center"/>
              <w:rPr>
                <w:rFonts w:ascii="Times New Roman" w:hAnsi="Times New Roman"/>
              </w:rPr>
            </w:pPr>
          </w:p>
        </w:tc>
        <w:tc>
          <w:tcPr>
            <w:tcW w:w="5670" w:type="dxa"/>
            <w:noWrap w:val="0"/>
            <w:vAlign w:val="center"/>
          </w:tcPr>
          <w:p w14:paraId="771EF10C">
            <w:pPr>
              <w:spacing w:line="500" w:lineRule="exact"/>
              <w:rPr>
                <w:rFonts w:ascii="Times New Roman" w:hAnsi="Times New Roman"/>
              </w:rPr>
            </w:pPr>
            <w:r>
              <w:rPr>
                <w:rFonts w:ascii="Times New Roman" w:hAnsi="Times New Roman"/>
                <w:bCs/>
                <w:snapToGrid w:val="0"/>
                <w:kern w:val="0"/>
                <w:szCs w:val="21"/>
              </w:rPr>
              <w:t>形式：</w:t>
            </w:r>
            <w:r>
              <w:rPr>
                <w:rFonts w:ascii="Times New Roman" w:hAnsi="Times New Roman"/>
              </w:rPr>
              <w:t>相关澄清要求应通过</w:t>
            </w:r>
            <w:r>
              <w:rPr>
                <w:rFonts w:ascii="Times New Roman" w:hAnsi="Times New Roman"/>
                <w:bCs/>
                <w:snapToGrid w:val="0"/>
                <w:color w:val="000000"/>
                <w:kern w:val="0"/>
                <w:szCs w:val="21"/>
              </w:rPr>
              <w:t>邮箱******@qq.com</w:t>
            </w:r>
            <w:r>
              <w:rPr>
                <w:rFonts w:ascii="Times New Roman" w:hAnsi="Times New Roman"/>
              </w:rPr>
              <w:t>提交。</w:t>
            </w:r>
          </w:p>
        </w:tc>
      </w:tr>
      <w:tr w14:paraId="7AFC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C42B82C">
            <w:pPr>
              <w:spacing w:line="500" w:lineRule="exact"/>
              <w:jc w:val="center"/>
              <w:rPr>
                <w:rFonts w:ascii="Times New Roman" w:hAnsi="Times New Roman"/>
              </w:rPr>
            </w:pPr>
            <w:r>
              <w:rPr>
                <w:rFonts w:ascii="Times New Roman" w:hAnsi="Times New Roman"/>
              </w:rPr>
              <w:t>2.2.2</w:t>
            </w:r>
          </w:p>
        </w:tc>
        <w:tc>
          <w:tcPr>
            <w:tcW w:w="2487" w:type="dxa"/>
            <w:noWrap w:val="0"/>
            <w:vAlign w:val="center"/>
          </w:tcPr>
          <w:p w14:paraId="3152E359">
            <w:pPr>
              <w:spacing w:line="500" w:lineRule="exact"/>
              <w:jc w:val="center"/>
              <w:rPr>
                <w:rFonts w:ascii="Times New Roman" w:hAnsi="Times New Roman"/>
              </w:rPr>
            </w:pPr>
            <w:r>
              <w:rPr>
                <w:rFonts w:ascii="Times New Roman" w:hAnsi="Times New Roman"/>
              </w:rPr>
              <w:t>招标文件澄清发出的形式</w:t>
            </w:r>
          </w:p>
        </w:tc>
        <w:tc>
          <w:tcPr>
            <w:tcW w:w="5670" w:type="dxa"/>
            <w:noWrap w:val="0"/>
            <w:vAlign w:val="center"/>
          </w:tcPr>
          <w:p w14:paraId="143E699F">
            <w:pPr>
              <w:spacing w:line="500" w:lineRule="exact"/>
              <w:rPr>
                <w:rFonts w:ascii="Times New Roman" w:hAnsi="Times New Roman"/>
              </w:rPr>
            </w:pPr>
            <w:r>
              <w:rPr>
                <w:rFonts w:ascii="Times New Roman" w:hAnsi="Times New Roman"/>
              </w:rPr>
              <w:t>通过</w:t>
            </w:r>
            <w:r>
              <w:rPr>
                <w:rFonts w:ascii="Times New Roman" w:hAnsi="Times New Roman"/>
                <w:bCs/>
                <w:snapToGrid w:val="0"/>
                <w:color w:val="000000"/>
                <w:kern w:val="0"/>
                <w:szCs w:val="21"/>
              </w:rPr>
              <w:t>合肥文旅博览集团</w:t>
            </w:r>
            <w:r>
              <w:rPr>
                <w:rFonts w:hint="eastAsia" w:ascii="Times New Roman" w:hAnsi="Times New Roman"/>
                <w:bCs/>
                <w:snapToGrid w:val="0"/>
                <w:color w:val="000000"/>
                <w:kern w:val="0"/>
                <w:szCs w:val="21"/>
              </w:rPr>
              <w:t>有限公司</w:t>
            </w:r>
            <w:r>
              <w:rPr>
                <w:rFonts w:ascii="Times New Roman" w:hAnsi="Times New Roman"/>
                <w:bCs/>
                <w:snapToGrid w:val="0"/>
                <w:color w:val="000000"/>
                <w:kern w:val="0"/>
                <w:szCs w:val="21"/>
              </w:rPr>
              <w:t>官网</w:t>
            </w:r>
            <w:r>
              <w:rPr>
                <w:rFonts w:ascii="Times New Roman" w:hAnsi="Times New Roman"/>
              </w:rPr>
              <w:t>发布</w:t>
            </w:r>
          </w:p>
        </w:tc>
      </w:tr>
      <w:tr w14:paraId="729E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88A7528">
            <w:pPr>
              <w:spacing w:line="500" w:lineRule="exact"/>
              <w:jc w:val="center"/>
              <w:rPr>
                <w:rFonts w:ascii="Times New Roman" w:hAnsi="Times New Roman"/>
              </w:rPr>
            </w:pPr>
            <w:r>
              <w:rPr>
                <w:rFonts w:ascii="Times New Roman" w:hAnsi="Times New Roman"/>
              </w:rPr>
              <w:t>3.2.1</w:t>
            </w:r>
          </w:p>
        </w:tc>
        <w:tc>
          <w:tcPr>
            <w:tcW w:w="2487" w:type="dxa"/>
            <w:noWrap w:val="0"/>
            <w:vAlign w:val="center"/>
          </w:tcPr>
          <w:p w14:paraId="27212F87">
            <w:pPr>
              <w:spacing w:line="500" w:lineRule="exact"/>
              <w:jc w:val="center"/>
              <w:rPr>
                <w:rFonts w:ascii="Times New Roman" w:hAnsi="Times New Roman"/>
              </w:rPr>
            </w:pPr>
            <w:r>
              <w:rPr>
                <w:rFonts w:ascii="Times New Roman" w:hAnsi="Times New Roman"/>
              </w:rPr>
              <w:t>增值税税金的计算方法</w:t>
            </w:r>
          </w:p>
        </w:tc>
        <w:tc>
          <w:tcPr>
            <w:tcW w:w="5670" w:type="dxa"/>
            <w:noWrap w:val="0"/>
            <w:vAlign w:val="center"/>
          </w:tcPr>
          <w:p w14:paraId="42EBB73D">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（1）计税方法：</w:t>
            </w:r>
          </w:p>
          <w:p w14:paraId="38608CBB">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一般计税方法</w:t>
            </w:r>
          </w:p>
          <w:p w14:paraId="41932C70">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 xml:space="preserve">简易计算方法 </w:t>
            </w:r>
          </w:p>
          <w:p w14:paraId="3BE3EA5A">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（2）发票类型：</w:t>
            </w:r>
          </w:p>
          <w:p w14:paraId="2FFC4119">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增值税专用发票</w:t>
            </w:r>
          </w:p>
          <w:p w14:paraId="2EAD79CC">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增值税普通发票</w:t>
            </w:r>
          </w:p>
          <w:p w14:paraId="47E3727A">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（3）增值税税率按照国家有关规定执行。</w:t>
            </w:r>
          </w:p>
          <w:p w14:paraId="192DAFC3">
            <w:pPr>
              <w:snapToGrid w:val="0"/>
              <w:spacing w:line="500" w:lineRule="exact"/>
              <w:rPr>
                <w:rFonts w:ascii="Times New Roman" w:hAnsi="Times New Roman"/>
              </w:rPr>
            </w:pPr>
            <w:r>
              <w:rPr>
                <w:rFonts w:ascii="Times New Roman" w:hAnsi="Times New Roman"/>
                <w:bCs/>
                <w:snapToGrid w:val="0"/>
                <w:kern w:val="0"/>
                <w:szCs w:val="21"/>
              </w:rPr>
              <w:t>（4）注册地不在合肥市行政区域范围（含四县一市）的中标人，应按照《纳税人跨县（市、区）提供建筑服务增值税征收管理暂行办法》（国家税务总局公告2016年第17号）规定，在建筑服务发生地及时足额预缴增值税。</w:t>
            </w:r>
          </w:p>
        </w:tc>
      </w:tr>
      <w:tr w14:paraId="2BF1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F3A442A">
            <w:pPr>
              <w:spacing w:line="500" w:lineRule="exact"/>
              <w:jc w:val="center"/>
              <w:rPr>
                <w:rFonts w:ascii="Times New Roman" w:hAnsi="Times New Roman" w:eastAsia="楷体"/>
              </w:rPr>
            </w:pPr>
            <w:r>
              <w:rPr>
                <w:rFonts w:ascii="Times New Roman" w:hAnsi="Times New Roman"/>
              </w:rPr>
              <w:t>3.2.3</w:t>
            </w:r>
          </w:p>
        </w:tc>
        <w:tc>
          <w:tcPr>
            <w:tcW w:w="2487" w:type="dxa"/>
            <w:noWrap w:val="0"/>
            <w:vAlign w:val="center"/>
          </w:tcPr>
          <w:p w14:paraId="424C3BF5">
            <w:pPr>
              <w:spacing w:line="500" w:lineRule="exact"/>
              <w:jc w:val="center"/>
              <w:rPr>
                <w:rFonts w:ascii="Times New Roman" w:hAnsi="Times New Roman" w:eastAsia="楷体"/>
              </w:rPr>
            </w:pPr>
            <w:r>
              <w:rPr>
                <w:rFonts w:ascii="Times New Roman" w:hAnsi="Times New Roman"/>
              </w:rPr>
              <w:t>报价方式</w:t>
            </w:r>
          </w:p>
        </w:tc>
        <w:tc>
          <w:tcPr>
            <w:tcW w:w="5670" w:type="dxa"/>
            <w:noWrap w:val="0"/>
            <w:vAlign w:val="center"/>
          </w:tcPr>
          <w:p w14:paraId="1C07B361">
            <w:pPr>
              <w:spacing w:line="500" w:lineRule="exact"/>
              <w:rPr>
                <w:rFonts w:ascii="Times New Roman" w:hAnsi="Times New Roman"/>
                <w:szCs w:val="21"/>
              </w:rPr>
            </w:pPr>
            <w:r>
              <w:rPr>
                <w:rFonts w:hint="eastAsia" w:ascii="Times New Roman" w:hAnsi="Times New Roman"/>
                <w:sz w:val="32"/>
                <w:lang w:eastAsia="zh-CN"/>
              </w:rPr>
              <w:t>☑</w:t>
            </w:r>
            <w:r>
              <w:rPr>
                <w:rFonts w:ascii="Times New Roman" w:hAnsi="Times New Roman"/>
                <w:szCs w:val="21"/>
              </w:rPr>
              <w:t>总价：</w:t>
            </w:r>
            <w:r>
              <w:rPr>
                <w:rFonts w:ascii="Times New Roman" w:hAnsi="Times New Roman"/>
                <w:bCs/>
                <w:snapToGrid w:val="0"/>
                <w:kern w:val="0"/>
                <w:szCs w:val="21"/>
              </w:rPr>
              <w:t>___</w:t>
            </w:r>
          </w:p>
          <w:p w14:paraId="0C0B2B55">
            <w:pPr>
              <w:spacing w:line="500" w:lineRule="exact"/>
              <w:rPr>
                <w:rFonts w:ascii="Times New Roman" w:hAnsi="Times New Roman"/>
                <w:szCs w:val="21"/>
              </w:rPr>
            </w:pPr>
            <w:r>
              <w:rPr>
                <w:rFonts w:ascii="Times New Roman" w:hAnsi="Times New Roman"/>
                <w:sz w:val="32"/>
              </w:rPr>
              <w:t>□</w:t>
            </w:r>
            <w:r>
              <w:rPr>
                <w:rFonts w:ascii="Times New Roman" w:hAnsi="Times New Roman"/>
              </w:rPr>
              <w:t>单价</w:t>
            </w:r>
            <w:r>
              <w:rPr>
                <w:rFonts w:ascii="Times New Roman" w:hAnsi="Times New Roman"/>
                <w:szCs w:val="21"/>
              </w:rPr>
              <w:t>：</w:t>
            </w:r>
            <w:r>
              <w:rPr>
                <w:rFonts w:ascii="Times New Roman" w:hAnsi="Times New Roman"/>
                <w:bCs/>
                <w:snapToGrid w:val="0"/>
                <w:kern w:val="0"/>
                <w:szCs w:val="21"/>
              </w:rPr>
              <w:t>___</w:t>
            </w:r>
          </w:p>
          <w:p w14:paraId="14B06C56">
            <w:pPr>
              <w:spacing w:line="500" w:lineRule="exact"/>
              <w:rPr>
                <w:rFonts w:ascii="Times New Roman" w:hAnsi="Times New Roman"/>
                <w:szCs w:val="21"/>
              </w:rPr>
            </w:pPr>
            <w:r>
              <w:rPr>
                <w:rFonts w:ascii="Times New Roman" w:hAnsi="Times New Roman"/>
                <w:sz w:val="32"/>
              </w:rPr>
              <w:t>□</w:t>
            </w:r>
            <w:r>
              <w:rPr>
                <w:rFonts w:ascii="Times New Roman" w:hAnsi="Times New Roman"/>
                <w:szCs w:val="21"/>
              </w:rPr>
              <w:t>费率：</w:t>
            </w:r>
            <w:r>
              <w:rPr>
                <w:rFonts w:ascii="Times New Roman" w:hAnsi="Times New Roman"/>
                <w:bCs/>
                <w:snapToGrid w:val="0"/>
                <w:kern w:val="0"/>
                <w:szCs w:val="21"/>
              </w:rPr>
              <w:t>___</w:t>
            </w:r>
          </w:p>
          <w:p w14:paraId="361807FD">
            <w:pPr>
              <w:spacing w:line="500" w:lineRule="exact"/>
              <w:rPr>
                <w:rFonts w:ascii="Times New Roman" w:hAnsi="Times New Roman" w:eastAsia="楷体"/>
                <w:u w:val="single"/>
              </w:rPr>
            </w:pPr>
            <w:r>
              <w:rPr>
                <w:rFonts w:ascii="Times New Roman" w:hAnsi="Times New Roman"/>
                <w:sz w:val="32"/>
              </w:rPr>
              <w:t>□</w:t>
            </w:r>
            <w:r>
              <w:rPr>
                <w:rFonts w:ascii="Times New Roman" w:hAnsi="Times New Roman"/>
                <w:szCs w:val="21"/>
              </w:rPr>
              <w:t>定价：</w:t>
            </w:r>
            <w:r>
              <w:rPr>
                <w:rFonts w:ascii="Times New Roman" w:hAnsi="Times New Roman"/>
                <w:bCs/>
                <w:snapToGrid w:val="0"/>
                <w:kern w:val="0"/>
                <w:szCs w:val="21"/>
              </w:rPr>
              <w:t>___</w:t>
            </w:r>
          </w:p>
        </w:tc>
      </w:tr>
      <w:tr w14:paraId="3E4A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57D6EA15">
            <w:pPr>
              <w:spacing w:line="500" w:lineRule="exact"/>
              <w:jc w:val="center"/>
              <w:rPr>
                <w:rFonts w:ascii="Times New Roman" w:hAnsi="Times New Roman"/>
              </w:rPr>
            </w:pPr>
            <w:r>
              <w:rPr>
                <w:rFonts w:ascii="Times New Roman" w:hAnsi="Times New Roman"/>
              </w:rPr>
              <w:t>3.2.4</w:t>
            </w:r>
          </w:p>
        </w:tc>
        <w:tc>
          <w:tcPr>
            <w:tcW w:w="2487" w:type="dxa"/>
            <w:noWrap w:val="0"/>
            <w:vAlign w:val="center"/>
          </w:tcPr>
          <w:p w14:paraId="36F30F91">
            <w:pPr>
              <w:spacing w:line="500" w:lineRule="exact"/>
              <w:jc w:val="center"/>
              <w:rPr>
                <w:rFonts w:ascii="Times New Roman" w:hAnsi="Times New Roman"/>
              </w:rPr>
            </w:pPr>
            <w:r>
              <w:rPr>
                <w:rFonts w:ascii="Times New Roman" w:hAnsi="Times New Roman"/>
              </w:rPr>
              <w:t>最高投标限价</w:t>
            </w:r>
          </w:p>
        </w:tc>
        <w:tc>
          <w:tcPr>
            <w:tcW w:w="5670" w:type="dxa"/>
            <w:noWrap w:val="0"/>
            <w:vAlign w:val="center"/>
          </w:tcPr>
          <w:p w14:paraId="640D791D">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无</w:t>
            </w:r>
          </w:p>
          <w:p w14:paraId="50DDC286">
            <w:pPr>
              <w:snapToGrid w:val="0"/>
              <w:spacing w:line="500" w:lineRule="exact"/>
              <w:rPr>
                <w:rFonts w:hint="default" w:ascii="Times New Roman" w:hAnsi="Times New Roman"/>
                <w:bCs/>
                <w:snapToGrid w:val="0"/>
                <w:kern w:val="0"/>
                <w:szCs w:val="21"/>
                <w:lang w:val="en-US"/>
              </w:rPr>
            </w:pPr>
            <w:r>
              <w:rPr>
                <w:rFonts w:hint="eastAsia" w:ascii="Times New Roman" w:hAnsi="Times New Roman"/>
                <w:sz w:val="32"/>
                <w:lang w:eastAsia="zh-CN"/>
              </w:rPr>
              <w:t>☑</w:t>
            </w:r>
            <w:r>
              <w:rPr>
                <w:rFonts w:ascii="Times New Roman" w:hAnsi="Times New Roman"/>
                <w:bCs/>
                <w:snapToGrid w:val="0"/>
                <w:kern w:val="0"/>
                <w:szCs w:val="21"/>
              </w:rPr>
              <w:t>有，最高投标限价</w:t>
            </w:r>
            <w:r>
              <w:rPr>
                <w:rFonts w:hint="eastAsia" w:ascii="Times New Roman" w:hAnsi="Times New Roman"/>
                <w:bCs/>
                <w:snapToGrid w:val="0"/>
                <w:kern w:val="0"/>
                <w:szCs w:val="21"/>
                <w:lang w:val="en-US" w:eastAsia="zh-CN"/>
              </w:rPr>
              <w:t xml:space="preserve"> </w:t>
            </w:r>
            <w:r>
              <w:rPr>
                <w:rFonts w:hint="eastAsia" w:ascii="Times New Roman" w:hAnsi="Times New Roman"/>
                <w:bCs/>
                <w:snapToGrid w:val="0"/>
                <w:kern w:val="0"/>
                <w:szCs w:val="21"/>
                <w:highlight w:val="none"/>
                <w:u w:val="single"/>
                <w:lang w:val="en-US" w:eastAsia="zh-CN"/>
              </w:rPr>
              <w:t xml:space="preserve">   </w:t>
            </w:r>
            <w:r>
              <w:rPr>
                <w:rFonts w:hint="eastAsia" w:ascii="Times New Roman" w:hAnsi="Times New Roman"/>
                <w:bCs/>
                <w:snapToGrid w:val="0"/>
                <w:kern w:val="0"/>
                <w:szCs w:val="21"/>
                <w:highlight w:val="none"/>
                <w:u w:val="single"/>
                <w:lang w:val="en-US" w:eastAsia="zh-CN"/>
              </w:rPr>
              <w:t>7</w:t>
            </w:r>
            <w:r>
              <w:rPr>
                <w:rFonts w:hint="eastAsia" w:ascii="Times New Roman" w:hAnsi="Times New Roman"/>
                <w:bCs/>
                <w:snapToGrid w:val="0"/>
                <w:kern w:val="0"/>
                <w:szCs w:val="21"/>
                <w:highlight w:val="none"/>
                <w:u w:val="single"/>
                <w:lang w:val="en-US" w:eastAsia="zh-CN"/>
              </w:rPr>
              <w:t xml:space="preserve">.0万元  </w:t>
            </w:r>
          </w:p>
          <w:p w14:paraId="2D815DAC">
            <w:pPr>
              <w:snapToGrid w:val="0"/>
              <w:spacing w:line="500" w:lineRule="exact"/>
              <w:rPr>
                <w:rFonts w:ascii="Times New Roman" w:hAnsi="Times New Roman"/>
              </w:rPr>
            </w:pPr>
            <w:r>
              <w:rPr>
                <w:rFonts w:hint="eastAsia" w:ascii="Times New Roman" w:hAnsi="Times New Roman"/>
                <w:sz w:val="32"/>
                <w:lang w:eastAsia="zh-CN"/>
              </w:rPr>
              <w:t>□</w:t>
            </w:r>
            <w:r>
              <w:rPr>
                <w:rFonts w:ascii="Times New Roman" w:hAnsi="Times New Roman"/>
                <w:bCs/>
                <w:snapToGrid w:val="0"/>
                <w:kern w:val="0"/>
                <w:szCs w:val="21"/>
              </w:rPr>
              <w:t>有，通过合肥文旅博览集团</w:t>
            </w:r>
            <w:r>
              <w:rPr>
                <w:rFonts w:hint="eastAsia" w:ascii="Times New Roman" w:hAnsi="Times New Roman"/>
                <w:bCs/>
                <w:snapToGrid w:val="0"/>
                <w:kern w:val="0"/>
                <w:szCs w:val="21"/>
              </w:rPr>
              <w:t>有限公司</w:t>
            </w:r>
            <w:r>
              <w:rPr>
                <w:rFonts w:ascii="Times New Roman" w:hAnsi="Times New Roman"/>
                <w:bCs/>
                <w:snapToGrid w:val="0"/>
                <w:kern w:val="0"/>
                <w:szCs w:val="21"/>
              </w:rPr>
              <w:t>官网发布</w:t>
            </w:r>
          </w:p>
        </w:tc>
      </w:tr>
      <w:tr w14:paraId="0258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127281A">
            <w:pPr>
              <w:spacing w:line="500" w:lineRule="exact"/>
              <w:jc w:val="center"/>
              <w:rPr>
                <w:rFonts w:ascii="Times New Roman" w:hAnsi="Times New Roman"/>
              </w:rPr>
            </w:pPr>
            <w:r>
              <w:rPr>
                <w:rFonts w:ascii="Times New Roman" w:hAnsi="Times New Roman"/>
              </w:rPr>
              <w:t>3.2.5</w:t>
            </w:r>
          </w:p>
        </w:tc>
        <w:tc>
          <w:tcPr>
            <w:tcW w:w="2487" w:type="dxa"/>
            <w:noWrap w:val="0"/>
            <w:vAlign w:val="center"/>
          </w:tcPr>
          <w:p w14:paraId="478308A4">
            <w:pPr>
              <w:spacing w:line="500" w:lineRule="exact"/>
              <w:jc w:val="center"/>
              <w:rPr>
                <w:rFonts w:ascii="Times New Roman" w:hAnsi="Times New Roman"/>
              </w:rPr>
            </w:pPr>
            <w:r>
              <w:rPr>
                <w:rFonts w:ascii="Times New Roman" w:hAnsi="Times New Roman"/>
              </w:rPr>
              <w:t>投标报价的其他要求</w:t>
            </w:r>
          </w:p>
        </w:tc>
        <w:tc>
          <w:tcPr>
            <w:tcW w:w="5670" w:type="dxa"/>
            <w:noWrap w:val="0"/>
            <w:vAlign w:val="center"/>
          </w:tcPr>
          <w:p w14:paraId="174EDFFB">
            <w:pPr>
              <w:spacing w:line="500" w:lineRule="exact"/>
              <w:ind w:firstLine="420" w:firstLineChars="200"/>
              <w:rPr>
                <w:rFonts w:ascii="Times New Roman" w:hAnsi="Times New Roman"/>
              </w:rPr>
            </w:pPr>
          </w:p>
        </w:tc>
      </w:tr>
      <w:tr w14:paraId="704C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415CF24">
            <w:pPr>
              <w:spacing w:line="500" w:lineRule="exact"/>
              <w:jc w:val="center"/>
              <w:rPr>
                <w:rFonts w:ascii="Times New Roman" w:hAnsi="Times New Roman"/>
              </w:rPr>
            </w:pPr>
            <w:r>
              <w:rPr>
                <w:rFonts w:ascii="Times New Roman" w:hAnsi="Times New Roman"/>
              </w:rPr>
              <w:t>3.3.1</w:t>
            </w:r>
          </w:p>
        </w:tc>
        <w:tc>
          <w:tcPr>
            <w:tcW w:w="2487" w:type="dxa"/>
            <w:noWrap w:val="0"/>
            <w:vAlign w:val="center"/>
          </w:tcPr>
          <w:p w14:paraId="653ECC4A">
            <w:pPr>
              <w:spacing w:line="500" w:lineRule="exact"/>
              <w:jc w:val="center"/>
              <w:rPr>
                <w:rFonts w:ascii="Times New Roman" w:hAnsi="Times New Roman"/>
                <w:color w:val="000000"/>
              </w:rPr>
            </w:pPr>
            <w:r>
              <w:rPr>
                <w:rFonts w:ascii="Times New Roman" w:hAnsi="Times New Roman"/>
                <w:color w:val="000000"/>
              </w:rPr>
              <w:t>投标有效期</w:t>
            </w:r>
          </w:p>
        </w:tc>
        <w:tc>
          <w:tcPr>
            <w:tcW w:w="5670" w:type="dxa"/>
            <w:noWrap w:val="0"/>
            <w:vAlign w:val="center"/>
          </w:tcPr>
          <w:p w14:paraId="421E982D">
            <w:pPr>
              <w:spacing w:line="500" w:lineRule="exact"/>
              <w:rPr>
                <w:rFonts w:ascii="Times New Roman" w:hAnsi="Times New Roman"/>
                <w:color w:val="000000"/>
              </w:rPr>
            </w:pPr>
            <w:bookmarkStart w:id="23" w:name="_Toc300834946"/>
            <w:bookmarkStart w:id="24" w:name="_Toc384308207"/>
            <w:bookmarkStart w:id="25" w:name="_Toc361508582"/>
            <w:bookmarkStart w:id="26" w:name="_Toc352691470"/>
            <w:bookmarkStart w:id="27" w:name="_Toc369531512"/>
            <w:bookmarkStart w:id="28" w:name="_Toc1789"/>
            <w:r>
              <w:rPr>
                <w:rFonts w:ascii="Times New Roman" w:hAnsi="Times New Roman"/>
                <w:snapToGrid w:val="0"/>
                <w:color w:val="000000"/>
                <w:kern w:val="0"/>
                <w:szCs w:val="21"/>
              </w:rPr>
              <w:t>自投标人提交投标文件截止之日起计算120日</w:t>
            </w:r>
          </w:p>
        </w:tc>
      </w:tr>
      <w:bookmarkEnd w:id="23"/>
      <w:bookmarkEnd w:id="24"/>
      <w:bookmarkEnd w:id="25"/>
      <w:bookmarkEnd w:id="26"/>
      <w:bookmarkEnd w:id="27"/>
      <w:bookmarkEnd w:id="28"/>
      <w:tr w14:paraId="4FAA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7FFDB56B">
            <w:pPr>
              <w:spacing w:line="500" w:lineRule="exact"/>
              <w:jc w:val="center"/>
              <w:rPr>
                <w:rFonts w:ascii="Times New Roman" w:hAnsi="Times New Roman"/>
              </w:rPr>
            </w:pPr>
            <w:r>
              <w:rPr>
                <w:rFonts w:ascii="Times New Roman" w:hAnsi="Times New Roman"/>
              </w:rPr>
              <w:t>3.4.1</w:t>
            </w:r>
          </w:p>
        </w:tc>
        <w:tc>
          <w:tcPr>
            <w:tcW w:w="2487" w:type="dxa"/>
            <w:noWrap w:val="0"/>
            <w:vAlign w:val="center"/>
          </w:tcPr>
          <w:p w14:paraId="11B68DFE">
            <w:pPr>
              <w:snapToGrid w:val="0"/>
              <w:spacing w:line="500" w:lineRule="exact"/>
              <w:jc w:val="center"/>
              <w:rPr>
                <w:rFonts w:ascii="Times New Roman" w:hAnsi="Times New Roman"/>
                <w:color w:val="000000"/>
              </w:rPr>
            </w:pPr>
            <w:r>
              <w:rPr>
                <w:rFonts w:ascii="Times New Roman" w:hAnsi="Times New Roman"/>
                <w:color w:val="000000"/>
              </w:rPr>
              <w:t>投标保证金</w:t>
            </w:r>
          </w:p>
        </w:tc>
        <w:tc>
          <w:tcPr>
            <w:tcW w:w="5670" w:type="dxa"/>
            <w:noWrap w:val="0"/>
            <w:vAlign w:val="center"/>
          </w:tcPr>
          <w:p w14:paraId="22719949">
            <w:pPr>
              <w:snapToGrid w:val="0"/>
              <w:spacing w:line="500" w:lineRule="exact"/>
              <w:rPr>
                <w:rFonts w:ascii="Times New Roman" w:hAnsi="Times New Roman"/>
              </w:rPr>
            </w:pPr>
            <w:r>
              <w:rPr>
                <w:rFonts w:ascii="Times New Roman" w:hAnsi="Times New Roman"/>
              </w:rPr>
              <w:t>1.是否要求投标人递交投标保证金：</w:t>
            </w:r>
          </w:p>
          <w:p w14:paraId="1AAD7F00">
            <w:pPr>
              <w:snapToGrid w:val="0"/>
              <w:spacing w:line="500" w:lineRule="exact"/>
              <w:rPr>
                <w:rFonts w:ascii="Times New Roman" w:hAnsi="Times New Roman"/>
              </w:rPr>
            </w:pPr>
            <w:r>
              <w:rPr>
                <w:rFonts w:hint="eastAsia" w:ascii="Times New Roman" w:hAnsi="Times New Roman"/>
                <w:lang w:eastAsia="zh-CN"/>
              </w:rPr>
              <w:t>☑</w:t>
            </w:r>
            <w:r>
              <w:rPr>
                <w:rFonts w:ascii="Times New Roman" w:hAnsi="Times New Roman"/>
              </w:rPr>
              <w:t xml:space="preserve">不要求  </w:t>
            </w: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要求</w:t>
            </w:r>
          </w:p>
          <w:p w14:paraId="06FF595E">
            <w:pPr>
              <w:snapToGrid w:val="0"/>
              <w:spacing w:line="500" w:lineRule="exact"/>
              <w:rPr>
                <w:rFonts w:ascii="Times New Roman" w:hAnsi="Times New Roman"/>
              </w:rPr>
            </w:pPr>
            <w:r>
              <w:rPr>
                <w:rFonts w:ascii="Times New Roman" w:hAnsi="Times New Roman"/>
              </w:rPr>
              <w:t>投标保证金的形式：</w:t>
            </w:r>
          </w:p>
          <w:p w14:paraId="2EA24EC3">
            <w:pPr>
              <w:snapToGrid w:val="0"/>
              <w:spacing w:line="500" w:lineRule="exact"/>
              <w:rPr>
                <w:rFonts w:ascii="Times New Roman" w:hAnsi="Times New Roman"/>
              </w:rPr>
            </w:pP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银行转账  </w:t>
            </w: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银行电汇  </w:t>
            </w:r>
          </w:p>
          <w:p w14:paraId="05EBCFFB">
            <w:pPr>
              <w:snapToGrid w:val="0"/>
              <w:spacing w:line="500" w:lineRule="exact"/>
              <w:rPr>
                <w:rFonts w:ascii="Times New Roman" w:hAnsi="Times New Roman"/>
                <w:color w:val="FF0000"/>
              </w:rPr>
            </w:pPr>
            <w:r>
              <w:rPr>
                <w:rFonts w:ascii="Times New Roman" w:hAnsi="Times New Roman"/>
              </w:rPr>
              <w:t>投标保证金的金额：</w:t>
            </w:r>
            <w:r>
              <w:rPr>
                <w:rFonts w:ascii="Times New Roman" w:hAnsi="Times New Roman" w:eastAsia="宋体" w:cs="Times New Roman"/>
              </w:rPr>
              <w:t>人民币</w:t>
            </w:r>
            <w:r>
              <w:rPr>
                <w:rFonts w:ascii="Times New Roman" w:hAnsi="Times New Roman" w:eastAsia="宋体" w:cs="Times New Roman"/>
                <w:u w:val="single"/>
              </w:rPr>
              <w:t xml:space="preserve"> </w:t>
            </w:r>
            <w:r>
              <w:rPr>
                <w:rFonts w:hint="eastAsia" w:ascii="Times New Roman" w:hAnsi="Times New Roman" w:eastAsia="宋体" w:cs="Times New Roman"/>
                <w:u w:val="single"/>
                <w:lang w:val="en-US" w:eastAsia="zh-CN"/>
              </w:rPr>
              <w:t>/</w:t>
            </w:r>
            <w:r>
              <w:rPr>
                <w:rFonts w:ascii="Times New Roman" w:hAnsi="Times New Roman" w:eastAsia="宋体" w:cs="Times New Roman"/>
                <w:u w:val="single"/>
              </w:rPr>
              <w:t xml:space="preserve">  </w:t>
            </w:r>
            <w:r>
              <w:rPr>
                <w:rFonts w:ascii="Times New Roman" w:hAnsi="Times New Roman" w:eastAsia="宋体" w:cs="Times New Roman"/>
              </w:rPr>
              <w:t>万元</w:t>
            </w:r>
          </w:p>
          <w:p w14:paraId="767E71E9">
            <w:pPr>
              <w:snapToGrid w:val="0"/>
              <w:spacing w:line="500" w:lineRule="exact"/>
            </w:pPr>
            <w:r>
              <w:t xml:space="preserve">递交要求： </w:t>
            </w:r>
          </w:p>
          <w:p w14:paraId="04D3E30E">
            <w:pPr>
              <w:snapToGrid w:val="0"/>
              <w:spacing w:line="500" w:lineRule="exact"/>
            </w:pPr>
            <w:r>
              <w:t>①投标保证金的到账截止时间：</w:t>
            </w:r>
            <w:r>
              <w:rPr>
                <w:rFonts w:hint="eastAsia"/>
              </w:rPr>
              <w:t>报名</w:t>
            </w:r>
            <w:r>
              <w:t>截止时间。</w:t>
            </w:r>
          </w:p>
          <w:p w14:paraId="6DBA9FE4">
            <w:pPr>
              <w:snapToGrid w:val="0"/>
              <w:spacing w:line="500" w:lineRule="exact"/>
            </w:pPr>
            <w:r>
              <w:t>②投标保证金应当从投标人基本账户转出，转出保证金的账户与投标人投标文件提供的基本账户不一致的，视为未按招标文件规定要求递交投标保证金。</w:t>
            </w:r>
          </w:p>
          <w:p w14:paraId="5AE6EB29">
            <w:pPr>
              <w:snapToGrid w:val="0"/>
              <w:spacing w:line="500" w:lineRule="exact"/>
              <w:rPr>
                <w:rFonts w:hint="eastAsia" w:ascii="Times New Roman" w:hAnsi="Times New Roman"/>
                <w:color w:val="000000"/>
                <w:szCs w:val="21"/>
              </w:rPr>
            </w:pPr>
            <w:r>
              <w:rPr>
                <w:color w:val="auto"/>
              </w:rPr>
              <w:t>③转帐时请备注“××项目投标保证金，并将转账凭证扫描件发送至</w:t>
            </w:r>
            <w:r>
              <w:rPr>
                <w:rFonts w:hint="eastAsia"/>
                <w:color w:val="auto"/>
                <w:lang w:val="en-US" w:eastAsia="zh-CN"/>
              </w:rPr>
              <w:t>361365751</w:t>
            </w:r>
            <w:r>
              <w:rPr>
                <w:color w:val="auto"/>
              </w:rPr>
              <w:t>@qq.com邮箱</w:t>
            </w:r>
            <w:r>
              <w:rPr>
                <w:rFonts w:hint="eastAsia"/>
                <w:color w:val="auto"/>
              </w:rPr>
              <w:t>。</w:t>
            </w:r>
          </w:p>
        </w:tc>
      </w:tr>
      <w:tr w14:paraId="4212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7A8D1CFA">
            <w:pPr>
              <w:spacing w:line="500" w:lineRule="exact"/>
              <w:jc w:val="center"/>
              <w:rPr>
                <w:rFonts w:ascii="Times New Roman" w:hAnsi="Times New Roman"/>
              </w:rPr>
            </w:pPr>
            <w:r>
              <w:rPr>
                <w:rFonts w:ascii="Times New Roman" w:hAnsi="Times New Roman"/>
              </w:rPr>
              <w:t>3.4.4</w:t>
            </w:r>
          </w:p>
        </w:tc>
        <w:tc>
          <w:tcPr>
            <w:tcW w:w="2487" w:type="dxa"/>
            <w:noWrap w:val="0"/>
            <w:vAlign w:val="center"/>
          </w:tcPr>
          <w:p w14:paraId="5518D4DD">
            <w:pPr>
              <w:spacing w:line="500" w:lineRule="exact"/>
              <w:jc w:val="center"/>
              <w:rPr>
                <w:rFonts w:ascii="Times New Roman" w:hAnsi="Times New Roman"/>
                <w:color w:val="000000"/>
              </w:rPr>
            </w:pPr>
            <w:r>
              <w:rPr>
                <w:rFonts w:ascii="Times New Roman" w:hAnsi="Times New Roman"/>
                <w:color w:val="000000"/>
                <w:szCs w:val="21"/>
              </w:rPr>
              <w:t>其他不予退还投标保证金的情形</w:t>
            </w:r>
          </w:p>
        </w:tc>
        <w:tc>
          <w:tcPr>
            <w:tcW w:w="5670" w:type="dxa"/>
            <w:noWrap w:val="0"/>
            <w:vAlign w:val="center"/>
          </w:tcPr>
          <w:p w14:paraId="5BCD471D">
            <w:pPr>
              <w:keepNext/>
              <w:keepLines/>
              <w:spacing w:line="500" w:lineRule="exact"/>
              <w:outlineLvl w:val="0"/>
              <w:rPr>
                <w:rFonts w:ascii="Times New Roman" w:hAnsi="Times New Roman"/>
                <w:bCs/>
                <w:snapToGrid w:val="0"/>
                <w:color w:val="000000"/>
                <w:kern w:val="0"/>
                <w:szCs w:val="21"/>
              </w:rPr>
            </w:pPr>
            <w:r>
              <w:rPr>
                <w:rFonts w:ascii="Times New Roman" w:hAnsi="Times New Roman"/>
                <w:bCs/>
                <w:snapToGrid w:val="0"/>
                <w:color w:val="000000"/>
                <w:kern w:val="0"/>
                <w:szCs w:val="21"/>
              </w:rPr>
              <w:t>（1）中标候选人无正当理由放弃中标项目资格的；</w:t>
            </w:r>
          </w:p>
          <w:p w14:paraId="5B8711B7">
            <w:pPr>
              <w:spacing w:line="500" w:lineRule="exact"/>
              <w:rPr>
                <w:rFonts w:ascii="Times New Roman" w:hAnsi="Times New Roman"/>
                <w:color w:val="000000"/>
              </w:rPr>
            </w:pPr>
            <w:r>
              <w:rPr>
                <w:rFonts w:ascii="Times New Roman" w:hAnsi="Times New Roman"/>
                <w:color w:val="000000"/>
              </w:rPr>
              <w:t>（2）投标人存在弄虚作假行为的；</w:t>
            </w:r>
          </w:p>
          <w:p w14:paraId="27C33C8B">
            <w:pPr>
              <w:spacing w:line="500" w:lineRule="exact"/>
              <w:rPr>
                <w:rFonts w:ascii="Times New Roman" w:hAnsi="Times New Roman"/>
                <w:color w:val="000000"/>
              </w:rPr>
            </w:pPr>
            <w:r>
              <w:rPr>
                <w:rFonts w:ascii="Times New Roman" w:hAnsi="Times New Roman"/>
                <w:color w:val="000000"/>
              </w:rPr>
              <w:t>（3）经监管部门认定投标人存在串通投标情形的。</w:t>
            </w:r>
          </w:p>
        </w:tc>
      </w:tr>
      <w:tr w14:paraId="36E8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68548CD5">
            <w:pPr>
              <w:spacing w:line="500" w:lineRule="exact"/>
              <w:jc w:val="center"/>
              <w:rPr>
                <w:rFonts w:ascii="Times New Roman" w:hAnsi="Times New Roman"/>
              </w:rPr>
            </w:pPr>
            <w:r>
              <w:rPr>
                <w:rFonts w:ascii="Times New Roman" w:hAnsi="Times New Roman"/>
              </w:rPr>
              <w:t>3.6.1</w:t>
            </w:r>
          </w:p>
        </w:tc>
        <w:tc>
          <w:tcPr>
            <w:tcW w:w="2487" w:type="dxa"/>
            <w:noWrap w:val="0"/>
            <w:vAlign w:val="center"/>
          </w:tcPr>
          <w:p w14:paraId="158A3630">
            <w:pPr>
              <w:spacing w:line="500" w:lineRule="exact"/>
              <w:jc w:val="center"/>
              <w:rPr>
                <w:rFonts w:ascii="Times New Roman" w:hAnsi="Times New Roman"/>
                <w:color w:val="000000"/>
              </w:rPr>
            </w:pPr>
            <w:r>
              <w:rPr>
                <w:rFonts w:ascii="Times New Roman" w:hAnsi="Times New Roman"/>
                <w:color w:val="000000"/>
              </w:rPr>
              <w:t>是否允许递交备选投标方案</w:t>
            </w:r>
          </w:p>
        </w:tc>
        <w:tc>
          <w:tcPr>
            <w:tcW w:w="5670" w:type="dxa"/>
            <w:noWrap w:val="0"/>
            <w:vAlign w:val="center"/>
          </w:tcPr>
          <w:p w14:paraId="17DDD4C0">
            <w:pPr>
              <w:pStyle w:val="15"/>
              <w:topLinePunct/>
              <w:spacing w:line="500" w:lineRule="exact"/>
              <w:rPr>
                <w:rFonts w:ascii="Times New Roman" w:hAnsi="Times New Roman"/>
                <w:color w:val="000000"/>
                <w:sz w:val="21"/>
                <w:szCs w:val="22"/>
              </w:rPr>
            </w:pPr>
            <w:r>
              <w:rPr>
                <w:rFonts w:ascii="Times New Roman" w:hAnsi="Times New Roman"/>
                <w:b/>
                <w:bCs/>
                <w:color w:val="000000"/>
                <w:szCs w:val="21"/>
              </w:rPr>
              <w:sym w:font="Wingdings" w:char="F0FE"/>
            </w:r>
            <w:r>
              <w:rPr>
                <w:rFonts w:ascii="Times New Roman" w:hAnsi="Times New Roman"/>
                <w:color w:val="000000"/>
                <w:sz w:val="21"/>
                <w:szCs w:val="22"/>
              </w:rPr>
              <w:t>不允许</w:t>
            </w:r>
          </w:p>
          <w:p w14:paraId="467FCF33">
            <w:pPr>
              <w:spacing w:line="500" w:lineRule="exact"/>
              <w:rPr>
                <w:rFonts w:ascii="Times New Roman" w:hAnsi="Times New Roman"/>
                <w:color w:val="000000"/>
              </w:rPr>
            </w:pPr>
            <w:r>
              <w:rPr>
                <w:rFonts w:ascii="Times New Roman" w:hAnsi="Times New Roman"/>
                <w:color w:val="000000"/>
                <w:sz w:val="32"/>
              </w:rPr>
              <w:t>□</w:t>
            </w:r>
            <w:r>
              <w:rPr>
                <w:rFonts w:ascii="Times New Roman" w:hAnsi="Times New Roman"/>
                <w:color w:val="000000"/>
              </w:rPr>
              <w:t>允许</w:t>
            </w:r>
          </w:p>
        </w:tc>
      </w:tr>
      <w:tr w14:paraId="0CD0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6B6B3A68">
            <w:pPr>
              <w:spacing w:line="500" w:lineRule="exact"/>
              <w:jc w:val="center"/>
              <w:rPr>
                <w:rFonts w:ascii="Times New Roman" w:hAnsi="Times New Roman"/>
              </w:rPr>
            </w:pPr>
            <w:r>
              <w:rPr>
                <w:rFonts w:ascii="Times New Roman" w:hAnsi="Times New Roman"/>
              </w:rPr>
              <w:t>3.7.1</w:t>
            </w:r>
          </w:p>
        </w:tc>
        <w:tc>
          <w:tcPr>
            <w:tcW w:w="2487" w:type="dxa"/>
            <w:noWrap w:val="0"/>
            <w:vAlign w:val="center"/>
          </w:tcPr>
          <w:p w14:paraId="0C974F1F">
            <w:pPr>
              <w:pStyle w:val="14"/>
              <w:spacing w:line="500" w:lineRule="exact"/>
              <w:jc w:val="center"/>
              <w:rPr>
                <w:color w:val="000000"/>
              </w:rPr>
            </w:pPr>
            <w:r>
              <w:rPr>
                <w:snapToGrid w:val="0"/>
                <w:color w:val="000000"/>
                <w:kern w:val="0"/>
                <w:szCs w:val="21"/>
                <w:shd w:val="clear" w:color="auto" w:fill="FFFFFF"/>
              </w:rPr>
              <w:t>服务方案编制的特殊要求</w:t>
            </w:r>
          </w:p>
        </w:tc>
        <w:tc>
          <w:tcPr>
            <w:tcW w:w="5670" w:type="dxa"/>
            <w:noWrap w:val="0"/>
            <w:vAlign w:val="center"/>
          </w:tcPr>
          <w:p w14:paraId="2B1C9075">
            <w:pPr>
              <w:snapToGrid w:val="0"/>
              <w:spacing w:line="500" w:lineRule="exact"/>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（1）本招标项目重点难点：</w:t>
            </w:r>
            <w:r>
              <w:rPr>
                <w:rFonts w:hint="eastAsia" w:ascii="Times New Roman" w:hAnsi="Times New Roman"/>
                <w:snapToGrid w:val="0"/>
                <w:kern w:val="0"/>
                <w:szCs w:val="21"/>
                <w:highlight w:val="none"/>
                <w:u w:val="single"/>
                <w:shd w:val="clear" w:color="auto" w:fill="FFFFFF"/>
                <w:lang w:val="en-US" w:eastAsia="zh-CN"/>
              </w:rPr>
              <w:t>本项目维保服务位于合肥市妇女儿童活动中心，目前场馆内有各种商户，同时有儿童活动</w:t>
            </w:r>
            <w:r>
              <w:rPr>
                <w:rFonts w:hint="eastAsia" w:ascii="Times New Roman" w:hAnsi="Times New Roman" w:eastAsia="宋体" w:cs="Times New Roman"/>
                <w:snapToGrid w:val="0"/>
                <w:kern w:val="0"/>
                <w:szCs w:val="21"/>
                <w:highlight w:val="none"/>
                <w:u w:val="single"/>
                <w:shd w:val="clear" w:color="auto" w:fill="FFFFFF"/>
                <w:lang w:val="en-US" w:eastAsia="zh-CN"/>
              </w:rPr>
              <w:t>设施，维保服务需考虑商户及儿童活动设施的营业时间；</w:t>
            </w:r>
          </w:p>
          <w:p w14:paraId="2DA98DD6">
            <w:pPr>
              <w:snapToGrid w:val="0"/>
              <w:spacing w:line="500" w:lineRule="exact"/>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（2）其他：</w:t>
            </w:r>
          </w:p>
          <w:p w14:paraId="21218146">
            <w:pPr>
              <w:snapToGrid w:val="0"/>
              <w:spacing w:line="500" w:lineRule="exact"/>
              <w:rPr>
                <w:rFonts w:hint="eastAsia" w:ascii="Times New Roman" w:hAnsi="Times New Roman" w:eastAsia="宋体" w:cs="Times New Roman"/>
                <w:b/>
                <w:bCs/>
                <w:snapToGrid w:val="0"/>
                <w:kern w:val="0"/>
                <w:szCs w:val="21"/>
                <w:u w:val="single"/>
                <w:shd w:val="clear" w:color="auto" w:fill="FFFFFF"/>
                <w:lang w:val="en-US" w:eastAsia="zh-CN"/>
              </w:rPr>
            </w:pPr>
            <w:r>
              <w:rPr>
                <w:rFonts w:hint="eastAsia" w:ascii="Times New Roman" w:hAnsi="Times New Roman"/>
                <w:b/>
                <w:bCs/>
                <w:snapToGrid w:val="0"/>
                <w:kern w:val="0"/>
                <w:szCs w:val="21"/>
                <w:shd w:val="clear" w:color="auto" w:fill="FFFFFF"/>
                <w:lang w:val="en-US" w:eastAsia="zh-CN"/>
              </w:rPr>
              <w:t>①</w:t>
            </w:r>
            <w:r>
              <w:rPr>
                <w:rFonts w:hint="eastAsia" w:ascii="Times New Roman" w:hAnsi="Times New Roman"/>
                <w:b/>
                <w:bCs/>
                <w:snapToGrid w:val="0"/>
                <w:kern w:val="0"/>
                <w:szCs w:val="21"/>
                <w:u w:val="single"/>
                <w:shd w:val="clear" w:color="auto" w:fill="FFFFFF"/>
                <w:lang w:val="en-US" w:eastAsia="zh-CN"/>
              </w:rPr>
              <w:t>场馆面临活动较多，大型活动期间需安排专人驻点进行</w:t>
            </w:r>
            <w:r>
              <w:rPr>
                <w:rFonts w:hint="eastAsia" w:ascii="Times New Roman" w:hAnsi="Times New Roman" w:eastAsia="宋体" w:cs="Times New Roman"/>
                <w:b/>
                <w:bCs/>
                <w:snapToGrid w:val="0"/>
                <w:kern w:val="0"/>
                <w:szCs w:val="21"/>
                <w:u w:val="single"/>
                <w:shd w:val="clear" w:color="auto" w:fill="FFFFFF"/>
                <w:lang w:val="en-US" w:eastAsia="zh-CN"/>
              </w:rPr>
              <w:t>维保保障；</w:t>
            </w:r>
          </w:p>
          <w:p w14:paraId="398D79C9">
            <w:pPr>
              <w:snapToGrid w:val="0"/>
              <w:spacing w:line="500" w:lineRule="exact"/>
              <w:rPr>
                <w:rFonts w:hint="default" w:ascii="Times New Roman" w:hAnsi="Times New Roman" w:eastAsia="宋体" w:cs="Times New Roman"/>
                <w:b/>
                <w:bCs/>
                <w:snapToGrid w:val="0"/>
                <w:kern w:val="0"/>
                <w:szCs w:val="21"/>
                <w:u w:val="single"/>
                <w:shd w:val="clear" w:color="auto" w:fill="FFFFFF"/>
                <w:lang w:val="en-US" w:eastAsia="zh-CN"/>
              </w:rPr>
            </w:pPr>
            <w:r>
              <w:rPr>
                <w:rFonts w:hint="eastAsia" w:ascii="Times New Roman" w:hAnsi="Times New Roman" w:eastAsia="宋体" w:cs="Times New Roman"/>
                <w:b/>
                <w:bCs/>
                <w:snapToGrid w:val="0"/>
                <w:kern w:val="0"/>
                <w:szCs w:val="21"/>
                <w:u w:val="single"/>
                <w:shd w:val="clear" w:color="auto" w:fill="FFFFFF"/>
                <w:lang w:val="en-US" w:eastAsia="zh-CN"/>
              </w:rPr>
              <w:t xml:space="preserve">②投标文件中服务方案编制要求：编制篇幅建议不超过30页 </w:t>
            </w:r>
            <w:r>
              <w:rPr>
                <w:rFonts w:hint="eastAsia" w:ascii="Times New Roman" w:hAnsi="Times New Roman" w:eastAsia="宋体" w:cs="Times New Roman"/>
                <w:b/>
                <w:bCs/>
                <w:snapToGrid w:val="0"/>
                <w:kern w:val="0"/>
                <w:szCs w:val="21"/>
                <w:u w:val="none"/>
                <w:shd w:val="clear" w:color="auto" w:fill="FFFFFF"/>
                <w:lang w:val="en-US" w:eastAsia="zh-CN"/>
              </w:rPr>
              <w:t>。</w:t>
            </w:r>
          </w:p>
          <w:p w14:paraId="76B23A88">
            <w:pPr>
              <w:snapToGrid w:val="0"/>
              <w:spacing w:line="500" w:lineRule="exact"/>
              <w:rPr>
                <w:rFonts w:ascii="Times New Roman" w:hAnsi="Times New Roman"/>
                <w:color w:val="000000"/>
                <w:sz w:val="32"/>
              </w:rPr>
            </w:pPr>
            <w:r>
              <w:rPr>
                <w:rFonts w:ascii="Times New Roman" w:hAnsi="Times New Roman"/>
                <w:snapToGrid w:val="0"/>
                <w:kern w:val="0"/>
                <w:szCs w:val="21"/>
                <w:shd w:val="clear" w:color="auto" w:fill="FFFFFF"/>
              </w:rPr>
              <w:t>投标人必须在技术文件中重点阐述。</w:t>
            </w:r>
          </w:p>
        </w:tc>
      </w:tr>
      <w:tr w14:paraId="53F7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E65CF27">
            <w:pPr>
              <w:spacing w:line="500" w:lineRule="exact"/>
              <w:jc w:val="center"/>
              <w:rPr>
                <w:rFonts w:hint="default" w:ascii="Times New Roman" w:hAnsi="Times New Roman" w:eastAsia="宋体"/>
                <w:kern w:val="2"/>
                <w:sz w:val="21"/>
                <w:szCs w:val="24"/>
                <w:lang w:val="en-US" w:eastAsia="zh-CN" w:bidi="ar-SA"/>
              </w:rPr>
            </w:pPr>
            <w:r>
              <w:rPr>
                <w:rFonts w:hint="eastAsia" w:ascii="Times New Roman" w:hAnsi="Times New Roman"/>
                <w:lang w:val="en-US" w:eastAsia="zh-CN"/>
              </w:rPr>
              <w:t>4.2</w:t>
            </w:r>
          </w:p>
        </w:tc>
        <w:tc>
          <w:tcPr>
            <w:tcW w:w="2487" w:type="dxa"/>
            <w:noWrap w:val="0"/>
            <w:vAlign w:val="center"/>
          </w:tcPr>
          <w:p w14:paraId="7D58EFE0">
            <w:pPr>
              <w:spacing w:line="500" w:lineRule="exact"/>
              <w:jc w:val="center"/>
              <w:rPr>
                <w:rFonts w:hint="default" w:ascii="Times New Roman" w:hAnsi="Times New Roman" w:eastAsia="宋体"/>
                <w:color w:val="000000"/>
                <w:kern w:val="2"/>
                <w:sz w:val="21"/>
                <w:szCs w:val="24"/>
                <w:lang w:val="en-US" w:eastAsia="zh-CN" w:bidi="ar-SA"/>
              </w:rPr>
            </w:pPr>
            <w:r>
              <w:rPr>
                <w:rFonts w:hint="eastAsia" w:ascii="Times New Roman" w:hAnsi="Times New Roman"/>
                <w:color w:val="000000"/>
                <w:lang w:val="en-US" w:eastAsia="zh-CN"/>
              </w:rPr>
              <w:t>投标文件的递交</w:t>
            </w:r>
          </w:p>
        </w:tc>
        <w:tc>
          <w:tcPr>
            <w:tcW w:w="5670" w:type="dxa"/>
            <w:noWrap w:val="0"/>
            <w:vAlign w:val="center"/>
          </w:tcPr>
          <w:p w14:paraId="47D99542">
            <w:pPr>
              <w:pStyle w:val="104"/>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具体要求如下：</w:t>
            </w:r>
          </w:p>
          <w:p w14:paraId="44BE568F">
            <w:pPr>
              <w:pStyle w:val="104"/>
              <w:numPr>
                <w:ilvl w:val="0"/>
                <w:numId w:val="0"/>
              </w:numPr>
              <w:spacing w:line="360" w:lineRule="auto"/>
              <w:ind w:firstLine="0" w:firstLineChars="0"/>
              <w:jc w:val="left"/>
              <w:rPr>
                <w:rFonts w:ascii="Times New Roman" w:hAnsi="Times New Roman" w:eastAsia="宋体" w:cs="Times New Roman"/>
                <w:snapToGrid w:val="0"/>
                <w:color w:val="000000"/>
                <w:kern w:val="0"/>
                <w:sz w:val="21"/>
                <w:szCs w:val="21"/>
                <w:shd w:val="clear" w:color="auto" w:fill="FFFFFF"/>
                <w:lang w:val="en-US" w:eastAsia="zh-CN" w:bidi="ar-SA"/>
              </w:rPr>
            </w:pPr>
            <w:r>
              <w:rPr>
                <w:rFonts w:ascii="Times New Roman" w:hAnsi="Times New Roman" w:eastAsia="宋体" w:cs="Times New Roman"/>
                <w:snapToGrid w:val="0"/>
                <w:color w:val="000000"/>
                <w:kern w:val="0"/>
                <w:sz w:val="21"/>
                <w:szCs w:val="21"/>
                <w:shd w:val="clear" w:color="auto" w:fill="FFFFFF"/>
                <w:lang w:val="en-US" w:eastAsia="zh-CN" w:bidi="ar-SA"/>
              </w:rPr>
              <w:t>1.投标文件应装订成册、密封，并在封面注明招标编号、投标项目等，同时在密封处加盖骑缝章；正、副本各一份。</w:t>
            </w:r>
          </w:p>
          <w:p w14:paraId="0ABFDFF4">
            <w:pPr>
              <w:pStyle w:val="104"/>
              <w:numPr>
                <w:ilvl w:val="0"/>
                <w:numId w:val="0"/>
              </w:numPr>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2.投标文件由投标人自行递交。</w:t>
            </w:r>
          </w:p>
          <w:p w14:paraId="0680D1DD">
            <w:pPr>
              <w:pStyle w:val="104"/>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投标文件应在投标截止时间前在开标地点递交，并提供以下证明材料，否则招标人不予接收。</w:t>
            </w:r>
          </w:p>
          <w:p w14:paraId="5B985076">
            <w:pPr>
              <w:pStyle w:val="104"/>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（1）法定代表人亲自递交的，应提供法定代表人身份证明和法定代表人的有效身份证件；</w:t>
            </w:r>
          </w:p>
          <w:p w14:paraId="43129A6F">
            <w:pPr>
              <w:pStyle w:val="104"/>
              <w:spacing w:line="360" w:lineRule="auto"/>
              <w:ind w:firstLine="0" w:firstLineChars="0"/>
              <w:jc w:val="left"/>
              <w:rPr>
                <w:rFonts w:hint="eastAsia" w:ascii="Times New Roman" w:hAnsi="Times New Roman" w:eastAsia="宋体"/>
                <w:color w:val="000000"/>
                <w:kern w:val="2"/>
                <w:sz w:val="32"/>
                <w:szCs w:val="22"/>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（2）委托代理人递交的，应提供授权委托书和委托代理人的有效身份证件。</w:t>
            </w:r>
          </w:p>
        </w:tc>
      </w:tr>
      <w:tr w14:paraId="4841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9EBC715">
            <w:pPr>
              <w:spacing w:line="500" w:lineRule="exact"/>
              <w:jc w:val="center"/>
              <w:rPr>
                <w:rFonts w:hint="eastAsia" w:ascii="Times New Roman" w:hAnsi="Times New Roman"/>
              </w:rPr>
            </w:pPr>
            <w:r>
              <w:rPr>
                <w:rFonts w:ascii="Times New Roman" w:hAnsi="Times New Roman"/>
              </w:rPr>
              <w:t>4.2.</w:t>
            </w:r>
            <w:r>
              <w:rPr>
                <w:rFonts w:hint="eastAsia" w:ascii="Times New Roman" w:hAnsi="Times New Roman"/>
              </w:rPr>
              <w:t>2</w:t>
            </w:r>
          </w:p>
        </w:tc>
        <w:tc>
          <w:tcPr>
            <w:tcW w:w="2487" w:type="dxa"/>
            <w:noWrap w:val="0"/>
            <w:vAlign w:val="center"/>
          </w:tcPr>
          <w:p w14:paraId="01FE1BB5">
            <w:pPr>
              <w:spacing w:line="500" w:lineRule="exact"/>
              <w:jc w:val="center"/>
              <w:rPr>
                <w:rFonts w:ascii="Times New Roman" w:hAnsi="Times New Roman"/>
                <w:color w:val="000000"/>
              </w:rPr>
            </w:pPr>
            <w:r>
              <w:rPr>
                <w:rFonts w:ascii="Times New Roman" w:hAnsi="Times New Roman"/>
                <w:color w:val="000000"/>
              </w:rPr>
              <w:t>投标文件是否退还</w:t>
            </w:r>
          </w:p>
        </w:tc>
        <w:tc>
          <w:tcPr>
            <w:tcW w:w="5670" w:type="dxa"/>
            <w:noWrap w:val="0"/>
            <w:vAlign w:val="center"/>
          </w:tcPr>
          <w:p w14:paraId="001E4C5C">
            <w:pPr>
              <w:pStyle w:val="15"/>
              <w:topLinePunct/>
              <w:spacing w:line="500" w:lineRule="exact"/>
              <w:rPr>
                <w:rFonts w:ascii="Times New Roman" w:hAnsi="Times New Roman"/>
                <w:color w:val="000000"/>
                <w:szCs w:val="22"/>
              </w:rPr>
            </w:pPr>
            <w:r>
              <w:rPr>
                <w:rFonts w:ascii="Times New Roman" w:hAnsi="Times New Roman"/>
                <w:b/>
                <w:bCs/>
                <w:color w:val="000000"/>
                <w:szCs w:val="21"/>
              </w:rPr>
              <w:sym w:font="Wingdings" w:char="F0FE"/>
            </w:r>
            <w:r>
              <w:rPr>
                <w:rFonts w:ascii="Times New Roman" w:hAnsi="Times New Roman"/>
                <w:color w:val="000000"/>
                <w:sz w:val="21"/>
                <w:szCs w:val="21"/>
              </w:rPr>
              <w:t>否</w:t>
            </w:r>
          </w:p>
          <w:p w14:paraId="52308097">
            <w:pPr>
              <w:pStyle w:val="15"/>
              <w:topLinePunct/>
              <w:spacing w:line="500" w:lineRule="exact"/>
              <w:rPr>
                <w:rFonts w:ascii="Times New Roman" w:hAnsi="Times New Roman"/>
                <w:color w:val="000000"/>
                <w:sz w:val="21"/>
                <w:szCs w:val="22"/>
                <w:u w:val="single"/>
              </w:rPr>
            </w:pPr>
            <w:r>
              <w:rPr>
                <w:rFonts w:ascii="Times New Roman" w:hAnsi="Times New Roman"/>
                <w:color w:val="000000"/>
                <w:sz w:val="32"/>
              </w:rPr>
              <w:t>□</w:t>
            </w:r>
            <w:r>
              <w:rPr>
                <w:rFonts w:ascii="Times New Roman" w:hAnsi="Times New Roman"/>
                <w:color w:val="000000"/>
                <w:sz w:val="21"/>
                <w:szCs w:val="22"/>
              </w:rPr>
              <w:t>是，退还安排：</w:t>
            </w:r>
            <w:r>
              <w:rPr>
                <w:rFonts w:ascii="Times New Roman" w:hAnsi="Times New Roman"/>
                <w:color w:val="000000"/>
                <w:sz w:val="21"/>
                <w:szCs w:val="22"/>
                <w:u w:val="single"/>
              </w:rPr>
              <w:t xml:space="preserve">           </w:t>
            </w:r>
          </w:p>
        </w:tc>
      </w:tr>
      <w:tr w14:paraId="1A0A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63EA6F1F">
            <w:pPr>
              <w:spacing w:line="500" w:lineRule="exact"/>
              <w:jc w:val="center"/>
              <w:rPr>
                <w:rFonts w:ascii="Times New Roman" w:hAnsi="Times New Roman"/>
              </w:rPr>
            </w:pPr>
            <w:r>
              <w:rPr>
                <w:rFonts w:ascii="Times New Roman" w:hAnsi="Times New Roman"/>
              </w:rPr>
              <w:t>5.1</w:t>
            </w:r>
          </w:p>
        </w:tc>
        <w:tc>
          <w:tcPr>
            <w:tcW w:w="2487" w:type="dxa"/>
            <w:noWrap w:val="0"/>
            <w:vAlign w:val="center"/>
          </w:tcPr>
          <w:p w14:paraId="5FC47ECE">
            <w:pPr>
              <w:spacing w:line="500" w:lineRule="exact"/>
              <w:jc w:val="center"/>
              <w:rPr>
                <w:rFonts w:ascii="Times New Roman" w:hAnsi="Times New Roman"/>
              </w:rPr>
            </w:pPr>
            <w:r>
              <w:rPr>
                <w:rFonts w:ascii="Times New Roman" w:hAnsi="Times New Roman"/>
                <w:szCs w:val="21"/>
              </w:rPr>
              <w:t>开标时间和地点</w:t>
            </w:r>
          </w:p>
        </w:tc>
        <w:tc>
          <w:tcPr>
            <w:tcW w:w="5670" w:type="dxa"/>
            <w:noWrap w:val="0"/>
            <w:vAlign w:val="center"/>
          </w:tcPr>
          <w:p w14:paraId="55855C35">
            <w:pPr>
              <w:spacing w:line="500" w:lineRule="exact"/>
              <w:rPr>
                <w:rFonts w:ascii="Times New Roman" w:hAnsi="Times New Roman"/>
              </w:rPr>
            </w:pPr>
            <w:r>
              <w:rPr>
                <w:rFonts w:ascii="Times New Roman" w:hAnsi="Times New Roman"/>
              </w:rPr>
              <w:t>开标时间：</w:t>
            </w:r>
            <w:r>
              <w:rPr>
                <w:rFonts w:hint="eastAsia" w:ascii="Times New Roman" w:hAnsi="Times New Roman"/>
                <w:bCs/>
                <w:snapToGrid w:val="0"/>
                <w:szCs w:val="24"/>
              </w:rPr>
              <w:t>见招标公告</w:t>
            </w:r>
          </w:p>
          <w:p w14:paraId="0ADE8E57">
            <w:pPr>
              <w:spacing w:line="500" w:lineRule="exact"/>
              <w:rPr>
                <w:rFonts w:ascii="Times New Roman" w:hAnsi="Times New Roman"/>
              </w:rPr>
            </w:pPr>
            <w:r>
              <w:rPr>
                <w:rFonts w:ascii="Times New Roman" w:hAnsi="Times New Roman"/>
              </w:rPr>
              <w:t>开标地点：见招标公告</w:t>
            </w:r>
          </w:p>
        </w:tc>
      </w:tr>
      <w:tr w14:paraId="49E9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0030A1B0">
            <w:pPr>
              <w:spacing w:line="500" w:lineRule="exact"/>
              <w:jc w:val="center"/>
              <w:rPr>
                <w:rFonts w:ascii="Times New Roman" w:hAnsi="Times New Roman"/>
              </w:rPr>
            </w:pPr>
            <w:r>
              <w:rPr>
                <w:rFonts w:ascii="Times New Roman" w:hAnsi="Times New Roman"/>
              </w:rPr>
              <w:t>5.2</w:t>
            </w:r>
          </w:p>
        </w:tc>
        <w:tc>
          <w:tcPr>
            <w:tcW w:w="2487" w:type="dxa"/>
            <w:noWrap w:val="0"/>
            <w:vAlign w:val="center"/>
          </w:tcPr>
          <w:p w14:paraId="7FBF722A">
            <w:pPr>
              <w:spacing w:line="500" w:lineRule="exact"/>
              <w:jc w:val="center"/>
              <w:rPr>
                <w:rFonts w:ascii="Times New Roman" w:hAnsi="Times New Roman"/>
                <w:szCs w:val="21"/>
              </w:rPr>
            </w:pPr>
            <w:r>
              <w:rPr>
                <w:rFonts w:ascii="Times New Roman" w:hAnsi="Times New Roman"/>
              </w:rPr>
              <w:t>开标程序</w:t>
            </w:r>
          </w:p>
        </w:tc>
        <w:tc>
          <w:tcPr>
            <w:tcW w:w="5670" w:type="dxa"/>
            <w:noWrap w:val="0"/>
            <w:vAlign w:val="center"/>
          </w:tcPr>
          <w:p w14:paraId="59B42664">
            <w:pPr>
              <w:snapToGrid w:val="0"/>
              <w:spacing w:line="500" w:lineRule="exact"/>
              <w:rPr>
                <w:rFonts w:ascii="Times New Roman" w:hAnsi="Times New Roman"/>
                <w:bCs/>
                <w:snapToGrid w:val="0"/>
                <w:kern w:val="0"/>
                <w:szCs w:val="21"/>
              </w:rPr>
            </w:pPr>
            <w:r>
              <w:rPr>
                <w:rFonts w:hint="eastAsia" w:ascii="Times New Roman" w:hAnsi="Times New Roman"/>
                <w:sz w:val="32"/>
              </w:rPr>
              <w:t>☑</w:t>
            </w:r>
            <w:r>
              <w:rPr>
                <w:rFonts w:ascii="Times New Roman" w:hAnsi="Times New Roman"/>
                <w:bCs/>
                <w:snapToGrid w:val="0"/>
                <w:kern w:val="0"/>
                <w:szCs w:val="21"/>
              </w:rPr>
              <w:t>公布投标人名称、标段名称、投标报价（或定价）、服务期限及其他内容。</w:t>
            </w:r>
          </w:p>
          <w:p w14:paraId="4E896BE3">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对商务及技术文件评审完成后，再开启投标人的报价文件并进行评审。</w:t>
            </w:r>
          </w:p>
          <w:p w14:paraId="39D881FE">
            <w:pPr>
              <w:snapToGrid w:val="0"/>
              <w:spacing w:line="500" w:lineRule="exact"/>
              <w:rPr>
                <w:rFonts w:ascii="Times New Roman" w:hAnsi="Times New Roman"/>
                <w:b/>
                <w:sz w:val="32"/>
                <w:u w:val="single"/>
              </w:rPr>
            </w:pPr>
            <w:r>
              <w:rPr>
                <w:rFonts w:ascii="Times New Roman" w:hAnsi="Times New Roman"/>
                <w:b/>
                <w:szCs w:val="24"/>
              </w:rPr>
              <w:t>多标段开标顺序：</w:t>
            </w:r>
            <w:r>
              <w:rPr>
                <w:rFonts w:ascii="Times New Roman" w:hAnsi="Times New Roman"/>
                <w:b/>
                <w:szCs w:val="24"/>
                <w:u w:val="single"/>
              </w:rPr>
              <w:t xml:space="preserve">                          </w:t>
            </w:r>
          </w:p>
        </w:tc>
      </w:tr>
      <w:tr w14:paraId="0296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360B6182">
            <w:pPr>
              <w:spacing w:line="500" w:lineRule="exact"/>
              <w:jc w:val="center"/>
              <w:rPr>
                <w:rFonts w:ascii="Times New Roman" w:hAnsi="Times New Roman"/>
              </w:rPr>
            </w:pPr>
            <w:r>
              <w:rPr>
                <w:rFonts w:ascii="Times New Roman" w:hAnsi="Times New Roman"/>
              </w:rPr>
              <w:t>6.1.1</w:t>
            </w:r>
          </w:p>
        </w:tc>
        <w:tc>
          <w:tcPr>
            <w:tcW w:w="2487" w:type="dxa"/>
            <w:noWrap w:val="0"/>
            <w:vAlign w:val="center"/>
          </w:tcPr>
          <w:p w14:paraId="5D1B311F">
            <w:pPr>
              <w:spacing w:line="500" w:lineRule="exact"/>
              <w:jc w:val="center"/>
              <w:rPr>
                <w:rFonts w:ascii="Times New Roman" w:hAnsi="Times New Roman"/>
                <w:color w:val="000000"/>
              </w:rPr>
            </w:pPr>
            <w:r>
              <w:rPr>
                <w:rFonts w:ascii="Times New Roman" w:hAnsi="Times New Roman"/>
                <w:color w:val="000000"/>
              </w:rPr>
              <w:t>评标委员会的组建</w:t>
            </w:r>
          </w:p>
        </w:tc>
        <w:tc>
          <w:tcPr>
            <w:tcW w:w="5670" w:type="dxa"/>
            <w:noWrap w:val="0"/>
            <w:vAlign w:val="center"/>
          </w:tcPr>
          <w:p w14:paraId="47DE8074">
            <w:pPr>
              <w:spacing w:line="500" w:lineRule="exact"/>
              <w:rPr>
                <w:rFonts w:ascii="Times New Roman" w:hAnsi="Times New Roman"/>
                <w:color w:val="000000"/>
              </w:rPr>
            </w:pPr>
            <w:r>
              <w:rPr>
                <w:rFonts w:ascii="Times New Roman" w:hAnsi="Times New Roman"/>
                <w:color w:val="000000"/>
              </w:rPr>
              <w:t>评标委员会构成：</w:t>
            </w:r>
            <w:r>
              <w:rPr>
                <w:rFonts w:ascii="Times New Roman" w:hAnsi="Times New Roman"/>
                <w:color w:val="000000"/>
                <w:u w:val="single"/>
              </w:rPr>
              <w:t>依法组建</w:t>
            </w:r>
            <w:r>
              <w:rPr>
                <w:rFonts w:ascii="Times New Roman" w:hAnsi="Times New Roman"/>
                <w:color w:val="000000"/>
              </w:rPr>
              <w:t>；</w:t>
            </w:r>
          </w:p>
          <w:p w14:paraId="3BA56419">
            <w:pPr>
              <w:spacing w:line="500" w:lineRule="exact"/>
              <w:rPr>
                <w:rFonts w:ascii="Times New Roman" w:hAnsi="Times New Roman"/>
                <w:color w:val="000000"/>
                <w:u w:val="single"/>
              </w:rPr>
            </w:pPr>
            <w:r>
              <w:rPr>
                <w:rFonts w:ascii="Times New Roman" w:hAnsi="Times New Roman"/>
                <w:color w:val="000000"/>
              </w:rPr>
              <w:t>评标专家确定方式：</w:t>
            </w:r>
            <w:r>
              <w:rPr>
                <w:rFonts w:ascii="Times New Roman" w:hAnsi="Times New Roman"/>
                <w:color w:val="000000"/>
                <w:u w:val="single"/>
              </w:rPr>
              <w:t>依法确定</w:t>
            </w:r>
            <w:r>
              <w:rPr>
                <w:rFonts w:ascii="Times New Roman" w:hAnsi="Times New Roman"/>
                <w:color w:val="000000"/>
              </w:rPr>
              <w:t>。</w:t>
            </w:r>
          </w:p>
        </w:tc>
      </w:tr>
      <w:tr w14:paraId="7997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6ED91FCA">
            <w:pPr>
              <w:spacing w:line="500" w:lineRule="exact"/>
              <w:jc w:val="center"/>
              <w:rPr>
                <w:rFonts w:ascii="Times New Roman" w:hAnsi="Times New Roman"/>
              </w:rPr>
            </w:pPr>
            <w:r>
              <w:rPr>
                <w:rFonts w:ascii="Times New Roman" w:hAnsi="Times New Roman"/>
              </w:rPr>
              <w:t>6.3.2</w:t>
            </w:r>
          </w:p>
        </w:tc>
        <w:tc>
          <w:tcPr>
            <w:tcW w:w="2487" w:type="dxa"/>
            <w:noWrap w:val="0"/>
            <w:vAlign w:val="center"/>
          </w:tcPr>
          <w:p w14:paraId="20577455">
            <w:pPr>
              <w:spacing w:line="500" w:lineRule="exact"/>
              <w:jc w:val="center"/>
              <w:rPr>
                <w:rFonts w:ascii="Times New Roman" w:hAnsi="Times New Roman"/>
              </w:rPr>
            </w:pPr>
            <w:r>
              <w:rPr>
                <w:rFonts w:ascii="Times New Roman" w:hAnsi="Times New Roman"/>
              </w:rPr>
              <w:t>评标委员会推荐中标候选人的人数</w:t>
            </w:r>
          </w:p>
        </w:tc>
        <w:tc>
          <w:tcPr>
            <w:tcW w:w="5670" w:type="dxa"/>
            <w:noWrap w:val="0"/>
            <w:vAlign w:val="center"/>
          </w:tcPr>
          <w:p w14:paraId="0416C29B">
            <w:pPr>
              <w:spacing w:line="500" w:lineRule="exact"/>
              <w:rPr>
                <w:rFonts w:ascii="Times New Roman" w:hAnsi="Times New Roman"/>
              </w:rPr>
            </w:pPr>
            <w:r>
              <w:rPr>
                <w:rFonts w:ascii="Times New Roman" w:hAnsi="Times New Roman"/>
                <w:szCs w:val="24"/>
              </w:rPr>
              <w:t>不多于1家</w:t>
            </w:r>
          </w:p>
        </w:tc>
      </w:tr>
      <w:tr w14:paraId="311E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6241923D">
            <w:pPr>
              <w:spacing w:line="500" w:lineRule="exact"/>
              <w:jc w:val="center"/>
              <w:rPr>
                <w:rFonts w:ascii="Times New Roman" w:hAnsi="Times New Roman"/>
              </w:rPr>
            </w:pPr>
            <w:r>
              <w:rPr>
                <w:rFonts w:ascii="Times New Roman" w:hAnsi="Times New Roman"/>
              </w:rPr>
              <w:t>7.1</w:t>
            </w:r>
          </w:p>
        </w:tc>
        <w:tc>
          <w:tcPr>
            <w:tcW w:w="2487" w:type="dxa"/>
            <w:noWrap w:val="0"/>
            <w:vAlign w:val="center"/>
          </w:tcPr>
          <w:p w14:paraId="52A0ACD5">
            <w:pPr>
              <w:spacing w:line="500" w:lineRule="exact"/>
              <w:jc w:val="center"/>
              <w:rPr>
                <w:rFonts w:ascii="Times New Roman" w:hAnsi="Times New Roman"/>
              </w:rPr>
            </w:pPr>
            <w:r>
              <w:rPr>
                <w:rFonts w:ascii="Times New Roman" w:hAnsi="Times New Roman"/>
              </w:rPr>
              <w:t>中标候选人公示媒介及期限</w:t>
            </w:r>
          </w:p>
        </w:tc>
        <w:tc>
          <w:tcPr>
            <w:tcW w:w="5670" w:type="dxa"/>
            <w:noWrap w:val="0"/>
            <w:vAlign w:val="center"/>
          </w:tcPr>
          <w:p w14:paraId="009806A0">
            <w:pPr>
              <w:snapToGrid w:val="0"/>
              <w:spacing w:line="500" w:lineRule="exact"/>
              <w:rPr>
                <w:rFonts w:ascii="Times New Roman" w:hAnsi="Times New Roman"/>
              </w:rPr>
            </w:pPr>
            <w:r>
              <w:rPr>
                <w:rFonts w:ascii="Times New Roman" w:hAnsi="Times New Roman"/>
              </w:rPr>
              <w:t>公示媒介：同招标公告发布媒介</w:t>
            </w:r>
          </w:p>
          <w:p w14:paraId="27566B30">
            <w:pPr>
              <w:spacing w:line="500" w:lineRule="exact"/>
              <w:rPr>
                <w:rFonts w:ascii="Times New Roman" w:hAnsi="Times New Roman"/>
              </w:rPr>
            </w:pPr>
            <w:r>
              <w:rPr>
                <w:rFonts w:ascii="Times New Roman" w:hAnsi="Times New Roman"/>
              </w:rPr>
              <w:t>公示期限：</w:t>
            </w:r>
            <w:r>
              <w:rPr>
                <w:rFonts w:ascii="Times New Roman" w:hAnsi="Times New Roman"/>
                <w:u w:val="single"/>
              </w:rPr>
              <w:t xml:space="preserve"> 3 </w:t>
            </w:r>
            <w:r>
              <w:rPr>
                <w:rFonts w:ascii="Times New Roman" w:hAnsi="Times New Roman"/>
              </w:rPr>
              <w:t>日</w:t>
            </w:r>
          </w:p>
        </w:tc>
      </w:tr>
      <w:tr w14:paraId="7162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6EA5CFD9">
            <w:pPr>
              <w:spacing w:line="500" w:lineRule="exact"/>
              <w:jc w:val="center"/>
              <w:rPr>
                <w:rFonts w:ascii="Times New Roman" w:hAnsi="Times New Roman"/>
              </w:rPr>
            </w:pPr>
            <w:r>
              <w:rPr>
                <w:rFonts w:ascii="Times New Roman" w:hAnsi="Times New Roman"/>
              </w:rPr>
              <w:t>7.4</w:t>
            </w:r>
          </w:p>
        </w:tc>
        <w:tc>
          <w:tcPr>
            <w:tcW w:w="2487" w:type="dxa"/>
            <w:noWrap w:val="0"/>
            <w:vAlign w:val="center"/>
          </w:tcPr>
          <w:p w14:paraId="5768B311">
            <w:pPr>
              <w:spacing w:line="500" w:lineRule="exact"/>
              <w:jc w:val="center"/>
              <w:rPr>
                <w:rFonts w:ascii="Times New Roman" w:hAnsi="Times New Roman"/>
                <w:color w:val="000000"/>
              </w:rPr>
            </w:pPr>
            <w:r>
              <w:rPr>
                <w:rFonts w:ascii="Times New Roman" w:hAnsi="Times New Roman"/>
                <w:color w:val="000000"/>
              </w:rPr>
              <w:t>是否授权评标委员会确定中标人</w:t>
            </w:r>
          </w:p>
        </w:tc>
        <w:tc>
          <w:tcPr>
            <w:tcW w:w="5670" w:type="dxa"/>
            <w:noWrap w:val="0"/>
            <w:vAlign w:val="center"/>
          </w:tcPr>
          <w:p w14:paraId="799855F1">
            <w:pPr>
              <w:spacing w:line="500" w:lineRule="exact"/>
              <w:rPr>
                <w:rFonts w:ascii="Times New Roman" w:hAnsi="Times New Roman"/>
                <w:color w:val="000000"/>
              </w:rPr>
            </w:pPr>
            <w:r>
              <w:rPr>
                <w:rFonts w:ascii="Times New Roman" w:hAnsi="Times New Roman" w:eastAsia="MS Mincho"/>
                <w:color w:val="000000"/>
                <w:szCs w:val="24"/>
              </w:rPr>
              <w:t>☑</w:t>
            </w:r>
            <w:r>
              <w:rPr>
                <w:rFonts w:ascii="Times New Roman" w:hAnsi="Times New Roman"/>
                <w:color w:val="000000"/>
                <w:szCs w:val="24"/>
              </w:rPr>
              <w:t xml:space="preserve">是   </w:t>
            </w:r>
            <w:r>
              <w:rPr>
                <w:rFonts w:ascii="Times New Roman" w:hAnsi="Times New Roman"/>
                <w:szCs w:val="24"/>
              </w:rPr>
              <w:t>□</w:t>
            </w:r>
            <w:r>
              <w:rPr>
                <w:rFonts w:ascii="Times New Roman" w:hAnsi="Times New Roman"/>
                <w:color w:val="000000"/>
                <w:szCs w:val="24"/>
              </w:rPr>
              <w:t>否</w:t>
            </w:r>
          </w:p>
        </w:tc>
      </w:tr>
      <w:tr w14:paraId="77CD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7CAA3041">
            <w:pPr>
              <w:spacing w:line="500" w:lineRule="exact"/>
              <w:jc w:val="center"/>
              <w:rPr>
                <w:rFonts w:ascii="Times New Roman" w:hAnsi="Times New Roman"/>
              </w:rPr>
            </w:pPr>
            <w:r>
              <w:rPr>
                <w:rFonts w:ascii="Times New Roman" w:hAnsi="Times New Roman"/>
              </w:rPr>
              <w:t>7.5</w:t>
            </w:r>
          </w:p>
        </w:tc>
        <w:tc>
          <w:tcPr>
            <w:tcW w:w="2487" w:type="dxa"/>
            <w:noWrap w:val="0"/>
            <w:vAlign w:val="center"/>
          </w:tcPr>
          <w:p w14:paraId="46E6C3BD">
            <w:pPr>
              <w:spacing w:line="500" w:lineRule="exact"/>
              <w:jc w:val="center"/>
              <w:rPr>
                <w:rFonts w:ascii="Times New Roman" w:hAnsi="Times New Roman"/>
                <w:color w:val="000000"/>
              </w:rPr>
            </w:pPr>
            <w:r>
              <w:rPr>
                <w:rFonts w:ascii="Times New Roman" w:hAnsi="Times New Roman"/>
                <w:color w:val="000000"/>
              </w:rPr>
              <w:t>中标通知书和中标结果通知发出的形式</w:t>
            </w:r>
          </w:p>
        </w:tc>
        <w:tc>
          <w:tcPr>
            <w:tcW w:w="5670" w:type="dxa"/>
            <w:noWrap w:val="0"/>
            <w:vAlign w:val="center"/>
          </w:tcPr>
          <w:p w14:paraId="02A05DCB">
            <w:pPr>
              <w:snapToGrid w:val="0"/>
              <w:spacing w:line="500" w:lineRule="exact"/>
              <w:rPr>
                <w:rFonts w:ascii="Times New Roman" w:hAnsi="Times New Roman"/>
              </w:rPr>
            </w:pPr>
            <w:r>
              <w:rPr>
                <w:rFonts w:ascii="Times New Roman" w:hAnsi="Times New Roman"/>
                <w:color w:val="000000"/>
                <w:szCs w:val="21"/>
              </w:rPr>
              <w:t>☑</w:t>
            </w:r>
            <w:r>
              <w:rPr>
                <w:rFonts w:ascii="Times New Roman" w:hAnsi="Times New Roman"/>
              </w:rPr>
              <w:t xml:space="preserve">书面  </w:t>
            </w:r>
            <w:r>
              <w:rPr>
                <w:rFonts w:ascii="Times New Roman" w:hAnsi="Times New Roman"/>
                <w:b/>
                <w:color w:val="000000"/>
                <w:sz w:val="24"/>
              </w:rPr>
              <w:sym w:font="Wingdings" w:char="00A8"/>
            </w:r>
            <w:r>
              <w:rPr>
                <w:rFonts w:ascii="Times New Roman" w:hAnsi="Times New Roman"/>
              </w:rPr>
              <w:t>数据电文</w:t>
            </w:r>
          </w:p>
          <w:p w14:paraId="27B2846B">
            <w:pPr>
              <w:spacing w:line="500" w:lineRule="exact"/>
              <w:ind w:firstLine="2" w:firstLineChars="1"/>
              <w:jc w:val="left"/>
              <w:textAlignment w:val="center"/>
              <w:rPr>
                <w:rFonts w:ascii="Times New Roman" w:hAnsi="Times New Roman"/>
                <w:color w:val="000000"/>
                <w:sz w:val="32"/>
              </w:rPr>
            </w:pPr>
            <w:r>
              <w:rPr>
                <w:rFonts w:ascii="Times New Roman" w:hAnsi="Times New Roman"/>
                <w:color w:val="000000"/>
                <w:szCs w:val="21"/>
              </w:rPr>
              <w:t>特别提醒：</w:t>
            </w:r>
            <w:r>
              <w:rPr>
                <w:rFonts w:ascii="Times New Roman" w:hAnsi="Times New Roman"/>
                <w:b/>
                <w:bCs/>
                <w:color w:val="000000"/>
                <w:szCs w:val="24"/>
              </w:rPr>
              <w:t>招标人确定中标人后，通过书面向中标人发出中标通知书。</w:t>
            </w:r>
          </w:p>
        </w:tc>
      </w:tr>
      <w:tr w14:paraId="39CA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69021AE4">
            <w:pPr>
              <w:spacing w:line="500" w:lineRule="exact"/>
              <w:jc w:val="center"/>
              <w:rPr>
                <w:rFonts w:ascii="Times New Roman" w:hAnsi="Times New Roman"/>
              </w:rPr>
            </w:pPr>
            <w:r>
              <w:rPr>
                <w:rFonts w:ascii="Times New Roman" w:hAnsi="Times New Roman"/>
              </w:rPr>
              <w:t>7.6</w:t>
            </w:r>
          </w:p>
        </w:tc>
        <w:tc>
          <w:tcPr>
            <w:tcW w:w="2487" w:type="dxa"/>
            <w:noWrap w:val="0"/>
            <w:vAlign w:val="center"/>
          </w:tcPr>
          <w:p w14:paraId="4EBA6F56">
            <w:pPr>
              <w:spacing w:line="500" w:lineRule="exact"/>
              <w:jc w:val="center"/>
              <w:rPr>
                <w:rFonts w:ascii="Times New Roman" w:hAnsi="Times New Roman" w:eastAsia="楷体"/>
              </w:rPr>
            </w:pPr>
            <w:r>
              <w:rPr>
                <w:rFonts w:ascii="Times New Roman" w:hAnsi="Times New Roman"/>
              </w:rPr>
              <w:t>中标结果公示媒介</w:t>
            </w:r>
          </w:p>
        </w:tc>
        <w:tc>
          <w:tcPr>
            <w:tcW w:w="5670" w:type="dxa"/>
            <w:noWrap w:val="0"/>
            <w:vAlign w:val="center"/>
          </w:tcPr>
          <w:p w14:paraId="0903FF11">
            <w:pPr>
              <w:spacing w:line="500" w:lineRule="exact"/>
              <w:rPr>
                <w:rFonts w:ascii="Times New Roman" w:hAnsi="Times New Roman"/>
                <w:sz w:val="32"/>
              </w:rPr>
            </w:pPr>
            <w:r>
              <w:rPr>
                <w:rFonts w:ascii="Times New Roman" w:hAnsi="Times New Roman"/>
              </w:rPr>
              <w:t>公示媒介：同招标公告发布媒介</w:t>
            </w:r>
          </w:p>
        </w:tc>
      </w:tr>
      <w:tr w14:paraId="2E54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65" w:type="dxa"/>
            <w:noWrap w:val="0"/>
            <w:vAlign w:val="center"/>
          </w:tcPr>
          <w:p w14:paraId="3CE8A95C">
            <w:pPr>
              <w:spacing w:line="500" w:lineRule="exact"/>
              <w:jc w:val="center"/>
              <w:rPr>
                <w:rFonts w:ascii="Times New Roman" w:hAnsi="Times New Roman"/>
              </w:rPr>
            </w:pPr>
            <w:r>
              <w:rPr>
                <w:rFonts w:ascii="Times New Roman" w:hAnsi="Times New Roman"/>
              </w:rPr>
              <w:t>7.7.1</w:t>
            </w:r>
          </w:p>
        </w:tc>
        <w:tc>
          <w:tcPr>
            <w:tcW w:w="2487" w:type="dxa"/>
            <w:noWrap w:val="0"/>
            <w:vAlign w:val="center"/>
          </w:tcPr>
          <w:p w14:paraId="1A20461C">
            <w:pPr>
              <w:spacing w:line="500" w:lineRule="exact"/>
              <w:jc w:val="center"/>
              <w:rPr>
                <w:rFonts w:ascii="Times New Roman" w:hAnsi="Times New Roman"/>
              </w:rPr>
            </w:pPr>
            <w:r>
              <w:rPr>
                <w:rFonts w:ascii="Times New Roman" w:hAnsi="Times New Roman"/>
                <w:szCs w:val="21"/>
              </w:rPr>
              <w:t>履约保证金</w:t>
            </w:r>
          </w:p>
        </w:tc>
        <w:tc>
          <w:tcPr>
            <w:tcW w:w="5670" w:type="dxa"/>
            <w:noWrap w:val="0"/>
            <w:vAlign w:val="center"/>
          </w:tcPr>
          <w:p w14:paraId="5D7E4202">
            <w:pPr>
              <w:snapToGrid w:val="0"/>
              <w:spacing w:line="500" w:lineRule="exact"/>
              <w:rPr>
                <w:rFonts w:ascii="Times New Roman" w:hAnsi="Times New Roman"/>
                <w:b/>
                <w:bCs/>
                <w:snapToGrid w:val="0"/>
              </w:rPr>
            </w:pPr>
            <w:r>
              <w:rPr>
                <w:rFonts w:ascii="Times New Roman" w:hAnsi="Times New Roman"/>
                <w:b/>
                <w:bCs/>
                <w:snapToGrid w:val="0"/>
              </w:rPr>
              <w:t>是否要求投标人递交</w:t>
            </w:r>
            <w:r>
              <w:rPr>
                <w:rFonts w:ascii="Times New Roman" w:hAnsi="Times New Roman"/>
                <w:b/>
                <w:bCs/>
                <w:szCs w:val="24"/>
              </w:rPr>
              <w:t>履约保证金</w:t>
            </w:r>
            <w:r>
              <w:rPr>
                <w:rFonts w:ascii="Times New Roman" w:hAnsi="Times New Roman"/>
                <w:b/>
                <w:bCs/>
                <w:snapToGrid w:val="0"/>
              </w:rPr>
              <w:t>：</w:t>
            </w:r>
          </w:p>
          <w:p w14:paraId="63E4FC0D">
            <w:pPr>
              <w:snapToGrid w:val="0"/>
              <w:spacing w:line="500" w:lineRule="exact"/>
              <w:rPr>
                <w:rFonts w:ascii="Times New Roman" w:hAnsi="Times New Roman"/>
                <w:b/>
                <w:bCs/>
                <w:snapToGrid w:val="0"/>
              </w:rPr>
            </w:pPr>
            <w:r>
              <w:rPr>
                <w:rFonts w:hint="eastAsia" w:ascii="Times New Roman" w:hAnsi="Times New Roman"/>
                <w:b/>
                <w:bCs/>
                <w:snapToGrid w:val="0"/>
                <w:lang w:eastAsia="zh-CN"/>
              </w:rPr>
              <w:t>☑</w:t>
            </w:r>
            <w:r>
              <w:rPr>
                <w:rFonts w:ascii="Times New Roman" w:hAnsi="Times New Roman"/>
                <w:b/>
                <w:bCs/>
                <w:snapToGrid w:val="0"/>
              </w:rPr>
              <w:t xml:space="preserve">不要求  </w:t>
            </w:r>
            <w:r>
              <w:rPr>
                <w:rFonts w:hint="eastAsia" w:ascii="Times New Roman" w:hAnsi="Times New Roman"/>
                <w:szCs w:val="24"/>
              </w:rPr>
              <w:t>□</w:t>
            </w:r>
            <w:r>
              <w:rPr>
                <w:rFonts w:ascii="Times New Roman" w:hAnsi="Times New Roman"/>
                <w:b/>
                <w:bCs/>
                <w:snapToGrid w:val="0"/>
              </w:rPr>
              <w:t>要求</w:t>
            </w:r>
          </w:p>
          <w:p w14:paraId="43AA21CF">
            <w:pPr>
              <w:snapToGrid w:val="0"/>
              <w:spacing w:line="500" w:lineRule="exact"/>
              <w:rPr>
                <w:rFonts w:ascii="Times New Roman" w:hAnsi="Times New Roman"/>
                <w:bCs/>
                <w:snapToGrid w:val="0"/>
              </w:rPr>
            </w:pPr>
            <w:r>
              <w:rPr>
                <w:rFonts w:ascii="Times New Roman" w:hAnsi="Times New Roman"/>
                <w:bCs/>
                <w:snapToGrid w:val="0"/>
              </w:rPr>
              <w:t>（1）递交形式：</w:t>
            </w:r>
          </w:p>
          <w:p w14:paraId="092C3361">
            <w:pPr>
              <w:snapToGrid w:val="0"/>
              <w:spacing w:line="500" w:lineRule="exact"/>
              <w:rPr>
                <w:rFonts w:ascii="Times New Roman" w:hAnsi="Times New Roman"/>
                <w:bCs/>
                <w:snapToGrid w:val="0"/>
              </w:rPr>
            </w:pP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rPr>
              <w:fldChar w:fldCharType="end"/>
            </w:r>
            <w:r>
              <w:rPr>
                <w:rFonts w:ascii="Times New Roman" w:hAnsi="Times New Roman"/>
                <w:bCs/>
                <w:snapToGrid w:val="0"/>
              </w:rPr>
              <w:t xml:space="preserve">银行转账  </w:t>
            </w: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rPr>
              <w:fldChar w:fldCharType="end"/>
            </w:r>
            <w:r>
              <w:rPr>
                <w:rFonts w:ascii="Times New Roman" w:hAnsi="Times New Roman"/>
                <w:bCs/>
                <w:snapToGrid w:val="0"/>
              </w:rPr>
              <w:t xml:space="preserve">银行电汇  </w:t>
            </w:r>
          </w:p>
          <w:p w14:paraId="0E084A9C">
            <w:pPr>
              <w:numPr>
                <w:ilvl w:val="0"/>
                <w:numId w:val="1"/>
              </w:numPr>
              <w:snapToGrid w:val="0"/>
              <w:spacing w:line="500" w:lineRule="exact"/>
              <w:rPr>
                <w:rFonts w:ascii="Times New Roman" w:hAnsi="Times New Roman"/>
              </w:rPr>
            </w:pPr>
            <w:r>
              <w:rPr>
                <w:rFonts w:ascii="Times New Roman" w:hAnsi="Times New Roman"/>
                <w:bCs/>
                <w:snapToGrid w:val="0"/>
              </w:rPr>
              <w:t>递交金额：</w:t>
            </w:r>
            <w:r>
              <w:rPr>
                <w:rFonts w:ascii="Times New Roman" w:hAnsi="Times New Roman"/>
                <w:bCs/>
                <w:snapToGrid w:val="0"/>
                <w:szCs w:val="24"/>
              </w:rPr>
              <w:t>中标金</w:t>
            </w:r>
            <w:r>
              <w:rPr>
                <w:rFonts w:ascii="Times New Roman" w:hAnsi="Times New Roman"/>
                <w:szCs w:val="24"/>
              </w:rPr>
              <w:t>额的</w:t>
            </w:r>
            <w:r>
              <w:rPr>
                <w:rFonts w:ascii="Times New Roman" w:hAnsi="Times New Roman"/>
                <w:szCs w:val="24"/>
                <w:u w:val="single"/>
              </w:rPr>
              <w:t xml:space="preserve"> </w:t>
            </w:r>
            <w:r>
              <w:rPr>
                <w:rFonts w:ascii="Times New Roman" w:hAnsi="Times New Roman" w:eastAsia="宋体" w:cs="Times New Roman"/>
                <w:bCs/>
                <w:snapToGrid w:val="0"/>
                <w:szCs w:val="24"/>
                <w:u w:val="single"/>
              </w:rPr>
              <w:t xml:space="preserve"> </w:t>
            </w:r>
            <w:r>
              <w:rPr>
                <w:rFonts w:hint="eastAsia" w:ascii="Times New Roman" w:hAnsi="Times New Roman" w:eastAsia="宋体" w:cs="Times New Roman"/>
                <w:bCs/>
                <w:snapToGrid w:val="0"/>
                <w:szCs w:val="24"/>
                <w:u w:val="single"/>
                <w:lang w:val="en-US" w:eastAsia="zh-CN"/>
              </w:rPr>
              <w:t xml:space="preserve"> /  </w:t>
            </w:r>
            <w:r>
              <w:rPr>
                <w:rFonts w:ascii="Times New Roman" w:hAnsi="Times New Roman" w:eastAsia="宋体" w:cs="Times New Roman"/>
                <w:bCs/>
                <w:snapToGrid w:val="0"/>
                <w:szCs w:val="24"/>
                <w:u w:val="single"/>
              </w:rPr>
              <w:t xml:space="preserve"> </w:t>
            </w:r>
            <w:r>
              <w:rPr>
                <w:rFonts w:ascii="Times New Roman" w:hAnsi="Times New Roman" w:eastAsia="宋体" w:cs="Times New Roman"/>
                <w:bCs/>
                <w:snapToGrid w:val="0"/>
                <w:szCs w:val="24"/>
              </w:rPr>
              <w:t xml:space="preserve"> ％。</w:t>
            </w:r>
          </w:p>
        </w:tc>
      </w:tr>
      <w:tr w14:paraId="7BFA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1189BB69">
            <w:pPr>
              <w:spacing w:line="500" w:lineRule="exact"/>
              <w:jc w:val="center"/>
              <w:rPr>
                <w:rFonts w:ascii="Times New Roman" w:hAnsi="Times New Roman"/>
              </w:rPr>
            </w:pPr>
            <w:r>
              <w:rPr>
                <w:rFonts w:ascii="Times New Roman" w:hAnsi="Times New Roman"/>
              </w:rPr>
              <w:t>10.1</w:t>
            </w:r>
          </w:p>
        </w:tc>
        <w:tc>
          <w:tcPr>
            <w:tcW w:w="2487" w:type="dxa"/>
            <w:noWrap w:val="0"/>
            <w:vAlign w:val="center"/>
          </w:tcPr>
          <w:p w14:paraId="6EB4F2DE">
            <w:pPr>
              <w:spacing w:line="500" w:lineRule="exact"/>
              <w:jc w:val="center"/>
              <w:rPr>
                <w:rFonts w:ascii="Times New Roman" w:hAnsi="Times New Roman" w:eastAsia="楷体"/>
                <w:bCs/>
                <w:snapToGrid w:val="0"/>
                <w:kern w:val="0"/>
                <w:szCs w:val="21"/>
              </w:rPr>
            </w:pPr>
            <w:r>
              <w:rPr>
                <w:rFonts w:hint="eastAsia" w:ascii="Times New Roman" w:hAnsi="Times New Roman"/>
                <w:szCs w:val="21"/>
              </w:rPr>
              <w:t>重点提示</w:t>
            </w:r>
          </w:p>
        </w:tc>
        <w:tc>
          <w:tcPr>
            <w:tcW w:w="5670" w:type="dxa"/>
            <w:noWrap w:val="0"/>
            <w:vAlign w:val="center"/>
          </w:tcPr>
          <w:p w14:paraId="492D2189">
            <w:pPr>
              <w:spacing w:line="500" w:lineRule="exact"/>
              <w:rPr>
                <w:rFonts w:ascii="Times New Roman" w:hAnsi="Times New Roman"/>
              </w:rPr>
            </w:pPr>
            <w:r>
              <w:rPr>
                <w:rFonts w:ascii="Times New Roman" w:hAnsi="Times New Roman"/>
              </w:rPr>
              <w:t>（1）项目负责人必须是投标人本单位工作人员。</w:t>
            </w:r>
          </w:p>
          <w:p w14:paraId="6D3A26BF">
            <w:pPr>
              <w:spacing w:line="500" w:lineRule="exact"/>
              <w:rPr>
                <w:rFonts w:ascii="Times New Roman" w:hAnsi="Times New Roman"/>
              </w:rPr>
            </w:pPr>
            <w:r>
              <w:rPr>
                <w:rFonts w:ascii="Times New Roman" w:hAnsi="Times New Roman"/>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506D8041">
            <w:pPr>
              <w:spacing w:line="500" w:lineRule="exact"/>
              <w:rPr>
                <w:rFonts w:ascii="Times New Roman" w:hAnsi="Times New Roman"/>
              </w:rPr>
            </w:pPr>
            <w:r>
              <w:rPr>
                <w:rFonts w:ascii="Times New Roman" w:hAnsi="Times New Roman"/>
              </w:rPr>
              <w:t>（3）中标人应在规定期限内提交履约保证金并与招标人签订合同，若中标人未能在规定期限内提交履约保证金或签订合同，招标人有权取消中标人中标资格。</w:t>
            </w:r>
          </w:p>
          <w:p w14:paraId="6117695E">
            <w:pPr>
              <w:spacing w:line="500" w:lineRule="exact"/>
              <w:rPr>
                <w:rFonts w:ascii="Times New Roman" w:hAnsi="Times New Roman"/>
              </w:rPr>
            </w:pPr>
            <w:r>
              <w:rPr>
                <w:rFonts w:ascii="Times New Roman" w:hAnsi="Times New Roman"/>
              </w:rPr>
              <w:t>（4）合同签订后，中标人存在规定时间内不组织人员进场开工，不履行合同义务等情况，招标人有权解除合同，并追究违约责任。</w:t>
            </w:r>
          </w:p>
          <w:p w14:paraId="23B8F94C">
            <w:pPr>
              <w:spacing w:line="500" w:lineRule="exact"/>
              <w:rPr>
                <w:rFonts w:ascii="Times New Roman" w:hAnsi="Times New Roman"/>
              </w:rPr>
            </w:pPr>
            <w:r>
              <w:rPr>
                <w:rFonts w:ascii="Times New Roman" w:hAnsi="Times New Roman"/>
              </w:rPr>
              <w:t>（5）中标人中标后被监管部门查实存在违法行为，不满足中标条件的，由</w:t>
            </w:r>
            <w:r>
              <w:rPr>
                <w:rFonts w:hint="eastAsia"/>
              </w:rPr>
              <w:t>招标</w:t>
            </w:r>
            <w:r>
              <w:rPr>
                <w:rFonts w:ascii="Times New Roman" w:hAnsi="Times New Roman"/>
              </w:rPr>
              <w:t>人取消中标资格，并做好项目后续工作；</w:t>
            </w:r>
          </w:p>
          <w:p w14:paraId="78D7C1CD">
            <w:pPr>
              <w:spacing w:line="500" w:lineRule="exact"/>
              <w:rPr>
                <w:rFonts w:ascii="Times New Roman" w:hAnsi="Times New Roman"/>
                <w:bCs/>
                <w:snapToGrid w:val="0"/>
                <w:kern w:val="0"/>
                <w:szCs w:val="21"/>
              </w:rPr>
            </w:pPr>
            <w:r>
              <w:rPr>
                <w:rFonts w:ascii="Times New Roman" w:hAnsi="Times New Roman"/>
              </w:rPr>
              <w:t>（6）中标人在中标项目发生投诉、信访举报案件、履约存在争议时，拒绝协助配合有关部门调查案件的，招标人可以取消其中标资格或解除合同，并追究其违约责任。</w:t>
            </w:r>
          </w:p>
        </w:tc>
      </w:tr>
      <w:tr w14:paraId="6A8F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noWrap w:val="0"/>
            <w:vAlign w:val="center"/>
          </w:tcPr>
          <w:p w14:paraId="42240F5C">
            <w:pPr>
              <w:spacing w:line="500" w:lineRule="exact"/>
              <w:jc w:val="center"/>
              <w:rPr>
                <w:rFonts w:ascii="Times New Roman" w:hAnsi="Times New Roman"/>
                <w:bCs/>
                <w:snapToGrid w:val="0"/>
                <w:color w:val="FF0000"/>
                <w:kern w:val="0"/>
                <w:szCs w:val="21"/>
              </w:rPr>
            </w:pPr>
            <w:r>
              <w:rPr>
                <w:rFonts w:ascii="Times New Roman" w:hAnsi="Times New Roman"/>
                <w:bCs/>
                <w:snapToGrid w:val="0"/>
                <w:color w:val="FF0000"/>
                <w:kern w:val="0"/>
                <w:szCs w:val="21"/>
              </w:rPr>
              <w:t>.......</w:t>
            </w:r>
          </w:p>
        </w:tc>
        <w:tc>
          <w:tcPr>
            <w:tcW w:w="2487" w:type="dxa"/>
            <w:noWrap w:val="0"/>
            <w:vAlign w:val="center"/>
          </w:tcPr>
          <w:p w14:paraId="2D16A20C">
            <w:pPr>
              <w:spacing w:line="500" w:lineRule="exact"/>
              <w:jc w:val="center"/>
              <w:rPr>
                <w:rFonts w:ascii="Times New Roman" w:hAnsi="Times New Roman"/>
              </w:rPr>
            </w:pPr>
            <w:r>
              <w:rPr>
                <w:rFonts w:ascii="Times New Roman" w:hAnsi="Times New Roman"/>
              </w:rPr>
              <w:t>其他补充说明</w:t>
            </w:r>
          </w:p>
        </w:tc>
        <w:tc>
          <w:tcPr>
            <w:tcW w:w="5670" w:type="dxa"/>
            <w:noWrap w:val="0"/>
            <w:vAlign w:val="center"/>
          </w:tcPr>
          <w:p w14:paraId="6915B666">
            <w:pPr>
              <w:spacing w:line="500" w:lineRule="exact"/>
              <w:rPr>
                <w:rFonts w:ascii="Times New Roman" w:hAnsi="Times New Roman"/>
              </w:rPr>
            </w:pPr>
            <w:r>
              <w:rPr>
                <w:rFonts w:hint="eastAsia" w:ascii="Times New Roman" w:hAnsi="Times New Roman"/>
                <w:highlight w:val="none"/>
                <w:lang w:val="en-US" w:eastAsia="zh-CN"/>
              </w:rPr>
              <w:t>投标人需认真研读招标人需求内容，须提供招标人需求中《</w:t>
            </w:r>
            <w:r>
              <w:rPr>
                <w:rFonts w:hint="eastAsia" w:ascii="宋体" w:hAnsi="宋体" w:cs="宋体"/>
                <w:color w:val="000000"/>
                <w:sz w:val="21"/>
                <w:szCs w:val="21"/>
                <w:highlight w:val="none"/>
              </w:rPr>
              <w:t>常用零配件价格报价表</w:t>
            </w:r>
            <w:r>
              <w:rPr>
                <w:rFonts w:hint="eastAsia" w:ascii="Times New Roman" w:hAnsi="Times New Roman"/>
                <w:highlight w:val="none"/>
                <w:lang w:val="en-US" w:eastAsia="zh-CN"/>
              </w:rPr>
              <w:t>》</w:t>
            </w:r>
          </w:p>
        </w:tc>
      </w:tr>
    </w:tbl>
    <w:p w14:paraId="206AA8D2">
      <w:pPr>
        <w:pStyle w:val="3"/>
        <w:spacing w:before="120" w:beforeLines="50" w:after="120" w:afterLines="50" w:line="500" w:lineRule="exact"/>
        <w:jc w:val="center"/>
        <w:rPr>
          <w:rFonts w:ascii="Times New Roman" w:hAnsi="Times New Roman"/>
          <w:b w:val="0"/>
          <w:sz w:val="28"/>
          <w:szCs w:val="28"/>
        </w:rPr>
      </w:pPr>
      <w:r>
        <w:rPr>
          <w:rFonts w:ascii="Times New Roman" w:hAnsi="Times New Roman"/>
        </w:rPr>
        <w:br w:type="page"/>
      </w:r>
      <w:bookmarkStart w:id="29" w:name="_Toc32634"/>
      <w:bookmarkStart w:id="30" w:name="_Toc460226720"/>
      <w:bookmarkStart w:id="31" w:name="_Toc31368"/>
      <w:bookmarkStart w:id="32" w:name="_Toc14409"/>
      <w:bookmarkStart w:id="33" w:name="_Toc10046"/>
      <w:bookmarkStart w:id="34" w:name="_Toc11078137"/>
      <w:bookmarkStart w:id="35" w:name="_Toc26050"/>
      <w:bookmarkStart w:id="36" w:name="_Toc12462189"/>
      <w:bookmarkStart w:id="37" w:name="_Toc421916975"/>
      <w:bookmarkStart w:id="38" w:name="_Toc12533"/>
      <w:bookmarkStart w:id="39" w:name="_Toc460226989"/>
      <w:bookmarkStart w:id="40" w:name="_Toc460660062"/>
      <w:bookmarkStart w:id="41" w:name="_Toc283798416"/>
      <w:bookmarkStart w:id="42" w:name="_Toc24429"/>
      <w:r>
        <w:rPr>
          <w:rFonts w:ascii="Times New Roman" w:hAnsi="Times New Roman"/>
          <w:b w:val="0"/>
          <w:sz w:val="28"/>
          <w:szCs w:val="28"/>
        </w:rPr>
        <w:t>附录1  资格审查条件(资质最低条件)</w:t>
      </w:r>
      <w:bookmarkEnd w:id="29"/>
      <w:bookmarkEnd w:id="30"/>
      <w:bookmarkEnd w:id="31"/>
      <w:bookmarkEnd w:id="32"/>
      <w:bookmarkEnd w:id="33"/>
      <w:bookmarkEnd w:id="34"/>
      <w:bookmarkEnd w:id="35"/>
      <w:bookmarkEnd w:id="36"/>
      <w:bookmarkEnd w:id="37"/>
      <w:bookmarkEnd w:id="38"/>
      <w:bookmarkEnd w:id="39"/>
      <w:bookmarkEnd w:id="40"/>
      <w:bookmarkEnd w:id="41"/>
      <w:bookmarkEnd w:id="42"/>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14:paraId="5040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center"/>
          </w:tcPr>
          <w:p w14:paraId="428BD9AF">
            <w:pPr>
              <w:pStyle w:val="108"/>
              <w:adjustRightInd w:val="0"/>
              <w:snapToGrid w:val="0"/>
              <w:jc w:val="center"/>
              <w:rPr>
                <w:rFonts w:ascii="Times New Roman" w:hAnsi="Times New Roman"/>
                <w:b/>
                <w:bCs/>
                <w:szCs w:val="21"/>
              </w:rPr>
            </w:pPr>
            <w:r>
              <w:rPr>
                <w:rFonts w:ascii="Times New Roman" w:hAnsi="Times New Roman"/>
                <w:b/>
                <w:bCs/>
                <w:szCs w:val="21"/>
              </w:rPr>
              <w:t>资质证书及其他要求</w:t>
            </w:r>
          </w:p>
        </w:tc>
      </w:tr>
      <w:tr w14:paraId="7EDF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top"/>
          </w:tcPr>
          <w:p w14:paraId="071D2E32">
            <w:pPr>
              <w:pStyle w:val="108"/>
              <w:adjustRightInd w:val="0"/>
              <w:snapToGrid w:val="0"/>
              <w:spacing w:before="120" w:beforeLines="50"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1.具备有效的营业执照</w:t>
            </w:r>
            <w:r>
              <w:rPr>
                <w:rFonts w:ascii="Times New Roman" w:hAnsi="Times New Roman"/>
                <w:szCs w:val="21"/>
              </w:rPr>
              <w:t>/事业单位法人证书</w:t>
            </w:r>
            <w:r>
              <w:rPr>
                <w:rFonts w:ascii="Times New Roman" w:hAnsi="Times New Roman"/>
                <w:bCs/>
                <w:snapToGrid w:val="0"/>
                <w:kern w:val="0"/>
                <w:szCs w:val="21"/>
              </w:rPr>
              <w:t>。</w:t>
            </w:r>
          </w:p>
          <w:p w14:paraId="006518B0">
            <w:pPr>
              <w:autoSpaceDE w:val="0"/>
              <w:autoSpaceDN w:val="0"/>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2. 具备有效的资质证书（见招标公告要求）。</w:t>
            </w:r>
          </w:p>
          <w:p w14:paraId="650FDF6E">
            <w:pPr>
              <w:pStyle w:val="108"/>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w:t>
            </w:r>
          </w:p>
        </w:tc>
      </w:tr>
    </w:tbl>
    <w:p w14:paraId="05EEF312">
      <w:pPr>
        <w:pStyle w:val="108"/>
        <w:adjustRightInd w:val="0"/>
        <w:snapToGrid w:val="0"/>
        <w:spacing w:line="300" w:lineRule="exact"/>
        <w:rPr>
          <w:rFonts w:ascii="Times New Roman" w:hAnsi="Times New Roman"/>
          <w:bCs/>
          <w:snapToGrid w:val="0"/>
          <w:kern w:val="0"/>
          <w:szCs w:val="21"/>
        </w:rPr>
      </w:pPr>
      <w:r>
        <w:rPr>
          <w:rFonts w:ascii="Times New Roman" w:hAnsi="Times New Roman"/>
          <w:bCs/>
          <w:snapToGrid w:val="0"/>
          <w:kern w:val="0"/>
          <w:szCs w:val="21"/>
        </w:rPr>
        <w:t xml:space="preserve">  注：投标人应提供营业执照</w:t>
      </w:r>
      <w:r>
        <w:rPr>
          <w:rFonts w:ascii="Times New Roman" w:hAnsi="Times New Roman"/>
          <w:szCs w:val="21"/>
        </w:rPr>
        <w:t>/事业单位法人证书</w:t>
      </w:r>
      <w:r>
        <w:rPr>
          <w:rFonts w:ascii="Times New Roman" w:hAnsi="Times New Roman"/>
          <w:bCs/>
          <w:snapToGrid w:val="0"/>
          <w:kern w:val="0"/>
          <w:szCs w:val="21"/>
        </w:rPr>
        <w:t>、资质证书等材料扫描件。</w:t>
      </w:r>
    </w:p>
    <w:p w14:paraId="4286CE0F">
      <w:pPr>
        <w:pStyle w:val="108"/>
        <w:adjustRightInd w:val="0"/>
        <w:snapToGrid w:val="0"/>
        <w:spacing w:line="300" w:lineRule="exact"/>
        <w:ind w:firstLine="648" w:firstLineChars="270"/>
        <w:rPr>
          <w:rFonts w:ascii="Times New Roman" w:hAnsi="Times New Roman" w:eastAsia="黑体"/>
          <w:sz w:val="24"/>
        </w:rPr>
      </w:pPr>
    </w:p>
    <w:p w14:paraId="0329B136">
      <w:pPr>
        <w:widowControl/>
        <w:jc w:val="left"/>
        <w:rPr>
          <w:rFonts w:ascii="Times New Roman" w:hAnsi="Times New Roman" w:eastAsia="黑体"/>
          <w:sz w:val="24"/>
        </w:rPr>
      </w:pPr>
    </w:p>
    <w:p w14:paraId="229CA404">
      <w:pPr>
        <w:widowControl/>
        <w:jc w:val="left"/>
        <w:rPr>
          <w:rFonts w:ascii="Times New Roman" w:hAnsi="Times New Roman"/>
          <w:b/>
        </w:rPr>
      </w:pPr>
      <w:bookmarkStart w:id="43" w:name="_Toc421916977"/>
      <w:bookmarkStart w:id="44" w:name="_Toc283798418"/>
      <w:bookmarkStart w:id="45" w:name="_Toc460226991"/>
      <w:bookmarkStart w:id="46" w:name="_Toc460226722"/>
      <w:bookmarkStart w:id="47" w:name="_Toc12462191"/>
      <w:bookmarkStart w:id="48" w:name="_Toc460660064"/>
      <w:bookmarkStart w:id="49" w:name="_Toc11078139"/>
    </w:p>
    <w:p w14:paraId="1FC36160">
      <w:pPr>
        <w:widowControl/>
        <w:jc w:val="left"/>
        <w:rPr>
          <w:rFonts w:ascii="Times New Roman" w:hAnsi="Times New Roman"/>
          <w:b/>
        </w:rPr>
      </w:pPr>
    </w:p>
    <w:p w14:paraId="06E27C46">
      <w:pPr>
        <w:widowControl/>
        <w:jc w:val="left"/>
        <w:rPr>
          <w:rFonts w:ascii="Times New Roman" w:hAnsi="Times New Roman"/>
          <w:b/>
        </w:rPr>
      </w:pPr>
    </w:p>
    <w:p w14:paraId="211855C0">
      <w:pPr>
        <w:widowControl/>
        <w:jc w:val="left"/>
        <w:rPr>
          <w:rFonts w:ascii="Times New Roman" w:hAnsi="Times New Roman" w:eastAsia="黑体"/>
          <w:sz w:val="32"/>
          <w:szCs w:val="20"/>
        </w:rPr>
      </w:pPr>
    </w:p>
    <w:p w14:paraId="18C5DF36">
      <w:pPr>
        <w:pStyle w:val="3"/>
        <w:pageBreakBefore/>
        <w:spacing w:before="120" w:beforeLines="50" w:after="120" w:afterLines="50" w:line="500" w:lineRule="exact"/>
        <w:jc w:val="center"/>
        <w:rPr>
          <w:rFonts w:ascii="Times New Roman" w:hAnsi="Times New Roman"/>
          <w:b w:val="0"/>
          <w:bCs/>
          <w:sz w:val="28"/>
          <w:szCs w:val="28"/>
        </w:rPr>
      </w:pPr>
      <w:bookmarkStart w:id="50" w:name="_Toc16134"/>
      <w:bookmarkStart w:id="51" w:name="_Toc23624"/>
      <w:bookmarkStart w:id="52" w:name="_Toc2259"/>
      <w:bookmarkStart w:id="53" w:name="_Toc32013"/>
      <w:bookmarkStart w:id="54" w:name="_Toc10412"/>
      <w:bookmarkStart w:id="55" w:name="_Toc4338"/>
      <w:bookmarkStart w:id="56" w:name="_Toc1581"/>
      <w:r>
        <w:rPr>
          <w:rFonts w:ascii="Times New Roman" w:hAnsi="Times New Roman"/>
          <w:b w:val="0"/>
          <w:bCs/>
          <w:sz w:val="28"/>
          <w:szCs w:val="28"/>
        </w:rPr>
        <w:t>附录2  资格审查条件(业绩最低要求)</w:t>
      </w:r>
      <w:bookmarkEnd w:id="43"/>
      <w:bookmarkEnd w:id="44"/>
      <w:bookmarkEnd w:id="45"/>
      <w:bookmarkEnd w:id="46"/>
      <w:bookmarkEnd w:id="47"/>
      <w:bookmarkEnd w:id="48"/>
      <w:bookmarkEnd w:id="49"/>
      <w:bookmarkEnd w:id="50"/>
      <w:bookmarkEnd w:id="51"/>
      <w:bookmarkEnd w:id="52"/>
      <w:bookmarkEnd w:id="53"/>
      <w:bookmarkEnd w:id="54"/>
      <w:bookmarkEnd w:id="55"/>
      <w:bookmarkEnd w:id="56"/>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31F1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51"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3BE61F92">
            <w:pPr>
              <w:pStyle w:val="108"/>
              <w:adjustRightInd w:val="0"/>
              <w:snapToGrid w:val="0"/>
              <w:jc w:val="center"/>
              <w:rPr>
                <w:rFonts w:ascii="Times New Roman" w:hAnsi="Times New Roman"/>
                <w:b/>
                <w:bCs/>
                <w:szCs w:val="21"/>
              </w:rPr>
            </w:pPr>
            <w:r>
              <w:rPr>
                <w:rFonts w:ascii="Times New Roman" w:hAnsi="Times New Roman"/>
                <w:b/>
                <w:bCs/>
                <w:szCs w:val="21"/>
              </w:rPr>
              <w:t>投标人业绩要求</w:t>
            </w:r>
          </w:p>
        </w:tc>
      </w:tr>
      <w:tr w14:paraId="01C3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180"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482442F8">
            <w:pPr>
              <w:spacing w:line="360" w:lineRule="auto"/>
              <w:ind w:firstLine="437"/>
              <w:rPr>
                <w:rFonts w:ascii="Times New Roman" w:hAnsi="Times New Roman"/>
                <w:bCs/>
                <w:snapToGrid w:val="0"/>
                <w:kern w:val="0"/>
                <w:szCs w:val="21"/>
              </w:rPr>
            </w:pPr>
            <w:r>
              <w:rPr>
                <w:rFonts w:ascii="Times New Roman" w:hAnsi="Times New Roman"/>
                <w:bCs/>
                <w:snapToGrid w:val="0"/>
                <w:kern w:val="0"/>
                <w:szCs w:val="21"/>
              </w:rPr>
              <w:t>业绩要求见招标公告要求。</w:t>
            </w:r>
          </w:p>
        </w:tc>
      </w:tr>
    </w:tbl>
    <w:p w14:paraId="7E638C1E">
      <w:pPr>
        <w:adjustRightInd w:val="0"/>
        <w:snapToGrid w:val="0"/>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注：</w:t>
      </w:r>
    </w:p>
    <w:p w14:paraId="04D3FA3B">
      <w:pPr>
        <w:numPr>
          <w:ilvl w:val="0"/>
          <w:numId w:val="2"/>
        </w:numPr>
        <w:spacing w:line="500" w:lineRule="exact"/>
        <w:ind w:firstLine="420" w:firstLineChars="200"/>
        <w:rPr>
          <w:rFonts w:ascii="Times New Roman" w:hAnsi="Times New Roman"/>
          <w:szCs w:val="21"/>
        </w:rPr>
      </w:pPr>
      <w:r>
        <w:rPr>
          <w:rFonts w:ascii="Times New Roman" w:hAnsi="Times New Roman"/>
          <w:szCs w:val="21"/>
        </w:rPr>
        <w:t>上述要求的业绩须为:</w:t>
      </w:r>
    </w:p>
    <w:p w14:paraId="0060CFF9">
      <w:pPr>
        <w:numPr>
          <w:ilvl w:val="0"/>
          <w:numId w:val="0"/>
        </w:numPr>
        <w:spacing w:line="500" w:lineRule="exact"/>
        <w:ind w:firstLine="420" w:firstLineChars="200"/>
        <w:rPr>
          <w:rFonts w:ascii="Times New Roman" w:hAnsi="Times New Roman"/>
          <w:szCs w:val="21"/>
        </w:rPr>
      </w:pPr>
      <w:r>
        <w:rPr>
          <w:rFonts w:hint="eastAsia" w:ascii="Times New Roman" w:hAnsi="Times New Roman"/>
          <w:szCs w:val="21"/>
          <w:lang w:eastAsia="zh-CN"/>
        </w:rPr>
        <w:t>☑</w:t>
      </w:r>
      <w:r>
        <w:rPr>
          <w:rFonts w:ascii="Times New Roman" w:hAnsi="Times New Roman"/>
          <w:szCs w:val="21"/>
        </w:rPr>
        <w:t>已完成的业绩：投标文件中须同时提供以下业绩证明材料：</w:t>
      </w:r>
    </w:p>
    <w:p w14:paraId="1D3F5572">
      <w:pPr>
        <w:spacing w:line="500" w:lineRule="exact"/>
        <w:ind w:firstLine="420" w:firstLineChars="200"/>
        <w:rPr>
          <w:rFonts w:ascii="Times New Roman" w:hAnsi="Times New Roman"/>
          <w:szCs w:val="21"/>
        </w:rPr>
      </w:pPr>
      <w:r>
        <w:rPr>
          <w:rFonts w:ascii="Times New Roman" w:hAnsi="Times New Roman"/>
          <w:szCs w:val="21"/>
        </w:rPr>
        <w:t>（1）业绩合同扫描件；</w:t>
      </w:r>
    </w:p>
    <w:p w14:paraId="673DE5DE">
      <w:pPr>
        <w:spacing w:line="500" w:lineRule="exact"/>
        <w:ind w:firstLine="420" w:firstLineChars="200"/>
        <w:rPr>
          <w:rFonts w:ascii="Times New Roman" w:hAnsi="Times New Roman"/>
          <w:szCs w:val="21"/>
        </w:rPr>
      </w:pPr>
      <w:r>
        <w:rPr>
          <w:rFonts w:ascii="Times New Roman" w:hAnsi="Times New Roman"/>
          <w:szCs w:val="21"/>
        </w:rPr>
        <w:t>（2）与该业绩对应的项目已完成的证明材料（如验收报告或业主（或合同甲方）证明）。</w:t>
      </w:r>
    </w:p>
    <w:p w14:paraId="62C533FB">
      <w:pPr>
        <w:spacing w:line="500" w:lineRule="exact"/>
        <w:ind w:firstLine="420" w:firstLineChars="200"/>
        <w:rPr>
          <w:rFonts w:ascii="Times New Roman" w:hAnsi="Times New Roman"/>
          <w:szCs w:val="21"/>
        </w:rPr>
      </w:pPr>
      <w:r>
        <w:rPr>
          <w:rFonts w:ascii="Times New Roman" w:hAnsi="Times New Roman"/>
          <w:szCs w:val="21"/>
        </w:rPr>
        <w:t>□正在履约或已完成的业绩：投标文件中须同时提供以下业绩证明材料：</w:t>
      </w:r>
    </w:p>
    <w:p w14:paraId="187FB7F0">
      <w:pPr>
        <w:spacing w:line="500" w:lineRule="exact"/>
        <w:ind w:firstLine="420" w:firstLineChars="200"/>
        <w:rPr>
          <w:rFonts w:ascii="Times New Roman" w:hAnsi="Times New Roman"/>
          <w:szCs w:val="21"/>
        </w:rPr>
      </w:pPr>
      <w:r>
        <w:rPr>
          <w:rFonts w:ascii="Times New Roman" w:hAnsi="Times New Roman"/>
          <w:szCs w:val="21"/>
        </w:rPr>
        <w:t>（1）业绩合同扫描件；</w:t>
      </w:r>
    </w:p>
    <w:p w14:paraId="240B7B6B">
      <w:pPr>
        <w:spacing w:line="500" w:lineRule="exact"/>
        <w:ind w:firstLine="420" w:firstLineChars="200"/>
        <w:rPr>
          <w:rFonts w:ascii="Times New Roman" w:hAnsi="Times New Roman"/>
          <w:szCs w:val="21"/>
        </w:rPr>
      </w:pPr>
      <w:r>
        <w:rPr>
          <w:rFonts w:ascii="Times New Roman" w:hAnsi="Times New Roman"/>
          <w:szCs w:val="21"/>
        </w:rPr>
        <w:t>（2）与该业绩对应的项目正在履约或已完成的证明材料（如验收报告或业主（或合同甲方）证明）。</w:t>
      </w:r>
    </w:p>
    <w:p w14:paraId="3873F0C2">
      <w:pPr>
        <w:spacing w:line="500" w:lineRule="exact"/>
        <w:ind w:firstLine="420" w:firstLineChars="200"/>
        <w:rPr>
          <w:rFonts w:ascii="Times New Roman" w:hAnsi="Times New Roman"/>
          <w:szCs w:val="21"/>
        </w:rPr>
      </w:pPr>
      <w:r>
        <w:rPr>
          <w:rFonts w:ascii="Times New Roman" w:hAnsi="Times New Roman"/>
          <w:szCs w:val="21"/>
        </w:rPr>
        <w:t>已签订合同但尚未实施的业绩不予认可。即截至投标截止时间，项目如存在目前尚未开始履约、人员进场但尚未实质性开展、处于暂停等情况的，该业绩不予认可。</w:t>
      </w:r>
    </w:p>
    <w:p w14:paraId="1BC3F6D9">
      <w:pPr>
        <w:spacing w:line="500" w:lineRule="exact"/>
        <w:ind w:firstLine="422" w:firstLineChars="200"/>
        <w:rPr>
          <w:rFonts w:ascii="Times New Roman" w:hAnsi="Times New Roman"/>
          <w:b/>
          <w:kern w:val="0"/>
          <w:szCs w:val="21"/>
        </w:rPr>
      </w:pPr>
      <w:r>
        <w:rPr>
          <w:rFonts w:ascii="Times New Roman" w:hAnsi="Times New Roman"/>
          <w:b/>
          <w:szCs w:val="21"/>
        </w:rPr>
        <w:t>注：</w:t>
      </w:r>
      <w:r>
        <w:rPr>
          <w:rFonts w:ascii="Times New Roman" w:hAnsi="Times New Roman"/>
          <w:b/>
          <w:kern w:val="0"/>
          <w:szCs w:val="21"/>
        </w:rPr>
        <w:t>（1）正在履约或已完成的证明材料须加盖项目业主单位或合同甲方公章(证明材料已有项目业主单位或合同甲方公章的除外)，否则评标委员会不予认可。</w:t>
      </w:r>
    </w:p>
    <w:p w14:paraId="2DE248F7">
      <w:pPr>
        <w:spacing w:line="500" w:lineRule="exact"/>
        <w:ind w:firstLine="422" w:firstLineChars="200"/>
        <w:rPr>
          <w:rFonts w:ascii="Times New Roman" w:hAnsi="Times New Roman"/>
          <w:b/>
          <w:szCs w:val="21"/>
        </w:rPr>
      </w:pPr>
      <w:r>
        <w:rPr>
          <w:rFonts w:ascii="Times New Roman" w:hAnsi="Times New Roman"/>
          <w:b/>
          <w:szCs w:val="21"/>
        </w:rPr>
        <w:t>（2）如果业绩合同和项目已完成（或正在履约）的证明材料中的合同金额、建筑面积等合同要素不一致的，以项目已完成（或正在履约）的证明材料为准。</w:t>
      </w:r>
    </w:p>
    <w:p w14:paraId="0212FAE3">
      <w:pPr>
        <w:pStyle w:val="108"/>
        <w:adjustRightInd w:val="0"/>
        <w:snapToGrid w:val="0"/>
        <w:spacing w:line="500" w:lineRule="exact"/>
        <w:ind w:firstLine="422" w:firstLineChars="200"/>
        <w:rPr>
          <w:rFonts w:ascii="Times New Roman" w:hAnsi="Times New Roman"/>
          <w:b/>
          <w:snapToGrid w:val="0"/>
          <w:kern w:val="0"/>
          <w:szCs w:val="21"/>
        </w:rPr>
      </w:pPr>
      <w:r>
        <w:rPr>
          <w:rFonts w:hint="eastAsia" w:ascii="Times New Roman" w:hAnsi="Times New Roman"/>
          <w:b/>
          <w:szCs w:val="21"/>
        </w:rPr>
        <w:t>（3）</w:t>
      </w:r>
      <w:r>
        <w:rPr>
          <w:rFonts w:ascii="Times New Roman" w:hAnsi="Times New Roman"/>
          <w:b/>
          <w:snapToGrid w:val="0"/>
          <w:kern w:val="0"/>
          <w:szCs w:val="21"/>
        </w:rPr>
        <w:t>以上涉及到的证明资料信息应完整或能充分反映评审因素。</w:t>
      </w:r>
      <w:r>
        <w:rPr>
          <w:rFonts w:ascii="Times New Roman" w:hAnsi="Times New Roman"/>
          <w:b/>
          <w:szCs w:val="21"/>
        </w:rPr>
        <w:t>如未能明确反映评审因素的（如合同总金额、面积等），应另附业主（或合同甲方）证明材料予以明确说明，须加盖项目业主单位或合同甲方公章，否则评标委员会不予认可。</w:t>
      </w:r>
    </w:p>
    <w:p w14:paraId="67EF06A1">
      <w:pPr>
        <w:pStyle w:val="108"/>
        <w:adjustRightInd w:val="0"/>
        <w:snapToGrid w:val="0"/>
        <w:spacing w:line="300" w:lineRule="exact"/>
        <w:ind w:firstLine="567" w:firstLineChars="270"/>
        <w:rPr>
          <w:rFonts w:ascii="Times New Roman" w:hAnsi="Times New Roman"/>
          <w:bCs/>
          <w:snapToGrid w:val="0"/>
          <w:kern w:val="0"/>
          <w:szCs w:val="21"/>
        </w:rPr>
      </w:pPr>
    </w:p>
    <w:p w14:paraId="1041F516">
      <w:pPr>
        <w:pStyle w:val="108"/>
        <w:adjustRightInd w:val="0"/>
        <w:snapToGrid w:val="0"/>
        <w:spacing w:line="300" w:lineRule="exact"/>
        <w:ind w:firstLine="567" w:firstLineChars="270"/>
        <w:rPr>
          <w:rFonts w:ascii="Times New Roman" w:hAnsi="Times New Roman"/>
          <w:bCs/>
          <w:snapToGrid w:val="0"/>
          <w:kern w:val="0"/>
          <w:szCs w:val="21"/>
        </w:rPr>
      </w:pPr>
    </w:p>
    <w:p w14:paraId="08E15319">
      <w:pPr>
        <w:pStyle w:val="3"/>
        <w:tabs>
          <w:tab w:val="left" w:pos="1476"/>
        </w:tabs>
        <w:spacing w:before="120" w:beforeLines="50" w:after="120" w:afterLines="50" w:line="500" w:lineRule="exact"/>
        <w:jc w:val="center"/>
        <w:rPr>
          <w:rFonts w:ascii="Times New Roman" w:hAnsi="Times New Roman"/>
          <w:b w:val="0"/>
          <w:sz w:val="28"/>
          <w:szCs w:val="18"/>
        </w:rPr>
      </w:pPr>
      <w:bookmarkStart w:id="57" w:name="_Toc29515"/>
      <w:bookmarkStart w:id="58" w:name="_Toc12462192"/>
      <w:bookmarkStart w:id="59" w:name="_Toc11078140"/>
      <w:bookmarkStart w:id="60" w:name="_Toc12173"/>
      <w:bookmarkStart w:id="61" w:name="_Toc15624"/>
      <w:bookmarkStart w:id="62" w:name="_Toc8524"/>
      <w:bookmarkStart w:id="63" w:name="_Toc27835"/>
      <w:bookmarkStart w:id="64" w:name="_Toc30006"/>
      <w:bookmarkStart w:id="65" w:name="_Toc10696"/>
      <w:r>
        <w:rPr>
          <w:rFonts w:ascii="Times New Roman" w:hAnsi="Times New Roman"/>
          <w:b w:val="0"/>
          <w:sz w:val="28"/>
          <w:szCs w:val="18"/>
        </w:rPr>
        <w:t>附录3 资格审查条件(信誉最低要求)</w:t>
      </w:r>
      <w:bookmarkEnd w:id="57"/>
      <w:bookmarkEnd w:id="58"/>
      <w:bookmarkEnd w:id="59"/>
      <w:bookmarkEnd w:id="60"/>
      <w:bookmarkEnd w:id="61"/>
      <w:bookmarkEnd w:id="62"/>
      <w:bookmarkEnd w:id="63"/>
      <w:bookmarkEnd w:id="64"/>
      <w:bookmarkEnd w:id="65"/>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7703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01"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117F4921">
            <w:pPr>
              <w:pStyle w:val="108"/>
              <w:adjustRightInd w:val="0"/>
              <w:snapToGrid w:val="0"/>
              <w:jc w:val="center"/>
              <w:rPr>
                <w:rFonts w:ascii="Times New Roman" w:hAnsi="Times New Roman"/>
                <w:b/>
                <w:bCs/>
                <w:szCs w:val="21"/>
              </w:rPr>
            </w:pPr>
            <w:r>
              <w:rPr>
                <w:rFonts w:ascii="Times New Roman" w:hAnsi="Times New Roman"/>
                <w:b/>
                <w:bCs/>
                <w:szCs w:val="21"/>
              </w:rPr>
              <w:t>信誉要求</w:t>
            </w:r>
          </w:p>
        </w:tc>
      </w:tr>
      <w:tr w14:paraId="77DF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328"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700C522A">
            <w:pPr>
              <w:spacing w:line="460" w:lineRule="exact"/>
              <w:ind w:firstLine="437"/>
              <w:rPr>
                <w:rFonts w:ascii="Times New Roman" w:hAnsi="Times New Roman"/>
                <w:bCs/>
                <w:snapToGrid w:val="0"/>
                <w:kern w:val="0"/>
                <w:szCs w:val="21"/>
              </w:rPr>
            </w:pPr>
            <w:r>
              <w:rPr>
                <w:rFonts w:hint="eastAsia"/>
                <w:b/>
                <w:bCs w:val="0"/>
                <w:snapToGrid w:val="0"/>
                <w:color w:val="FF0000"/>
                <w:kern w:val="0"/>
                <w:szCs w:val="21"/>
              </w:rPr>
              <w:t>投标人近二年未被列入合肥文旅博览集团有限公司信用评价体系黑名单，</w:t>
            </w:r>
            <w:r>
              <w:rPr>
                <w:rFonts w:ascii="Times New Roman" w:hAnsi="Times New Roman"/>
                <w:bCs/>
                <w:snapToGrid w:val="0"/>
                <w:kern w:val="0"/>
                <w:szCs w:val="21"/>
              </w:rPr>
              <w:t>投标人未被合肥市及其所辖县（市）、区（开发区）公共资源交易监督管理部门记不良行为记录的；或被记不良行为记录（以公布日期为准），但同时符合下列情形的：</w:t>
            </w:r>
          </w:p>
          <w:p w14:paraId="6F07A1C5">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（1）开标日前（含当日）6个月内记分累计未满10分的；</w:t>
            </w:r>
          </w:p>
          <w:p w14:paraId="2652B592">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（2）开标日前（含当日）12个月内记分累计未满15分的；</w:t>
            </w:r>
          </w:p>
          <w:p w14:paraId="2AF4E2B6">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（3）开标日前（含当日）18个月内记分累计未满20分的；</w:t>
            </w:r>
          </w:p>
          <w:p w14:paraId="47A5DE06">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（4）开标日前（含当日）24个月内记分累计未满25分的。</w:t>
            </w:r>
          </w:p>
          <w:p w14:paraId="24E582DC">
            <w:pPr>
              <w:spacing w:line="460" w:lineRule="exact"/>
              <w:jc w:val="left"/>
              <w:rPr>
                <w:rFonts w:ascii="Times New Roman" w:hAnsi="Times New Roman"/>
                <w:bCs/>
                <w:snapToGrid w:val="0"/>
                <w:color w:val="FF0000"/>
                <w:kern w:val="0"/>
                <w:szCs w:val="21"/>
              </w:rPr>
            </w:pPr>
          </w:p>
        </w:tc>
      </w:tr>
    </w:tbl>
    <w:p w14:paraId="7B40414E">
      <w:pPr>
        <w:adjustRightInd w:val="0"/>
        <w:snapToGrid w:val="0"/>
        <w:spacing w:line="400" w:lineRule="exact"/>
        <w:ind w:firstLine="420" w:firstLineChars="200"/>
        <w:rPr>
          <w:rFonts w:ascii="Times New Roman" w:hAnsi="Times New Roman"/>
          <w:bCs/>
          <w:snapToGrid w:val="0"/>
          <w:kern w:val="0"/>
          <w:szCs w:val="21"/>
        </w:rPr>
      </w:pPr>
      <w:bookmarkStart w:id="66" w:name="_Toc460660065"/>
      <w:bookmarkStart w:id="67" w:name="_Toc12462193"/>
      <w:bookmarkStart w:id="68" w:name="_Toc11078141"/>
      <w:r>
        <w:rPr>
          <w:rFonts w:ascii="Times New Roman" w:hAnsi="Times New Roman"/>
          <w:bCs/>
          <w:snapToGrid w:val="0"/>
          <w:kern w:val="0"/>
          <w:szCs w:val="21"/>
        </w:rPr>
        <w:t>注：投标人在投标函中承诺，不需要提供相关证明材料。如投标人承诺与实际不符，将视为投标人弄虚作假。</w:t>
      </w:r>
    </w:p>
    <w:p w14:paraId="56DF528F">
      <w:pPr>
        <w:rPr>
          <w:rFonts w:ascii="Times New Roman" w:hAnsi="Times New Roman" w:eastAsia="黑体"/>
          <w:sz w:val="32"/>
          <w:szCs w:val="20"/>
        </w:rPr>
      </w:pPr>
    </w:p>
    <w:p w14:paraId="0E37A469">
      <w:pPr>
        <w:rPr>
          <w:rFonts w:ascii="Times New Roman" w:hAnsi="Times New Roman" w:eastAsia="黑体"/>
          <w:sz w:val="32"/>
          <w:szCs w:val="20"/>
        </w:rPr>
      </w:pPr>
    </w:p>
    <w:p w14:paraId="574CDF84">
      <w:pPr>
        <w:rPr>
          <w:rFonts w:ascii="Times New Roman" w:hAnsi="Times New Roman" w:eastAsia="黑体"/>
          <w:sz w:val="32"/>
          <w:szCs w:val="20"/>
        </w:rPr>
      </w:pPr>
    </w:p>
    <w:p w14:paraId="186064B8">
      <w:pPr>
        <w:rPr>
          <w:rFonts w:ascii="Times New Roman" w:hAnsi="Times New Roman" w:eastAsia="黑体"/>
          <w:sz w:val="32"/>
          <w:szCs w:val="20"/>
        </w:rPr>
      </w:pPr>
    </w:p>
    <w:p w14:paraId="22DB3E93">
      <w:pPr>
        <w:rPr>
          <w:rFonts w:ascii="Times New Roman" w:hAnsi="Times New Roman" w:eastAsia="黑体"/>
          <w:sz w:val="32"/>
          <w:szCs w:val="20"/>
        </w:rPr>
      </w:pPr>
    </w:p>
    <w:p w14:paraId="3AF9ACED">
      <w:pPr>
        <w:rPr>
          <w:rFonts w:ascii="Times New Roman" w:hAnsi="Times New Roman" w:eastAsia="黑体"/>
          <w:sz w:val="32"/>
          <w:szCs w:val="20"/>
        </w:rPr>
      </w:pPr>
    </w:p>
    <w:p w14:paraId="046C314F">
      <w:pPr>
        <w:rPr>
          <w:rFonts w:ascii="Times New Roman" w:hAnsi="Times New Roman" w:eastAsia="黑体"/>
          <w:sz w:val="32"/>
          <w:szCs w:val="20"/>
        </w:rPr>
      </w:pPr>
    </w:p>
    <w:p w14:paraId="6006E364">
      <w:pPr>
        <w:rPr>
          <w:rFonts w:ascii="Times New Roman" w:hAnsi="Times New Roman" w:eastAsia="黑体"/>
          <w:sz w:val="32"/>
          <w:szCs w:val="20"/>
        </w:rPr>
      </w:pPr>
    </w:p>
    <w:p w14:paraId="0A841759">
      <w:pPr>
        <w:rPr>
          <w:rFonts w:ascii="Times New Roman" w:hAnsi="Times New Roman" w:eastAsia="黑体"/>
          <w:sz w:val="32"/>
          <w:szCs w:val="20"/>
        </w:rPr>
      </w:pPr>
    </w:p>
    <w:p w14:paraId="7ACDE183">
      <w:pPr>
        <w:rPr>
          <w:rFonts w:ascii="Times New Roman" w:hAnsi="Times New Roman" w:eastAsia="黑体"/>
          <w:sz w:val="32"/>
          <w:szCs w:val="20"/>
        </w:rPr>
      </w:pPr>
    </w:p>
    <w:p w14:paraId="7262B1BB">
      <w:pPr>
        <w:rPr>
          <w:rFonts w:ascii="Times New Roman" w:hAnsi="Times New Roman" w:eastAsia="黑体"/>
          <w:sz w:val="32"/>
          <w:szCs w:val="20"/>
        </w:rPr>
      </w:pPr>
    </w:p>
    <w:p w14:paraId="553CDD74">
      <w:pPr>
        <w:pStyle w:val="3"/>
        <w:pageBreakBefore/>
        <w:spacing w:before="120" w:beforeLines="50" w:after="120" w:afterLines="50" w:line="500" w:lineRule="exact"/>
        <w:jc w:val="center"/>
        <w:rPr>
          <w:rFonts w:ascii="Times New Roman" w:hAnsi="Times New Roman"/>
          <w:b w:val="0"/>
          <w:sz w:val="28"/>
          <w:szCs w:val="18"/>
        </w:rPr>
      </w:pPr>
      <w:bookmarkStart w:id="69" w:name="_Toc32265"/>
      <w:bookmarkStart w:id="70" w:name="_Toc26793"/>
      <w:bookmarkStart w:id="71" w:name="_Toc8624"/>
      <w:bookmarkStart w:id="72" w:name="_Toc26951"/>
      <w:bookmarkStart w:id="73" w:name="_Toc29853"/>
      <w:bookmarkStart w:id="74" w:name="_Toc26862"/>
      <w:bookmarkStart w:id="75" w:name="_Toc26450"/>
      <w:r>
        <w:rPr>
          <w:rFonts w:ascii="Times New Roman" w:hAnsi="Times New Roman"/>
          <w:b w:val="0"/>
          <w:sz w:val="28"/>
          <w:szCs w:val="18"/>
        </w:rPr>
        <w:t>附录4  资格审查条件（项目负责人最低要求）</w:t>
      </w:r>
      <w:bookmarkEnd w:id="66"/>
      <w:bookmarkEnd w:id="67"/>
      <w:bookmarkEnd w:id="68"/>
      <w:bookmarkEnd w:id="69"/>
      <w:bookmarkEnd w:id="70"/>
      <w:bookmarkEnd w:id="71"/>
      <w:bookmarkEnd w:id="72"/>
      <w:bookmarkEnd w:id="73"/>
      <w:bookmarkEnd w:id="74"/>
      <w:bookmarkEnd w:id="75"/>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6500"/>
      </w:tblGrid>
      <w:tr w14:paraId="408F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80"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14:paraId="1A357A06">
            <w:pPr>
              <w:pStyle w:val="108"/>
              <w:adjustRightInd w:val="0"/>
              <w:snapToGrid w:val="0"/>
              <w:jc w:val="center"/>
              <w:rPr>
                <w:rFonts w:ascii="Times New Roman" w:hAnsi="Times New Roman"/>
                <w:b/>
                <w:szCs w:val="21"/>
              </w:rPr>
            </w:pPr>
            <w:r>
              <w:rPr>
                <w:rFonts w:ascii="Times New Roman" w:hAnsi="Times New Roman"/>
                <w:b/>
                <w:szCs w:val="21"/>
              </w:rPr>
              <w:t>人  员</w:t>
            </w:r>
          </w:p>
        </w:tc>
        <w:tc>
          <w:tcPr>
            <w:tcW w:w="6500" w:type="dxa"/>
            <w:tcBorders>
              <w:top w:val="single" w:color="auto" w:sz="4" w:space="0"/>
              <w:left w:val="single" w:color="auto" w:sz="4" w:space="0"/>
              <w:bottom w:val="single" w:color="auto" w:sz="4" w:space="0"/>
              <w:right w:val="single" w:color="auto" w:sz="4" w:space="0"/>
            </w:tcBorders>
            <w:noWrap w:val="0"/>
            <w:vAlign w:val="center"/>
          </w:tcPr>
          <w:p w14:paraId="2E204E66">
            <w:pPr>
              <w:pStyle w:val="108"/>
              <w:adjustRightInd w:val="0"/>
              <w:snapToGrid w:val="0"/>
              <w:jc w:val="center"/>
              <w:rPr>
                <w:rFonts w:ascii="Times New Roman" w:hAnsi="Times New Roman"/>
                <w:b/>
                <w:szCs w:val="21"/>
              </w:rPr>
            </w:pPr>
            <w:r>
              <w:rPr>
                <w:rFonts w:ascii="Times New Roman" w:hAnsi="Times New Roman"/>
                <w:b/>
                <w:szCs w:val="21"/>
              </w:rPr>
              <w:t>资格要求</w:t>
            </w:r>
          </w:p>
        </w:tc>
      </w:tr>
      <w:tr w14:paraId="443A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14:paraId="170683A6">
            <w:pPr>
              <w:pStyle w:val="14"/>
              <w:jc w:val="center"/>
              <w:rPr>
                <w:rFonts w:eastAsia="楷体"/>
                <w:bCs/>
                <w:snapToGrid w:val="0"/>
                <w:kern w:val="0"/>
                <w:szCs w:val="21"/>
              </w:rPr>
            </w:pPr>
            <w:r>
              <w:t>项目负责人</w:t>
            </w:r>
          </w:p>
        </w:tc>
        <w:tc>
          <w:tcPr>
            <w:tcW w:w="6500" w:type="dxa"/>
            <w:tcBorders>
              <w:top w:val="single" w:color="auto" w:sz="4" w:space="0"/>
              <w:left w:val="single" w:color="auto" w:sz="4" w:space="0"/>
              <w:bottom w:val="single" w:color="auto" w:sz="4" w:space="0"/>
              <w:right w:val="single" w:color="auto" w:sz="4" w:space="0"/>
            </w:tcBorders>
            <w:noWrap w:val="0"/>
            <w:vAlign w:val="center"/>
          </w:tcPr>
          <w:p w14:paraId="5C8C6746">
            <w:pPr>
              <w:pStyle w:val="14"/>
              <w:spacing w:line="500" w:lineRule="exact"/>
              <w:ind w:firstLine="2100" w:firstLineChars="1000"/>
              <w:rPr>
                <w:rFonts w:hint="eastAsia" w:eastAsia="宋体"/>
                <w:bCs/>
                <w:snapToGrid w:val="0"/>
                <w:kern w:val="0"/>
                <w:szCs w:val="21"/>
                <w:lang w:eastAsia="zh-CN"/>
              </w:rPr>
            </w:pPr>
            <w:r>
              <w:rPr>
                <w:rFonts w:hint="eastAsia"/>
                <w:bCs/>
                <w:snapToGrid w:val="0"/>
                <w:kern w:val="0"/>
                <w:szCs w:val="21"/>
                <w:lang w:val="en-US" w:eastAsia="zh-CN"/>
              </w:rPr>
              <w:t>/</w:t>
            </w:r>
          </w:p>
        </w:tc>
      </w:tr>
    </w:tbl>
    <w:p w14:paraId="06C6FF0F">
      <w:pPr>
        <w:pStyle w:val="108"/>
        <w:adjustRightInd w:val="0"/>
        <w:snapToGrid w:val="0"/>
        <w:spacing w:line="500" w:lineRule="exact"/>
        <w:jc w:val="left"/>
        <w:rPr>
          <w:rFonts w:ascii="Times New Roman" w:hAnsi="Times New Roman"/>
          <w:b/>
          <w:sz w:val="28"/>
          <w:szCs w:val="18"/>
        </w:rPr>
      </w:pPr>
      <w:r>
        <w:rPr>
          <w:rFonts w:ascii="Times New Roman" w:hAnsi="Times New Roman"/>
          <w:bCs/>
          <w:snapToGrid w:val="0"/>
          <w:kern w:val="0"/>
          <w:szCs w:val="21"/>
        </w:rPr>
        <w:t>注：</w:t>
      </w:r>
      <w:bookmarkStart w:id="76" w:name="_Toc19569"/>
      <w:bookmarkStart w:id="77" w:name="_Toc16692"/>
      <w:bookmarkStart w:id="78" w:name="_Toc22491"/>
      <w:bookmarkStart w:id="79" w:name="_Toc4022"/>
      <w:bookmarkStart w:id="80" w:name="_Toc14183"/>
      <w:bookmarkStart w:id="81" w:name="_Toc6516"/>
      <w:bookmarkStart w:id="82" w:name="_Toc17640"/>
    </w:p>
    <w:p w14:paraId="307B14ED">
      <w:pPr>
        <w:pStyle w:val="3"/>
        <w:spacing w:before="120" w:beforeLines="50" w:after="120" w:afterLines="50" w:line="500" w:lineRule="exact"/>
        <w:jc w:val="center"/>
        <w:rPr>
          <w:rFonts w:ascii="Times New Roman" w:hAnsi="Times New Roman"/>
          <w:b w:val="0"/>
          <w:sz w:val="28"/>
          <w:szCs w:val="18"/>
        </w:rPr>
      </w:pPr>
    </w:p>
    <w:p w14:paraId="427DC2F1">
      <w:pPr>
        <w:pStyle w:val="3"/>
        <w:spacing w:before="120" w:beforeLines="50" w:after="120" w:afterLines="50" w:line="500" w:lineRule="exact"/>
        <w:jc w:val="center"/>
        <w:rPr>
          <w:rFonts w:ascii="Times New Roman" w:hAnsi="Times New Roman"/>
          <w:b w:val="0"/>
          <w:sz w:val="28"/>
          <w:szCs w:val="18"/>
        </w:rPr>
      </w:pPr>
    </w:p>
    <w:p w14:paraId="4C0036C8">
      <w:pPr>
        <w:pStyle w:val="3"/>
        <w:spacing w:before="120" w:beforeLines="50" w:after="120" w:afterLines="50" w:line="500" w:lineRule="exact"/>
        <w:jc w:val="center"/>
        <w:rPr>
          <w:rFonts w:ascii="Times New Roman" w:hAnsi="Times New Roman"/>
          <w:b w:val="0"/>
          <w:sz w:val="28"/>
          <w:szCs w:val="18"/>
        </w:rPr>
      </w:pPr>
    </w:p>
    <w:p w14:paraId="0DC4C17B">
      <w:pPr>
        <w:pStyle w:val="3"/>
        <w:spacing w:before="120" w:beforeLines="50" w:after="120" w:afterLines="50" w:line="500" w:lineRule="exact"/>
        <w:jc w:val="center"/>
        <w:rPr>
          <w:rFonts w:ascii="Times New Roman" w:hAnsi="Times New Roman"/>
          <w:b w:val="0"/>
          <w:sz w:val="28"/>
          <w:szCs w:val="18"/>
        </w:rPr>
      </w:pPr>
    </w:p>
    <w:p w14:paraId="09061521">
      <w:pPr>
        <w:pStyle w:val="3"/>
        <w:spacing w:before="120" w:beforeLines="50" w:after="120" w:afterLines="50" w:line="500" w:lineRule="exact"/>
        <w:jc w:val="center"/>
        <w:rPr>
          <w:rFonts w:ascii="Times New Roman" w:hAnsi="Times New Roman"/>
          <w:b w:val="0"/>
          <w:sz w:val="28"/>
          <w:szCs w:val="18"/>
        </w:rPr>
      </w:pPr>
    </w:p>
    <w:p w14:paraId="3A2B921C">
      <w:pPr>
        <w:pStyle w:val="3"/>
        <w:spacing w:before="120" w:beforeLines="50" w:after="120" w:afterLines="50" w:line="500" w:lineRule="exact"/>
        <w:jc w:val="center"/>
        <w:rPr>
          <w:rFonts w:ascii="Times New Roman" w:hAnsi="Times New Roman"/>
          <w:b w:val="0"/>
          <w:sz w:val="28"/>
          <w:szCs w:val="18"/>
        </w:rPr>
      </w:pPr>
    </w:p>
    <w:p w14:paraId="5365D886">
      <w:pPr>
        <w:pStyle w:val="3"/>
        <w:spacing w:before="120" w:beforeLines="50" w:after="120" w:afterLines="50" w:line="500" w:lineRule="exact"/>
        <w:jc w:val="center"/>
        <w:rPr>
          <w:rFonts w:ascii="Times New Roman" w:hAnsi="Times New Roman"/>
          <w:b w:val="0"/>
          <w:sz w:val="28"/>
          <w:szCs w:val="18"/>
        </w:rPr>
      </w:pPr>
    </w:p>
    <w:p w14:paraId="15616535">
      <w:pPr>
        <w:pStyle w:val="3"/>
        <w:spacing w:before="120" w:beforeLines="50" w:after="120" w:afterLines="50" w:line="500" w:lineRule="exact"/>
        <w:jc w:val="center"/>
        <w:rPr>
          <w:rFonts w:ascii="Times New Roman" w:hAnsi="Times New Roman"/>
          <w:b w:val="0"/>
          <w:sz w:val="28"/>
          <w:szCs w:val="18"/>
        </w:rPr>
      </w:pPr>
    </w:p>
    <w:p w14:paraId="74336423">
      <w:pPr>
        <w:pStyle w:val="3"/>
        <w:spacing w:before="120" w:beforeLines="50" w:after="120" w:afterLines="50" w:line="500" w:lineRule="exact"/>
        <w:jc w:val="center"/>
        <w:rPr>
          <w:rFonts w:ascii="Times New Roman" w:hAnsi="Times New Roman"/>
          <w:b w:val="0"/>
          <w:sz w:val="28"/>
          <w:szCs w:val="18"/>
        </w:rPr>
      </w:pPr>
    </w:p>
    <w:p w14:paraId="5EF9358A">
      <w:pPr>
        <w:pStyle w:val="3"/>
        <w:spacing w:before="120" w:beforeLines="50" w:after="120" w:afterLines="50" w:line="500" w:lineRule="exact"/>
        <w:jc w:val="center"/>
        <w:rPr>
          <w:rFonts w:ascii="Times New Roman" w:hAnsi="Times New Roman"/>
          <w:b w:val="0"/>
          <w:sz w:val="28"/>
          <w:szCs w:val="18"/>
        </w:rPr>
      </w:pPr>
    </w:p>
    <w:p w14:paraId="5CE51270">
      <w:pPr>
        <w:pStyle w:val="3"/>
        <w:spacing w:before="120" w:beforeLines="50" w:after="120" w:afterLines="50" w:line="500" w:lineRule="exact"/>
        <w:jc w:val="center"/>
        <w:rPr>
          <w:rFonts w:ascii="Times New Roman" w:hAnsi="Times New Roman"/>
          <w:b w:val="0"/>
          <w:sz w:val="28"/>
          <w:szCs w:val="18"/>
        </w:rPr>
      </w:pPr>
    </w:p>
    <w:p w14:paraId="2B36CB51">
      <w:pPr>
        <w:rPr>
          <w:rFonts w:ascii="Times New Roman" w:hAnsi="Times New Roman"/>
          <w:b/>
          <w:sz w:val="28"/>
          <w:szCs w:val="18"/>
        </w:rPr>
      </w:pPr>
    </w:p>
    <w:p w14:paraId="63279BA8">
      <w:pPr>
        <w:pStyle w:val="4"/>
      </w:pPr>
    </w:p>
    <w:p w14:paraId="1D07122C"/>
    <w:p w14:paraId="62466B0B">
      <w:pPr>
        <w:pStyle w:val="3"/>
        <w:spacing w:before="120" w:beforeLines="50" w:after="120" w:afterLines="50" w:line="500" w:lineRule="exact"/>
        <w:jc w:val="center"/>
        <w:rPr>
          <w:rFonts w:ascii="Times New Roman" w:hAnsi="Times New Roman"/>
          <w:b w:val="0"/>
          <w:sz w:val="28"/>
          <w:szCs w:val="18"/>
        </w:rPr>
      </w:pPr>
    </w:p>
    <w:p w14:paraId="76C27976">
      <w:pPr>
        <w:pStyle w:val="3"/>
        <w:spacing w:before="120" w:beforeLines="50" w:after="120" w:afterLines="50" w:line="500" w:lineRule="exact"/>
        <w:jc w:val="center"/>
        <w:rPr>
          <w:rFonts w:ascii="Times New Roman" w:hAnsi="Times New Roman"/>
          <w:b w:val="0"/>
        </w:rPr>
      </w:pPr>
      <w:r>
        <w:rPr>
          <w:rFonts w:ascii="Times New Roman" w:hAnsi="Times New Roman"/>
          <w:b w:val="0"/>
          <w:sz w:val="28"/>
          <w:szCs w:val="18"/>
        </w:rPr>
        <w:t>附录5 资格审查条件（其他主要人员最低要求）</w:t>
      </w:r>
      <w:bookmarkEnd w:id="76"/>
      <w:bookmarkEnd w:id="77"/>
      <w:bookmarkEnd w:id="78"/>
      <w:bookmarkEnd w:id="79"/>
      <w:bookmarkEnd w:id="80"/>
      <w:bookmarkEnd w:id="81"/>
      <w:bookmarkEnd w:id="82"/>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8"/>
        <w:gridCol w:w="1077"/>
        <w:gridCol w:w="5751"/>
      </w:tblGrid>
      <w:tr w14:paraId="3FE3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56"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0A4E0695">
            <w:pPr>
              <w:adjustRightInd w:val="0"/>
              <w:snapToGrid w:val="0"/>
              <w:jc w:val="center"/>
              <w:rPr>
                <w:rFonts w:ascii="Times New Roman" w:hAnsi="Times New Roman"/>
                <w:b/>
                <w:kern w:val="0"/>
                <w:szCs w:val="21"/>
              </w:rPr>
            </w:pPr>
            <w:r>
              <w:rPr>
                <w:rFonts w:ascii="Times New Roman" w:hAnsi="Times New Roman"/>
                <w:b/>
                <w:kern w:val="0"/>
                <w:szCs w:val="21"/>
              </w:rPr>
              <w:t>人员岗位</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100E21CF">
            <w:pPr>
              <w:adjustRightInd w:val="0"/>
              <w:snapToGrid w:val="0"/>
              <w:jc w:val="center"/>
              <w:rPr>
                <w:rFonts w:ascii="Times New Roman" w:hAnsi="Times New Roman"/>
                <w:b/>
                <w:kern w:val="0"/>
                <w:szCs w:val="21"/>
              </w:rPr>
            </w:pPr>
            <w:r>
              <w:rPr>
                <w:rFonts w:ascii="Times New Roman" w:hAnsi="Times New Roman"/>
                <w:b/>
                <w:kern w:val="0"/>
                <w:szCs w:val="21"/>
              </w:rPr>
              <w:t>数  量</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28D9ECEA">
            <w:pPr>
              <w:adjustRightInd w:val="0"/>
              <w:snapToGrid w:val="0"/>
              <w:jc w:val="center"/>
              <w:rPr>
                <w:rFonts w:ascii="Times New Roman" w:hAnsi="Times New Roman"/>
                <w:b/>
                <w:kern w:val="0"/>
                <w:szCs w:val="21"/>
              </w:rPr>
            </w:pPr>
            <w:r>
              <w:rPr>
                <w:rFonts w:ascii="Times New Roman" w:hAnsi="Times New Roman"/>
                <w:b/>
                <w:kern w:val="0"/>
                <w:szCs w:val="21"/>
              </w:rPr>
              <w:t>资历要求</w:t>
            </w:r>
          </w:p>
        </w:tc>
      </w:tr>
      <w:tr w14:paraId="5807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4"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26CFEBC4">
            <w:pPr>
              <w:spacing w:line="360" w:lineRule="auto"/>
              <w:jc w:val="center"/>
              <w:rPr>
                <w:rFonts w:ascii="Times New Roman" w:hAnsi="Times New Roman" w:eastAsia="楷体"/>
                <w:bCs/>
                <w:kern w:val="0"/>
                <w:szCs w:val="21"/>
              </w:rPr>
            </w:pPr>
            <w:r>
              <w:rPr>
                <w:rFonts w:hint="eastAsia" w:ascii="Times New Roman" w:hAnsi="Times New Roman" w:eastAsia="楷体"/>
                <w:bCs/>
                <w:kern w:val="0"/>
                <w:szCs w:val="21"/>
                <w:lang w:val="en-US" w:eastAsia="zh-CN"/>
              </w:rPr>
              <w:t>/</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32226298">
            <w:pPr>
              <w:widowControl/>
              <w:spacing w:line="360" w:lineRule="auto"/>
              <w:jc w:val="center"/>
              <w:rPr>
                <w:rFonts w:ascii="Times New Roman" w:hAnsi="Times New Roman" w:eastAsia="楷体"/>
                <w:bCs/>
                <w:szCs w:val="21"/>
              </w:rPr>
            </w:pPr>
            <w:r>
              <w:rPr>
                <w:rFonts w:hint="eastAsia" w:ascii="Times New Roman" w:hAnsi="Times New Roman" w:eastAsia="楷体"/>
                <w:bCs/>
                <w:szCs w:val="21"/>
                <w:lang w:val="en-US" w:eastAsia="zh-CN"/>
              </w:rPr>
              <w:t>/</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3F6EF83D">
            <w:pPr>
              <w:spacing w:line="360" w:lineRule="auto"/>
              <w:ind w:firstLine="1890" w:firstLineChars="900"/>
              <w:rPr>
                <w:rFonts w:ascii="Times New Roman" w:hAnsi="Times New Roman"/>
                <w:bCs/>
                <w:kern w:val="0"/>
                <w:szCs w:val="21"/>
              </w:rPr>
            </w:pPr>
            <w:r>
              <w:rPr>
                <w:rFonts w:hint="eastAsia" w:ascii="Times New Roman" w:hAnsi="Times New Roman"/>
                <w:bCs/>
                <w:kern w:val="0"/>
                <w:szCs w:val="21"/>
                <w:lang w:val="en-US" w:eastAsia="zh-CN"/>
              </w:rPr>
              <w:t>/</w:t>
            </w:r>
          </w:p>
        </w:tc>
      </w:tr>
      <w:tr w14:paraId="5CCB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4"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529D1DB6">
            <w:pPr>
              <w:spacing w:line="360" w:lineRule="auto"/>
              <w:jc w:val="center"/>
              <w:rPr>
                <w:rFonts w:ascii="Times New Roman" w:hAnsi="Times New Roman" w:eastAsia="楷体"/>
                <w:bCs/>
                <w:kern w:val="0"/>
                <w:szCs w:val="21"/>
              </w:rPr>
            </w:pPr>
            <w:r>
              <w:rPr>
                <w:rFonts w:hint="eastAsia" w:ascii="Times New Roman" w:hAnsi="Times New Roman" w:eastAsia="楷体"/>
                <w:bCs/>
                <w:kern w:val="0"/>
                <w:szCs w:val="21"/>
                <w:lang w:val="en-US" w:eastAsia="zh-CN"/>
              </w:rPr>
              <w:t>/</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3153D3AD">
            <w:pPr>
              <w:widowControl/>
              <w:spacing w:line="360" w:lineRule="auto"/>
              <w:jc w:val="center"/>
              <w:rPr>
                <w:rFonts w:ascii="Times New Roman" w:hAnsi="Times New Roman" w:eastAsia="楷体"/>
                <w:bCs/>
                <w:szCs w:val="21"/>
              </w:rPr>
            </w:pPr>
            <w:r>
              <w:rPr>
                <w:rFonts w:hint="eastAsia" w:ascii="Times New Roman" w:hAnsi="Times New Roman" w:eastAsia="楷体"/>
                <w:bCs/>
                <w:szCs w:val="21"/>
                <w:lang w:val="en-US" w:eastAsia="zh-CN"/>
              </w:rPr>
              <w:t>/</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45DAB248">
            <w:pPr>
              <w:spacing w:line="360" w:lineRule="auto"/>
              <w:ind w:firstLine="1890" w:firstLineChars="900"/>
              <w:rPr>
                <w:rFonts w:ascii="Times New Roman" w:hAnsi="Times New Roman"/>
                <w:bCs/>
                <w:kern w:val="0"/>
                <w:szCs w:val="21"/>
              </w:rPr>
            </w:pPr>
            <w:r>
              <w:rPr>
                <w:rFonts w:hint="eastAsia" w:ascii="Times New Roman" w:hAnsi="Times New Roman"/>
                <w:bCs/>
                <w:kern w:val="0"/>
                <w:szCs w:val="21"/>
                <w:lang w:val="en-US" w:eastAsia="zh-CN"/>
              </w:rPr>
              <w:t>/</w:t>
            </w:r>
          </w:p>
        </w:tc>
      </w:tr>
      <w:tr w14:paraId="3982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4"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57A4F5B8">
            <w:pPr>
              <w:spacing w:line="360" w:lineRule="auto"/>
              <w:jc w:val="center"/>
              <w:rPr>
                <w:rFonts w:ascii="Times New Roman" w:hAnsi="Times New Roman" w:eastAsia="楷体"/>
                <w:bCs/>
                <w:kern w:val="0"/>
                <w:szCs w:val="21"/>
              </w:rPr>
            </w:pPr>
            <w:r>
              <w:rPr>
                <w:rFonts w:hint="eastAsia" w:ascii="Times New Roman" w:hAnsi="Times New Roman" w:eastAsia="楷体"/>
                <w:bCs/>
                <w:kern w:val="0"/>
                <w:szCs w:val="21"/>
                <w:lang w:val="en-US" w:eastAsia="zh-CN"/>
              </w:rPr>
              <w:t>/</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74168FFC">
            <w:pPr>
              <w:widowControl/>
              <w:spacing w:line="360" w:lineRule="auto"/>
              <w:jc w:val="center"/>
              <w:rPr>
                <w:rFonts w:ascii="Times New Roman" w:hAnsi="Times New Roman" w:eastAsia="楷体"/>
                <w:bCs/>
                <w:szCs w:val="21"/>
              </w:rPr>
            </w:pPr>
            <w:r>
              <w:rPr>
                <w:rFonts w:hint="eastAsia" w:ascii="Times New Roman" w:hAnsi="Times New Roman" w:eastAsia="楷体"/>
                <w:bCs/>
                <w:szCs w:val="21"/>
                <w:lang w:val="en-US" w:eastAsia="zh-CN"/>
              </w:rPr>
              <w:t>/</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0663F798">
            <w:pPr>
              <w:spacing w:line="360" w:lineRule="auto"/>
              <w:ind w:firstLine="1890" w:firstLineChars="900"/>
              <w:rPr>
                <w:rFonts w:ascii="Times New Roman" w:hAnsi="Times New Roman"/>
                <w:bCs/>
                <w:kern w:val="0"/>
                <w:szCs w:val="21"/>
              </w:rPr>
            </w:pPr>
            <w:r>
              <w:rPr>
                <w:rFonts w:hint="eastAsia" w:ascii="Times New Roman" w:hAnsi="Times New Roman"/>
                <w:bCs/>
                <w:kern w:val="0"/>
                <w:szCs w:val="21"/>
                <w:lang w:val="en-US" w:eastAsia="zh-CN"/>
              </w:rPr>
              <w:t>/</w:t>
            </w:r>
          </w:p>
        </w:tc>
      </w:tr>
    </w:tbl>
    <w:p w14:paraId="3D427D61">
      <w:pPr>
        <w:pStyle w:val="14"/>
        <w:ind w:firstLine="420" w:firstLineChars="200"/>
        <w:jc w:val="both"/>
        <w:rPr>
          <w:bCs/>
          <w:snapToGrid w:val="0"/>
          <w:kern w:val="0"/>
          <w:szCs w:val="21"/>
        </w:rPr>
      </w:pPr>
    </w:p>
    <w:p w14:paraId="07E198A8">
      <w:pPr>
        <w:adjustRightInd w:val="0"/>
        <w:snapToGrid w:val="0"/>
        <w:spacing w:line="400" w:lineRule="exact"/>
        <w:ind w:firstLine="437"/>
        <w:rPr>
          <w:rFonts w:ascii="Times New Roman" w:hAnsi="Times New Roman"/>
          <w:bCs/>
          <w:kern w:val="0"/>
          <w:szCs w:val="21"/>
        </w:rPr>
      </w:pPr>
    </w:p>
    <w:p w14:paraId="67BD7D7B">
      <w:pPr>
        <w:adjustRightInd w:val="0"/>
        <w:snapToGrid w:val="0"/>
        <w:spacing w:line="400" w:lineRule="exact"/>
        <w:rPr>
          <w:rFonts w:ascii="Times New Roman" w:hAnsi="Times New Roman"/>
          <w:bCs/>
          <w:kern w:val="0"/>
          <w:szCs w:val="21"/>
        </w:rPr>
      </w:pPr>
    </w:p>
    <w:p w14:paraId="432B4BE0">
      <w:pPr>
        <w:adjustRightInd w:val="0"/>
        <w:snapToGrid w:val="0"/>
        <w:spacing w:line="400" w:lineRule="exact"/>
        <w:rPr>
          <w:rFonts w:ascii="Times New Roman" w:hAnsi="Times New Roman"/>
          <w:bCs/>
          <w:kern w:val="0"/>
          <w:szCs w:val="21"/>
        </w:rPr>
      </w:pPr>
    </w:p>
    <w:p w14:paraId="4BD8F74D">
      <w:pPr>
        <w:adjustRightInd w:val="0"/>
        <w:snapToGrid w:val="0"/>
        <w:spacing w:line="400" w:lineRule="exact"/>
        <w:rPr>
          <w:rFonts w:ascii="Times New Roman" w:hAnsi="Times New Roman"/>
          <w:bCs/>
          <w:kern w:val="0"/>
          <w:szCs w:val="21"/>
        </w:rPr>
      </w:pPr>
    </w:p>
    <w:p w14:paraId="41B52F1F">
      <w:pPr>
        <w:adjustRightInd w:val="0"/>
        <w:snapToGrid w:val="0"/>
        <w:spacing w:line="400" w:lineRule="exact"/>
        <w:rPr>
          <w:rFonts w:ascii="Times New Roman" w:hAnsi="Times New Roman"/>
          <w:bCs/>
          <w:kern w:val="0"/>
          <w:szCs w:val="21"/>
        </w:rPr>
      </w:pPr>
    </w:p>
    <w:p w14:paraId="0D43ECD8">
      <w:pPr>
        <w:pStyle w:val="3"/>
        <w:pageBreakBefore/>
        <w:spacing w:before="120" w:beforeLines="50" w:after="120" w:afterLines="50" w:line="500" w:lineRule="exact"/>
        <w:jc w:val="center"/>
        <w:rPr>
          <w:rFonts w:ascii="Times New Roman" w:hAnsi="Times New Roman" w:eastAsia="楷体"/>
          <w:sz w:val="28"/>
          <w:szCs w:val="18"/>
        </w:rPr>
      </w:pPr>
      <w:bookmarkStart w:id="83" w:name="_Toc31981"/>
      <w:bookmarkStart w:id="84" w:name="_Toc3749"/>
      <w:bookmarkStart w:id="85" w:name="_Toc6371"/>
      <w:bookmarkStart w:id="86" w:name="_Toc29022"/>
      <w:bookmarkStart w:id="87" w:name="_Toc9442"/>
      <w:bookmarkStart w:id="88" w:name="_Toc1584"/>
      <w:bookmarkStart w:id="89" w:name="_Toc3088"/>
      <w:r>
        <w:rPr>
          <w:rFonts w:ascii="Times New Roman" w:hAnsi="Times New Roman"/>
          <w:b w:val="0"/>
          <w:sz w:val="28"/>
          <w:szCs w:val="18"/>
        </w:rPr>
        <w:t>附录6  资格审查条件（其他要求）</w:t>
      </w:r>
      <w:bookmarkEnd w:id="83"/>
      <w:bookmarkEnd w:id="84"/>
      <w:bookmarkEnd w:id="85"/>
      <w:bookmarkEnd w:id="86"/>
      <w:bookmarkEnd w:id="87"/>
      <w:bookmarkEnd w:id="88"/>
      <w:bookmarkEnd w:id="89"/>
    </w:p>
    <w:p w14:paraId="67D0255D">
      <w:pPr>
        <w:widowControl/>
        <w:jc w:val="left"/>
        <w:rPr>
          <w:rFonts w:ascii="Times New Roman" w:hAnsi="Times New Roman"/>
          <w:kern w:val="0"/>
          <w:szCs w:val="21"/>
        </w:rPr>
      </w:pPr>
    </w:p>
    <w:p w14:paraId="5587690D">
      <w:pPr>
        <w:widowControl/>
        <w:jc w:val="left"/>
        <w:rPr>
          <w:rFonts w:ascii="Times New Roman" w:hAnsi="Times New Roman"/>
          <w:kern w:val="0"/>
          <w:szCs w:val="21"/>
        </w:rPr>
      </w:pPr>
    </w:p>
    <w:p w14:paraId="1D918179">
      <w:pPr>
        <w:pStyle w:val="3"/>
        <w:numPr>
          <w:ilvl w:val="0"/>
          <w:numId w:val="3"/>
        </w:numPr>
        <w:spacing w:before="0" w:after="0" w:line="500" w:lineRule="exact"/>
        <w:rPr>
          <w:rFonts w:ascii="Times New Roman" w:hAnsi="Times New Roman"/>
          <w:b w:val="0"/>
        </w:rPr>
      </w:pPr>
      <w:r>
        <w:rPr>
          <w:rFonts w:ascii="Times New Roman" w:hAnsi="Times New Roman"/>
          <w:b w:val="0"/>
        </w:rPr>
        <w:br w:type="page"/>
      </w:r>
      <w:bookmarkStart w:id="90" w:name="_Toc19300"/>
      <w:bookmarkStart w:id="91" w:name="_Toc24347"/>
      <w:bookmarkStart w:id="92" w:name="_Toc152045529"/>
      <w:bookmarkStart w:id="93" w:name="_Toc11558"/>
      <w:bookmarkStart w:id="94" w:name="_Toc15587"/>
      <w:bookmarkStart w:id="95" w:name="_Toc3399"/>
      <w:bookmarkStart w:id="96" w:name="_Toc1590"/>
      <w:bookmarkStart w:id="97" w:name="_Toc144974497"/>
      <w:bookmarkStart w:id="98" w:name="_Toc14931"/>
      <w:bookmarkStart w:id="99" w:name="_Toc18354"/>
      <w:bookmarkStart w:id="100" w:name="_Toc179632546"/>
      <w:bookmarkStart w:id="101" w:name="_Toc152042305"/>
      <w:r>
        <w:rPr>
          <w:rFonts w:ascii="Times New Roman" w:hAnsi="Times New Roman"/>
          <w:b w:val="0"/>
          <w:sz w:val="28"/>
          <w:szCs w:val="18"/>
        </w:rPr>
        <w:t>总则</w:t>
      </w:r>
      <w:bookmarkEnd w:id="90"/>
      <w:bookmarkEnd w:id="91"/>
      <w:bookmarkEnd w:id="92"/>
      <w:bookmarkEnd w:id="93"/>
      <w:bookmarkEnd w:id="94"/>
      <w:bookmarkEnd w:id="95"/>
      <w:bookmarkEnd w:id="96"/>
      <w:bookmarkEnd w:id="97"/>
      <w:bookmarkEnd w:id="98"/>
      <w:bookmarkEnd w:id="99"/>
      <w:bookmarkEnd w:id="100"/>
      <w:bookmarkEnd w:id="101"/>
    </w:p>
    <w:p w14:paraId="43ABC826">
      <w:pPr>
        <w:pStyle w:val="4"/>
        <w:spacing w:before="0" w:after="0" w:line="500" w:lineRule="exact"/>
        <w:ind w:firstLine="118"/>
        <w:rPr>
          <w:rFonts w:ascii="Times New Roman" w:hAnsi="Times New Roman"/>
          <w:snapToGrid w:val="0"/>
          <w:sz w:val="24"/>
          <w:szCs w:val="18"/>
          <w:shd w:val="clear" w:color="auto" w:fill="FFFFFF"/>
        </w:rPr>
      </w:pPr>
      <w:bookmarkStart w:id="102" w:name="_Toc152045530"/>
      <w:bookmarkStart w:id="103" w:name="_Toc179632547"/>
      <w:bookmarkStart w:id="104" w:name="_Toc144974498"/>
      <w:bookmarkStart w:id="105" w:name="_Toc152042306"/>
      <w:r>
        <w:rPr>
          <w:rFonts w:ascii="Times New Roman" w:hAnsi="Times New Roman"/>
          <w:snapToGrid w:val="0"/>
          <w:sz w:val="24"/>
          <w:szCs w:val="18"/>
          <w:shd w:val="clear" w:color="auto" w:fill="FFFFFF"/>
          <w:lang w:val="zh-CN"/>
        </w:rPr>
        <w:t>1.1 项目概况</w:t>
      </w:r>
      <w:bookmarkEnd w:id="102"/>
      <w:bookmarkEnd w:id="103"/>
      <w:bookmarkEnd w:id="104"/>
      <w:bookmarkEnd w:id="105"/>
      <w:r>
        <w:rPr>
          <w:rFonts w:ascii="Times New Roman" w:hAnsi="Times New Roman"/>
          <w:snapToGrid w:val="0"/>
          <w:sz w:val="24"/>
          <w:szCs w:val="18"/>
          <w:shd w:val="clear" w:color="auto" w:fill="FFFFFF"/>
        </w:rPr>
        <w:t xml:space="preserve"> </w:t>
      </w:r>
    </w:p>
    <w:p w14:paraId="47300F3E">
      <w:pPr>
        <w:spacing w:line="500" w:lineRule="exact"/>
        <w:ind w:firstLine="420" w:firstLineChars="200"/>
        <w:rPr>
          <w:rFonts w:ascii="Times New Roman" w:hAnsi="Times New Roman" w:eastAsia="宋体" w:cs="Times New Roman"/>
        </w:rPr>
      </w:pPr>
      <w:r>
        <w:rPr>
          <w:rFonts w:ascii="Times New Roman" w:hAnsi="Times New Roman" w:eastAsia="宋体" w:cs="Times New Roman"/>
        </w:rPr>
        <w:t>1.1.1 根据《合肥文旅博览集团有限公司招标采购管理办法》，参照《中华人民共和国招标投标法》《中华人民共和国招标投标法实施条例》等有关法律、法规和规章的规定，本招标项目已具备招标条件，现对本项目进行招标。</w:t>
      </w:r>
    </w:p>
    <w:p w14:paraId="1FBCBA5D">
      <w:pPr>
        <w:spacing w:line="500" w:lineRule="exact"/>
        <w:ind w:firstLine="420" w:firstLineChars="200"/>
        <w:rPr>
          <w:rFonts w:ascii="Times New Roman" w:hAnsi="Times New Roman"/>
        </w:rPr>
      </w:pPr>
      <w:r>
        <w:rPr>
          <w:rFonts w:ascii="Times New Roman" w:hAnsi="Times New Roman"/>
        </w:rPr>
        <w:t>1.1.2招标人：见投标人须知前附表。</w:t>
      </w:r>
    </w:p>
    <w:p w14:paraId="32E285EB">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3</w:t>
      </w:r>
      <w:r>
        <w:rPr>
          <w:rFonts w:ascii="Times New Roman" w:hAnsi="Times New Roman"/>
        </w:rPr>
        <w:t>招标项目名称：见投标人须知前附表。</w:t>
      </w:r>
    </w:p>
    <w:p w14:paraId="1904D212">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4</w:t>
      </w:r>
      <w:r>
        <w:rPr>
          <w:rFonts w:ascii="Times New Roman" w:hAnsi="Times New Roman"/>
        </w:rPr>
        <w:t xml:space="preserve"> 招标项目地点：见投标人须知前附表。</w:t>
      </w:r>
    </w:p>
    <w:p w14:paraId="45C53847">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5</w:t>
      </w:r>
      <w:r>
        <w:rPr>
          <w:rFonts w:ascii="Times New Roman" w:hAnsi="Times New Roman"/>
        </w:rPr>
        <w:t>招标项目规模：见投标人须知前附表。</w:t>
      </w:r>
    </w:p>
    <w:p w14:paraId="0E84227B">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6</w:t>
      </w:r>
      <w:r>
        <w:rPr>
          <w:rFonts w:ascii="Times New Roman" w:hAnsi="Times New Roman"/>
        </w:rPr>
        <w:t>招标项目预计进场日期：见投标人须知前附表。</w:t>
      </w:r>
    </w:p>
    <w:p w14:paraId="2ADFAB8F">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7</w:t>
      </w:r>
      <w:r>
        <w:rPr>
          <w:rFonts w:ascii="Times New Roman" w:hAnsi="Times New Roman"/>
        </w:rPr>
        <w:t>合同估算价：见投标人须知前附表。</w:t>
      </w:r>
    </w:p>
    <w:p w14:paraId="44B97395">
      <w:pPr>
        <w:pStyle w:val="4"/>
        <w:spacing w:before="0" w:after="0" w:line="500" w:lineRule="exact"/>
        <w:ind w:firstLine="118"/>
        <w:rPr>
          <w:rFonts w:ascii="Times New Roman" w:hAnsi="Times New Roman"/>
          <w:sz w:val="24"/>
          <w:szCs w:val="24"/>
        </w:rPr>
      </w:pPr>
      <w:r>
        <w:rPr>
          <w:rFonts w:ascii="Times New Roman" w:hAnsi="Times New Roman"/>
          <w:sz w:val="24"/>
          <w:szCs w:val="24"/>
        </w:rPr>
        <w:t>1.2 资金来源和落实情况</w:t>
      </w:r>
    </w:p>
    <w:p w14:paraId="5B38EC1D">
      <w:pPr>
        <w:spacing w:line="500" w:lineRule="exact"/>
        <w:ind w:firstLine="420" w:firstLineChars="200"/>
        <w:rPr>
          <w:rFonts w:ascii="Times New Roman" w:hAnsi="Times New Roman"/>
        </w:rPr>
      </w:pPr>
      <w:r>
        <w:rPr>
          <w:rFonts w:ascii="Times New Roman" w:hAnsi="Times New Roman"/>
        </w:rPr>
        <w:t>1.2.1资金来源：见投标人须知前附表。</w:t>
      </w:r>
    </w:p>
    <w:p w14:paraId="36169AC3">
      <w:pPr>
        <w:spacing w:line="500" w:lineRule="exact"/>
        <w:ind w:firstLine="420" w:firstLineChars="200"/>
        <w:rPr>
          <w:rFonts w:ascii="Times New Roman" w:hAnsi="Times New Roman"/>
        </w:rPr>
      </w:pPr>
      <w:r>
        <w:rPr>
          <w:rFonts w:ascii="Times New Roman" w:hAnsi="Times New Roman"/>
        </w:rPr>
        <w:t>1.2.2资金落实情况：见投标人须知前附表。</w:t>
      </w:r>
    </w:p>
    <w:p w14:paraId="2E1BBAD4">
      <w:pPr>
        <w:pStyle w:val="4"/>
        <w:spacing w:before="0" w:after="0" w:line="500" w:lineRule="exact"/>
        <w:ind w:firstLine="118"/>
        <w:rPr>
          <w:rFonts w:ascii="Times New Roman" w:hAnsi="Times New Roman"/>
          <w:sz w:val="24"/>
          <w:szCs w:val="24"/>
        </w:rPr>
      </w:pPr>
      <w:r>
        <w:rPr>
          <w:rFonts w:ascii="Times New Roman" w:hAnsi="Times New Roman"/>
          <w:sz w:val="24"/>
          <w:szCs w:val="24"/>
        </w:rPr>
        <w:t>1.3招标范围、服务期限和质量标准</w:t>
      </w:r>
    </w:p>
    <w:p w14:paraId="4B01AF83">
      <w:pPr>
        <w:spacing w:line="500" w:lineRule="exact"/>
        <w:ind w:firstLine="420" w:firstLineChars="200"/>
        <w:rPr>
          <w:rFonts w:ascii="Times New Roman" w:hAnsi="Times New Roman"/>
        </w:rPr>
      </w:pPr>
      <w:r>
        <w:rPr>
          <w:rFonts w:ascii="Times New Roman" w:hAnsi="Times New Roman"/>
        </w:rPr>
        <w:t>1.3.1招标范围：见投标人须知前附表。</w:t>
      </w:r>
    </w:p>
    <w:p w14:paraId="1E2E323C">
      <w:pPr>
        <w:spacing w:line="500" w:lineRule="exact"/>
        <w:ind w:firstLine="420" w:firstLineChars="200"/>
        <w:rPr>
          <w:rFonts w:ascii="Times New Roman" w:hAnsi="Times New Roman"/>
        </w:rPr>
      </w:pPr>
      <w:r>
        <w:rPr>
          <w:rFonts w:ascii="Times New Roman" w:hAnsi="Times New Roman"/>
        </w:rPr>
        <w:t>1.3.2服务期限：见投标人须知前附表。</w:t>
      </w:r>
    </w:p>
    <w:p w14:paraId="488DAEC9">
      <w:pPr>
        <w:spacing w:line="500" w:lineRule="exact"/>
        <w:ind w:firstLine="420" w:firstLineChars="200"/>
        <w:rPr>
          <w:rFonts w:ascii="Times New Roman" w:hAnsi="Times New Roman"/>
        </w:rPr>
      </w:pPr>
      <w:r>
        <w:rPr>
          <w:rFonts w:ascii="Times New Roman" w:hAnsi="Times New Roman"/>
        </w:rPr>
        <w:t>1.3.3质量要求：见投标人须知前附表。</w:t>
      </w:r>
    </w:p>
    <w:p w14:paraId="2BC9CFA7">
      <w:pPr>
        <w:pStyle w:val="4"/>
        <w:spacing w:before="0" w:after="0" w:line="500" w:lineRule="exact"/>
        <w:ind w:firstLine="118"/>
        <w:rPr>
          <w:rFonts w:ascii="Times New Roman" w:hAnsi="Times New Roman"/>
          <w:sz w:val="24"/>
          <w:szCs w:val="24"/>
        </w:rPr>
      </w:pPr>
      <w:r>
        <w:rPr>
          <w:rFonts w:ascii="Times New Roman" w:hAnsi="Times New Roman"/>
          <w:sz w:val="24"/>
          <w:szCs w:val="24"/>
        </w:rPr>
        <w:t>1.4投标人资格要求</w:t>
      </w:r>
    </w:p>
    <w:p w14:paraId="0C7C21F9">
      <w:pPr>
        <w:spacing w:line="500" w:lineRule="exact"/>
        <w:ind w:firstLine="420" w:firstLineChars="200"/>
        <w:rPr>
          <w:rFonts w:ascii="Times New Roman" w:hAnsi="Times New Roman"/>
        </w:rPr>
      </w:pPr>
      <w:r>
        <w:rPr>
          <w:rFonts w:ascii="Times New Roman" w:hAnsi="Times New Roman"/>
        </w:rPr>
        <w:t>1.4.1 投标人应具备承担本招标项目的资质条件、能力和信誉：</w:t>
      </w:r>
    </w:p>
    <w:p w14:paraId="1102A41C">
      <w:pPr>
        <w:spacing w:line="500" w:lineRule="exact"/>
        <w:ind w:firstLine="315" w:firstLineChars="150"/>
        <w:rPr>
          <w:rFonts w:ascii="Times New Roman" w:hAnsi="Times New Roman"/>
        </w:rPr>
      </w:pPr>
      <w:r>
        <w:rPr>
          <w:rFonts w:ascii="Times New Roman" w:hAnsi="Times New Roman"/>
        </w:rPr>
        <w:t>（1）资质要求：见投标人须知前附表；</w:t>
      </w:r>
    </w:p>
    <w:p w14:paraId="2DF48C68">
      <w:pPr>
        <w:spacing w:line="500" w:lineRule="exact"/>
        <w:ind w:firstLine="315" w:firstLineChars="150"/>
        <w:rPr>
          <w:rFonts w:ascii="Times New Roman" w:hAnsi="Times New Roman"/>
        </w:rPr>
      </w:pPr>
      <w:r>
        <w:rPr>
          <w:rFonts w:ascii="Times New Roman" w:hAnsi="Times New Roman"/>
        </w:rPr>
        <w:t>（2）业绩要求：见投标人须知前附表；</w:t>
      </w:r>
    </w:p>
    <w:p w14:paraId="74678A40">
      <w:pPr>
        <w:spacing w:line="500" w:lineRule="exact"/>
        <w:ind w:firstLine="315" w:firstLineChars="150"/>
        <w:rPr>
          <w:rFonts w:ascii="Times New Roman" w:hAnsi="Times New Roman"/>
        </w:rPr>
      </w:pPr>
      <w:r>
        <w:rPr>
          <w:rFonts w:ascii="Times New Roman" w:hAnsi="Times New Roman"/>
        </w:rPr>
        <w:t>（3）信誉要求：见投标人须知前附表；</w:t>
      </w:r>
    </w:p>
    <w:p w14:paraId="5F274A3F">
      <w:pPr>
        <w:spacing w:line="500" w:lineRule="exact"/>
        <w:ind w:firstLine="315" w:firstLineChars="150"/>
        <w:rPr>
          <w:rFonts w:ascii="Times New Roman" w:hAnsi="Times New Roman"/>
        </w:rPr>
      </w:pPr>
      <w:r>
        <w:rPr>
          <w:rFonts w:ascii="Times New Roman" w:hAnsi="Times New Roman"/>
        </w:rPr>
        <w:t>（4）项目负责人的资格及业绩要求：见投标人须知前附表；</w:t>
      </w:r>
    </w:p>
    <w:p w14:paraId="77072B07">
      <w:pPr>
        <w:spacing w:line="500" w:lineRule="exact"/>
        <w:ind w:firstLine="315" w:firstLineChars="150"/>
        <w:rPr>
          <w:rFonts w:ascii="Times New Roman" w:hAnsi="Times New Roman"/>
        </w:rPr>
      </w:pPr>
      <w:r>
        <w:rPr>
          <w:rFonts w:ascii="Times New Roman" w:hAnsi="Times New Roman"/>
        </w:rPr>
        <w:t>（5）其他主要人员要求：见投标人须知前附表；</w:t>
      </w:r>
    </w:p>
    <w:p w14:paraId="10DE987F">
      <w:pPr>
        <w:spacing w:line="500" w:lineRule="exact"/>
        <w:ind w:firstLine="315" w:firstLineChars="150"/>
        <w:rPr>
          <w:rFonts w:ascii="Times New Roman" w:hAnsi="Times New Roman"/>
        </w:rPr>
      </w:pPr>
      <w:r>
        <w:rPr>
          <w:rFonts w:ascii="Times New Roman" w:hAnsi="Times New Roman"/>
        </w:rPr>
        <w:t>（6）其他要求：见投标人须知前附表。</w:t>
      </w:r>
    </w:p>
    <w:p w14:paraId="7DADFA27">
      <w:pPr>
        <w:spacing w:line="500" w:lineRule="exact"/>
        <w:ind w:firstLine="420" w:firstLineChars="200"/>
        <w:rPr>
          <w:rFonts w:ascii="Times New Roman" w:hAnsi="Times New Roman"/>
        </w:rPr>
      </w:pPr>
      <w:r>
        <w:rPr>
          <w:rFonts w:ascii="Times New Roman" w:hAnsi="Times New Roman"/>
        </w:rPr>
        <w:t>需要提交的相关证明材料见本章第3.5款的规定。</w:t>
      </w:r>
    </w:p>
    <w:p w14:paraId="5A35F134">
      <w:pPr>
        <w:spacing w:line="500" w:lineRule="exact"/>
        <w:ind w:firstLine="420" w:firstLineChars="200"/>
        <w:rPr>
          <w:rFonts w:ascii="Times New Roman" w:hAnsi="Times New Roman"/>
        </w:rPr>
      </w:pPr>
      <w:r>
        <w:rPr>
          <w:rFonts w:ascii="Times New Roman" w:hAnsi="Times New Roman"/>
        </w:rPr>
        <w:t>1.4.2投标人须知前附表规定接受联合体投标的，联合体除应符合本章第1.4.1项和投标人须知前附表的要求外，还应遵守以下规定：</w:t>
      </w:r>
    </w:p>
    <w:p w14:paraId="7B3D7A5C">
      <w:pPr>
        <w:spacing w:line="500" w:lineRule="exact"/>
        <w:ind w:firstLine="315" w:firstLineChars="150"/>
        <w:rPr>
          <w:rFonts w:ascii="Times New Roman" w:hAnsi="Times New Roman"/>
        </w:rPr>
      </w:pPr>
      <w:r>
        <w:rPr>
          <w:rFonts w:ascii="Times New Roman" w:hAnsi="Times New Roman"/>
        </w:rPr>
        <w:t>（1）联合体各方应按招标文件提供的格式签订联合体协议书，明确联合体牵头人和各方权利义务，并承诺就中标项目向招标人承担连带责任；</w:t>
      </w:r>
    </w:p>
    <w:p w14:paraId="4D67D303">
      <w:pPr>
        <w:spacing w:line="500" w:lineRule="exact"/>
        <w:ind w:firstLine="315" w:firstLineChars="150"/>
        <w:rPr>
          <w:rFonts w:ascii="Times New Roman" w:hAnsi="Times New Roman"/>
        </w:rPr>
      </w:pPr>
      <w:r>
        <w:rPr>
          <w:rFonts w:ascii="Times New Roman" w:hAnsi="Times New Roman"/>
        </w:rPr>
        <w:t>（2）由同一专业的单位组成的联合体，按照资质等级较低的单位确定资质等级；</w:t>
      </w:r>
    </w:p>
    <w:p w14:paraId="15E4861A">
      <w:pPr>
        <w:spacing w:line="500" w:lineRule="exact"/>
        <w:ind w:firstLine="315" w:firstLineChars="150"/>
        <w:rPr>
          <w:rFonts w:ascii="Times New Roman" w:hAnsi="Times New Roman"/>
        </w:rPr>
      </w:pPr>
      <w:r>
        <w:rPr>
          <w:rFonts w:ascii="Times New Roman" w:hAnsi="Times New Roman"/>
        </w:rPr>
        <w:t>（3）联合体各方不得再以自己名义单独或参加其他联合体在同一标段中投标；</w:t>
      </w:r>
    </w:p>
    <w:p w14:paraId="755BA4CC">
      <w:pPr>
        <w:spacing w:line="500" w:lineRule="exact"/>
        <w:ind w:firstLine="315" w:firstLineChars="150"/>
        <w:rPr>
          <w:rFonts w:ascii="Times New Roman" w:hAnsi="Times New Roman"/>
        </w:rPr>
      </w:pPr>
      <w:r>
        <w:rPr>
          <w:rFonts w:ascii="Times New Roman" w:hAnsi="Times New Roman"/>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2DF71B43">
      <w:pPr>
        <w:spacing w:line="500" w:lineRule="exact"/>
        <w:ind w:firstLine="315" w:firstLineChars="150"/>
        <w:rPr>
          <w:rFonts w:ascii="Times New Roman" w:hAnsi="Times New Roman"/>
        </w:rPr>
      </w:pPr>
      <w:r>
        <w:rPr>
          <w:rFonts w:ascii="Times New Roman" w:hAnsi="Times New Roman"/>
        </w:rPr>
        <w:t>（5）尽管委任了联合体牵头人，但联合体各成员在投标、签约与履行合同过程中，仍负有连带的和各自的法律责任。</w:t>
      </w:r>
    </w:p>
    <w:p w14:paraId="1AE814B1">
      <w:pPr>
        <w:spacing w:line="500" w:lineRule="exact"/>
        <w:ind w:firstLine="420" w:firstLineChars="200"/>
        <w:rPr>
          <w:rFonts w:ascii="Times New Roman" w:hAnsi="Times New Roman"/>
          <w:szCs w:val="21"/>
        </w:rPr>
      </w:pPr>
      <w:r>
        <w:rPr>
          <w:rFonts w:ascii="Times New Roman" w:hAnsi="Times New Roman"/>
          <w:szCs w:val="21"/>
        </w:rPr>
        <w:t xml:space="preserve">1.4.3 </w:t>
      </w:r>
      <w:r>
        <w:rPr>
          <w:rFonts w:ascii="Times New Roman" w:hAnsi="Times New Roman"/>
          <w:snapToGrid w:val="0"/>
          <w:kern w:val="0"/>
          <w:szCs w:val="21"/>
          <w:shd w:val="clear" w:color="auto" w:fill="FFFFFF"/>
          <w:lang w:val="zh-CN"/>
        </w:rPr>
        <w:t>投标人（包括联合体各成员</w:t>
      </w:r>
      <w:r>
        <w:rPr>
          <w:rFonts w:ascii="Times New Roman" w:hAnsi="Times New Roman"/>
          <w:snapToGrid w:val="0"/>
          <w:kern w:val="0"/>
          <w:szCs w:val="21"/>
          <w:shd w:val="clear" w:color="auto" w:fill="FFFFFF"/>
        </w:rPr>
        <w:t>）</w:t>
      </w:r>
      <w:r>
        <w:rPr>
          <w:rFonts w:ascii="Times New Roman" w:hAnsi="Times New Roman"/>
          <w:snapToGrid w:val="0"/>
          <w:kern w:val="0"/>
          <w:szCs w:val="21"/>
          <w:shd w:val="clear" w:color="auto" w:fill="FFFFFF"/>
          <w:lang w:val="zh-CN"/>
        </w:rPr>
        <w:t>不得与本标段相关单位存在下列关联关系：</w:t>
      </w:r>
    </w:p>
    <w:p w14:paraId="056BA51C">
      <w:pPr>
        <w:spacing w:line="500" w:lineRule="exact"/>
        <w:ind w:firstLine="420" w:firstLineChars="200"/>
        <w:rPr>
          <w:rFonts w:ascii="Times New Roman" w:hAnsi="Times New Roman"/>
          <w:szCs w:val="21"/>
        </w:rPr>
      </w:pPr>
      <w:r>
        <w:rPr>
          <w:rFonts w:ascii="Times New Roman" w:hAnsi="Times New Roman"/>
          <w:szCs w:val="21"/>
        </w:rPr>
        <w:t>（1）为招标人不具有独立法人资格的附属机构（单位）；</w:t>
      </w:r>
    </w:p>
    <w:p w14:paraId="51AEC434">
      <w:pPr>
        <w:spacing w:line="500" w:lineRule="exact"/>
        <w:ind w:firstLine="420" w:firstLineChars="200"/>
        <w:rPr>
          <w:rFonts w:ascii="Times New Roman" w:hAnsi="Times New Roman"/>
          <w:szCs w:val="21"/>
        </w:rPr>
      </w:pPr>
      <w:r>
        <w:rPr>
          <w:rFonts w:ascii="Times New Roman" w:hAnsi="Times New Roman"/>
          <w:szCs w:val="21"/>
        </w:rPr>
        <w:t>（2）与招标人存在利害关系且可能影响招标公正性；</w:t>
      </w:r>
    </w:p>
    <w:p w14:paraId="7A8E0D98">
      <w:pPr>
        <w:spacing w:line="500" w:lineRule="exact"/>
        <w:ind w:firstLine="420" w:firstLineChars="200"/>
        <w:rPr>
          <w:rFonts w:ascii="Times New Roman" w:hAnsi="Times New Roman"/>
          <w:szCs w:val="21"/>
        </w:rPr>
      </w:pPr>
      <w:r>
        <w:rPr>
          <w:rFonts w:ascii="Times New Roman" w:hAnsi="Times New Roman"/>
          <w:szCs w:val="21"/>
        </w:rPr>
        <w:t>（3）与本招标项目的其他投标人为同一个单位负责人；</w:t>
      </w:r>
    </w:p>
    <w:p w14:paraId="51A72858">
      <w:pPr>
        <w:spacing w:line="500" w:lineRule="exact"/>
        <w:ind w:firstLine="420" w:firstLineChars="200"/>
        <w:rPr>
          <w:rFonts w:ascii="Times New Roman" w:hAnsi="Times New Roman"/>
          <w:szCs w:val="21"/>
        </w:rPr>
      </w:pPr>
      <w:r>
        <w:rPr>
          <w:rFonts w:ascii="Times New Roman" w:hAnsi="Times New Roman"/>
          <w:szCs w:val="21"/>
        </w:rPr>
        <w:t>（4）与本招标项目的其他投标人存在控股、管理关系；</w:t>
      </w:r>
    </w:p>
    <w:p w14:paraId="48D03B4B">
      <w:pPr>
        <w:spacing w:line="500" w:lineRule="exact"/>
        <w:ind w:firstLine="420" w:firstLineChars="200"/>
        <w:rPr>
          <w:rFonts w:ascii="Times New Roman" w:hAnsi="Times New Roman"/>
          <w:szCs w:val="21"/>
        </w:rPr>
      </w:pPr>
      <w:r>
        <w:rPr>
          <w:rFonts w:ascii="Times New Roman" w:hAnsi="Times New Roman"/>
          <w:szCs w:val="21"/>
        </w:rPr>
        <w:t>（5）为本招标项目的代建人；</w:t>
      </w:r>
    </w:p>
    <w:p w14:paraId="2CA4A22D">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6</w:t>
      </w:r>
      <w:r>
        <w:rPr>
          <w:rFonts w:ascii="Times New Roman" w:hAnsi="Times New Roman"/>
          <w:szCs w:val="21"/>
        </w:rPr>
        <w:t>）与本招标项目的代建人同为一个法定代表人；</w:t>
      </w:r>
    </w:p>
    <w:p w14:paraId="54A41004">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7</w:t>
      </w:r>
      <w:r>
        <w:rPr>
          <w:rFonts w:ascii="Times New Roman" w:hAnsi="Times New Roman"/>
          <w:szCs w:val="21"/>
        </w:rPr>
        <w:t>）与本招标项目的代建人在控股或参股关系；</w:t>
      </w:r>
    </w:p>
    <w:p w14:paraId="174F8069">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8</w:t>
      </w:r>
      <w:r>
        <w:rPr>
          <w:rFonts w:ascii="Times New Roman" w:hAnsi="Times New Roman"/>
          <w:szCs w:val="21"/>
        </w:rPr>
        <w:t>）与本工程项目的其他工程咨询施工承包人以及建筑材料、建筑构配件和设备供应商有隶属关系或者其他利害关系；</w:t>
      </w:r>
    </w:p>
    <w:p w14:paraId="26513A5E">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9</w:t>
      </w:r>
      <w:r>
        <w:rPr>
          <w:rFonts w:ascii="Times New Roman" w:hAnsi="Times New Roman"/>
          <w:szCs w:val="21"/>
        </w:rPr>
        <w:t>）法律法规或投标人须知前附表规定的其他情形。</w:t>
      </w:r>
    </w:p>
    <w:p w14:paraId="23C1A204">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1.4.4投标人（包括联合体各成员）不得存在下列不良状况或不良信用记录：</w:t>
      </w:r>
    </w:p>
    <w:p w14:paraId="7A6DB56B">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（1）被</w:t>
      </w:r>
      <w:bookmarkStart w:id="106" w:name="_Hlk26632162"/>
      <w:r>
        <w:rPr>
          <w:rFonts w:ascii="Times New Roman" w:hAnsi="Times New Roman"/>
          <w:bCs/>
          <w:snapToGrid w:val="0"/>
          <w:kern w:val="0"/>
          <w:szCs w:val="21"/>
        </w:rPr>
        <w:t>设区的</w:t>
      </w:r>
      <w:bookmarkEnd w:id="106"/>
      <w:r>
        <w:rPr>
          <w:rFonts w:ascii="Times New Roman" w:hAnsi="Times New Roman"/>
          <w:bCs/>
          <w:snapToGrid w:val="0"/>
          <w:kern w:val="0"/>
          <w:szCs w:val="21"/>
        </w:rPr>
        <w:t>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p>
    <w:p w14:paraId="0D804647">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2）在最近三年内（自投标截止之日向前追溯3年，下同）有骗取中标或串通投标或严重违约或重大质量问题的（以相关行业主管部门的行政处罚决定或司法机关出具的有关法律文书为准），但前述行政处罚已完成信用修复的，自行政处罚作出机关或信用修复主管部门同意修复之日起满一年的，不受三年期限限制；</w:t>
      </w:r>
    </w:p>
    <w:p w14:paraId="1D7E0045">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（3）被责令停业，暂扣或吊销执照，或吊销资质证书；</w:t>
      </w:r>
    </w:p>
    <w:p w14:paraId="172936E0">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（4）进入清算程序，或被宣告破产，或其他丧失履约能力的情形；</w:t>
      </w:r>
    </w:p>
    <w:p w14:paraId="47C0E064">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（5）在国家企业信用信息公示系统（http://www.gsxt.gov.cn/）中被列入严重违法失信企业名单；</w:t>
      </w:r>
    </w:p>
    <w:p w14:paraId="345D0990">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 xml:space="preserve">（6）在“信用中国”网站（http://www.creditchina.gov.cn/）中被列入失信被执行人名单； </w:t>
      </w:r>
    </w:p>
    <w:p w14:paraId="22B6A44B">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（7）在“信用中国”网站（http://www.creditchina.gov.cn/）中被列入重大税收违法失信主体名单；</w:t>
      </w:r>
    </w:p>
    <w:p w14:paraId="5037B5C0">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（8）投标人或其法定代表人、拟委任的项目负责人在近三年内有行贿犯罪行为的；</w:t>
      </w:r>
    </w:p>
    <w:p w14:paraId="4AAF6190">
      <w:pPr>
        <w:tabs>
          <w:tab w:val="left" w:pos="1046"/>
        </w:tabs>
        <w:spacing w:line="500" w:lineRule="exact"/>
        <w:ind w:firstLine="630" w:firstLineChars="300"/>
        <w:rPr>
          <w:rFonts w:hint="default" w:ascii="Times New Roman" w:hAnsi="Times New Roman" w:eastAsia="宋体" w:cs="Times New Roman"/>
          <w:bCs/>
          <w:snapToGrid w:val="0"/>
          <w:color w:val="000000"/>
          <w:kern w:val="0"/>
          <w:szCs w:val="21"/>
          <w:highlight w:val="yellow"/>
          <w:lang w:val="en-US" w:eastAsia="zh-CN"/>
        </w:rPr>
      </w:pPr>
      <w:r>
        <w:rPr>
          <w:rFonts w:hint="eastAsia" w:ascii="Times New Roman" w:hAnsi="Times New Roman" w:eastAsia="宋体" w:cs="Times New Roman"/>
          <w:bCs/>
          <w:snapToGrid w:val="0"/>
          <w:color w:val="FF0000"/>
          <w:kern w:val="0"/>
          <w:szCs w:val="21"/>
          <w:highlight w:val="yellow"/>
          <w:lang w:val="en-US" w:eastAsia="zh-CN"/>
        </w:rPr>
        <w:t>（9）近二年被列入合肥文旅博览集团有限公司信用评价体系黑名单；</w:t>
      </w:r>
    </w:p>
    <w:p w14:paraId="1F409F73">
      <w:pPr>
        <w:pStyle w:val="4"/>
        <w:ind w:firstLine="522" w:firstLineChars="249"/>
        <w:rPr>
          <w:rFonts w:ascii="Times New Roman" w:hAnsi="Times New Roman"/>
          <w:bCs/>
          <w:snapToGrid w:val="0"/>
          <w:kern w:val="0"/>
          <w:szCs w:val="21"/>
        </w:rPr>
      </w:pPr>
      <w:r>
        <w:rPr>
          <w:rFonts w:ascii="Times New Roman" w:hAnsi="Times New Roman" w:eastAsia="宋体" w:cs="Times New Roman"/>
          <w:bCs/>
          <w:snapToGrid w:val="0"/>
          <w:color w:val="FF0000"/>
          <w:kern w:val="0"/>
          <w:sz w:val="21"/>
          <w:szCs w:val="21"/>
          <w:lang w:val="en-US" w:eastAsia="zh-CN" w:bidi="ar-SA"/>
        </w:rPr>
        <w:t>（</w:t>
      </w:r>
      <w:r>
        <w:rPr>
          <w:rFonts w:hint="eastAsia" w:ascii="Times New Roman" w:hAnsi="Times New Roman" w:eastAsia="宋体" w:cs="Times New Roman"/>
          <w:bCs/>
          <w:snapToGrid w:val="0"/>
          <w:color w:val="FF0000"/>
          <w:kern w:val="0"/>
          <w:sz w:val="21"/>
          <w:szCs w:val="21"/>
          <w:lang w:val="en-US" w:eastAsia="zh-CN" w:bidi="ar-SA"/>
        </w:rPr>
        <w:t>10</w:t>
      </w:r>
      <w:r>
        <w:rPr>
          <w:rFonts w:ascii="Times New Roman" w:hAnsi="Times New Roman" w:eastAsia="宋体" w:cs="Times New Roman"/>
          <w:bCs/>
          <w:snapToGrid w:val="0"/>
          <w:color w:val="FF0000"/>
          <w:kern w:val="0"/>
          <w:sz w:val="21"/>
          <w:szCs w:val="21"/>
          <w:lang w:val="en-US" w:eastAsia="zh-CN" w:bidi="ar-SA"/>
        </w:rPr>
        <w:t>）</w:t>
      </w:r>
      <w:r>
        <w:rPr>
          <w:rFonts w:ascii="Times New Roman" w:hAnsi="Times New Roman" w:eastAsia="宋体" w:cs="Times New Roman"/>
          <w:bCs/>
          <w:snapToGrid w:val="0"/>
          <w:kern w:val="0"/>
          <w:sz w:val="21"/>
          <w:szCs w:val="21"/>
          <w:lang w:val="en-US" w:eastAsia="zh-CN" w:bidi="ar-SA"/>
        </w:rPr>
        <w:t>法律法规或投标人须知前附表规定的其他情形。</w:t>
      </w:r>
    </w:p>
    <w:p w14:paraId="1D2386B3">
      <w:pPr>
        <w:pStyle w:val="4"/>
        <w:spacing w:before="0" w:after="0" w:line="500" w:lineRule="exact"/>
        <w:ind w:firstLine="118"/>
        <w:rPr>
          <w:rFonts w:ascii="Times New Roman" w:hAnsi="Times New Roman"/>
          <w:sz w:val="24"/>
          <w:szCs w:val="24"/>
        </w:rPr>
      </w:pPr>
      <w:r>
        <w:rPr>
          <w:rFonts w:ascii="Times New Roman" w:hAnsi="Times New Roman"/>
          <w:sz w:val="24"/>
          <w:szCs w:val="24"/>
        </w:rPr>
        <w:t>1.5 费用承担</w:t>
      </w:r>
    </w:p>
    <w:p w14:paraId="0CCBA81B">
      <w:pPr>
        <w:spacing w:line="500" w:lineRule="exact"/>
        <w:ind w:firstLine="420" w:firstLineChars="200"/>
        <w:rPr>
          <w:rFonts w:ascii="Times New Roman" w:hAnsi="Times New Roman"/>
        </w:rPr>
      </w:pPr>
      <w:r>
        <w:rPr>
          <w:rFonts w:ascii="Times New Roman" w:hAnsi="Times New Roman"/>
        </w:rPr>
        <w:t>投标人准备和参加投标活动发生的费用自理。</w:t>
      </w:r>
    </w:p>
    <w:p w14:paraId="1884A6BA">
      <w:pPr>
        <w:pStyle w:val="4"/>
        <w:spacing w:before="0" w:after="0" w:line="500" w:lineRule="exact"/>
        <w:ind w:firstLine="118"/>
        <w:rPr>
          <w:rFonts w:ascii="Times New Roman" w:hAnsi="Times New Roman"/>
          <w:sz w:val="24"/>
          <w:szCs w:val="24"/>
        </w:rPr>
      </w:pPr>
      <w:r>
        <w:rPr>
          <w:rFonts w:ascii="Times New Roman" w:hAnsi="Times New Roman"/>
          <w:sz w:val="24"/>
          <w:szCs w:val="24"/>
        </w:rPr>
        <w:t>1.6 保密</w:t>
      </w:r>
    </w:p>
    <w:p w14:paraId="4DD57D65">
      <w:pPr>
        <w:spacing w:line="500" w:lineRule="exact"/>
        <w:ind w:firstLine="420" w:firstLineChars="200"/>
        <w:rPr>
          <w:rFonts w:ascii="Times New Roman" w:hAnsi="Times New Roman"/>
        </w:rPr>
      </w:pPr>
      <w:r>
        <w:rPr>
          <w:rFonts w:ascii="Times New Roman" w:hAnsi="Times New Roman"/>
        </w:rPr>
        <w:t>参与招标投标活动的各方应对招标文件和投标文件中</w:t>
      </w:r>
      <w:bookmarkStart w:id="107" w:name="_Toc5326"/>
      <w:bookmarkStart w:id="108" w:name="_Toc361508589"/>
      <w:bookmarkStart w:id="109" w:name="_Toc384308214"/>
      <w:bookmarkStart w:id="110" w:name="_Toc369531519"/>
      <w:bookmarkStart w:id="111" w:name="_Toc352691477"/>
      <w:r>
        <w:rPr>
          <w:rFonts w:ascii="Times New Roman" w:hAnsi="Times New Roman"/>
        </w:rPr>
        <w:t>的商业和技术等秘密保密</w:t>
      </w:r>
      <w:bookmarkEnd w:id="107"/>
      <w:bookmarkEnd w:id="108"/>
      <w:bookmarkEnd w:id="109"/>
      <w:bookmarkEnd w:id="110"/>
      <w:bookmarkEnd w:id="111"/>
      <w:r>
        <w:rPr>
          <w:rFonts w:ascii="Times New Roman" w:hAnsi="Times New Roman"/>
        </w:rPr>
        <w:t>，否则应承担相应的法律责任。</w:t>
      </w:r>
    </w:p>
    <w:p w14:paraId="4114517B">
      <w:pPr>
        <w:pStyle w:val="4"/>
        <w:spacing w:before="0" w:after="0" w:line="500" w:lineRule="exact"/>
        <w:ind w:firstLine="118"/>
        <w:rPr>
          <w:rFonts w:ascii="Times New Roman" w:hAnsi="Times New Roman"/>
          <w:sz w:val="24"/>
          <w:szCs w:val="24"/>
        </w:rPr>
      </w:pPr>
      <w:r>
        <w:rPr>
          <w:rFonts w:ascii="Times New Roman" w:hAnsi="Times New Roman"/>
          <w:sz w:val="24"/>
          <w:szCs w:val="24"/>
        </w:rPr>
        <w:t>1.7 语言文字</w:t>
      </w:r>
    </w:p>
    <w:p w14:paraId="743C5A98">
      <w:pPr>
        <w:spacing w:line="500" w:lineRule="exact"/>
        <w:ind w:firstLine="420" w:firstLineChars="200"/>
        <w:rPr>
          <w:rFonts w:ascii="Times New Roman" w:hAnsi="Times New Roman"/>
        </w:rPr>
      </w:pPr>
      <w:r>
        <w:rPr>
          <w:rFonts w:ascii="Times New Roman" w:hAnsi="Times New Roman"/>
        </w:rPr>
        <w:t>招标投标文件使用的语言文字为中文。专用术语使用外文的，应附有中文注释。</w:t>
      </w:r>
    </w:p>
    <w:p w14:paraId="6DD26462">
      <w:pPr>
        <w:pStyle w:val="4"/>
        <w:spacing w:before="0" w:after="0" w:line="500" w:lineRule="exact"/>
        <w:ind w:firstLine="118"/>
        <w:rPr>
          <w:rFonts w:ascii="Times New Roman" w:hAnsi="Times New Roman"/>
          <w:sz w:val="24"/>
          <w:szCs w:val="24"/>
        </w:rPr>
      </w:pPr>
      <w:r>
        <w:rPr>
          <w:rFonts w:ascii="Times New Roman" w:hAnsi="Times New Roman"/>
          <w:sz w:val="24"/>
          <w:szCs w:val="24"/>
        </w:rPr>
        <w:t>1.8 计量单位</w:t>
      </w:r>
    </w:p>
    <w:p w14:paraId="6FCDA11B">
      <w:pPr>
        <w:spacing w:line="500" w:lineRule="exact"/>
        <w:ind w:firstLine="420" w:firstLineChars="200"/>
        <w:rPr>
          <w:rFonts w:ascii="Times New Roman" w:hAnsi="Times New Roman"/>
        </w:rPr>
      </w:pPr>
      <w:r>
        <w:rPr>
          <w:rFonts w:ascii="Times New Roman" w:hAnsi="Times New Roman"/>
        </w:rPr>
        <w:t>所有计量均采用中华人民共和国法定计量单位。</w:t>
      </w:r>
    </w:p>
    <w:p w14:paraId="610E9FF2">
      <w:pPr>
        <w:pStyle w:val="4"/>
        <w:spacing w:before="0" w:after="0" w:line="500" w:lineRule="exact"/>
        <w:ind w:firstLine="118"/>
        <w:rPr>
          <w:rFonts w:ascii="Times New Roman" w:hAnsi="Times New Roman"/>
          <w:sz w:val="24"/>
          <w:szCs w:val="24"/>
        </w:rPr>
      </w:pPr>
      <w:bookmarkStart w:id="112" w:name="_Toc247513962"/>
      <w:bookmarkStart w:id="113" w:name="_Toc361508594"/>
      <w:bookmarkStart w:id="114" w:name="_Toc152045539"/>
      <w:bookmarkStart w:id="115" w:name="_Toc482188480"/>
      <w:bookmarkStart w:id="116" w:name="_Toc144974507"/>
      <w:bookmarkStart w:id="117" w:name="_Toc152042315"/>
      <w:bookmarkStart w:id="118" w:name="_Toc300834959"/>
      <w:bookmarkStart w:id="119" w:name="_Toc247527563"/>
      <w:bookmarkStart w:id="120" w:name="_Toc391393967"/>
      <w:bookmarkStart w:id="121" w:name="_Toc370676289"/>
      <w:bookmarkStart w:id="122" w:name="_Toc384308219"/>
      <w:r>
        <w:rPr>
          <w:rFonts w:ascii="Times New Roman" w:hAnsi="Times New Roman"/>
          <w:sz w:val="24"/>
          <w:szCs w:val="24"/>
        </w:rPr>
        <w:t>1.9 踏勘现场</w:t>
      </w:r>
      <w:bookmarkEnd w:id="112"/>
      <w:bookmarkEnd w:id="113"/>
      <w:bookmarkEnd w:id="114"/>
      <w:bookmarkEnd w:id="115"/>
      <w:bookmarkEnd w:id="116"/>
      <w:bookmarkEnd w:id="117"/>
      <w:bookmarkEnd w:id="118"/>
      <w:bookmarkEnd w:id="119"/>
      <w:bookmarkEnd w:id="120"/>
      <w:bookmarkEnd w:id="121"/>
      <w:bookmarkEnd w:id="122"/>
    </w:p>
    <w:p w14:paraId="05B0D4EF">
      <w:pPr>
        <w:spacing w:line="500" w:lineRule="exact"/>
        <w:ind w:firstLine="420" w:firstLineChars="200"/>
        <w:rPr>
          <w:rFonts w:ascii="Times New Roman" w:hAnsi="Times New Roman"/>
          <w:bCs/>
          <w:snapToGrid w:val="0"/>
          <w:kern w:val="0"/>
          <w:szCs w:val="21"/>
        </w:rPr>
      </w:pPr>
      <w:r>
        <w:rPr>
          <w:rFonts w:ascii="Times New Roman" w:hAnsi="Times New Roman"/>
        </w:rPr>
        <w:t>1.9.1 投标人须知前附表规定组织踏勘现场的，招标人按投标人须知前附表规定的时间、地点组织投标人踏勘项目现场。部分投标人未按时参加踏勘现场的，不影响踏勘现场的正常进行。</w:t>
      </w:r>
      <w:r>
        <w:rPr>
          <w:rFonts w:ascii="Times New Roman" w:hAnsi="Times New Roman"/>
          <w:bCs/>
          <w:snapToGrid w:val="0"/>
          <w:kern w:val="0"/>
          <w:szCs w:val="21"/>
        </w:rPr>
        <w:t>招标人不得组织单个或部分投标人踏勘项目现场。</w:t>
      </w:r>
    </w:p>
    <w:p w14:paraId="346AFB8B">
      <w:pPr>
        <w:spacing w:line="500" w:lineRule="exact"/>
        <w:ind w:firstLine="420" w:firstLineChars="200"/>
        <w:rPr>
          <w:rFonts w:ascii="Times New Roman" w:hAnsi="Times New Roman"/>
        </w:rPr>
      </w:pPr>
      <w:r>
        <w:rPr>
          <w:rFonts w:ascii="Times New Roman" w:hAnsi="Times New Roman"/>
        </w:rPr>
        <w:t>1.9.2 投标人踏勘现场发生的费用自理。</w:t>
      </w:r>
    </w:p>
    <w:p w14:paraId="4DBBA171">
      <w:pPr>
        <w:spacing w:line="500" w:lineRule="exact"/>
        <w:ind w:firstLine="420" w:firstLineChars="200"/>
        <w:rPr>
          <w:rFonts w:ascii="Times New Roman" w:hAnsi="Times New Roman"/>
        </w:rPr>
      </w:pPr>
      <w:r>
        <w:rPr>
          <w:rFonts w:ascii="Times New Roman" w:hAnsi="Times New Roman"/>
        </w:rPr>
        <w:t>1.9.3 除招标人的原因外，投标人自行负责在踏勘现场中所发生的人员伤亡和财产损失。</w:t>
      </w:r>
    </w:p>
    <w:p w14:paraId="0D7B6010">
      <w:pPr>
        <w:spacing w:line="500" w:lineRule="exact"/>
        <w:ind w:firstLine="420" w:firstLineChars="200"/>
        <w:rPr>
          <w:rFonts w:ascii="Times New Roman" w:hAnsi="Times New Roman"/>
        </w:rPr>
      </w:pPr>
      <w:r>
        <w:rPr>
          <w:rFonts w:ascii="Times New Roman" w:hAnsi="Times New Roman"/>
        </w:rPr>
        <w:t>1.9.4 招标人在踏勘现场中介绍的项目场地和相关的周边环境情况，供投标人在编制投标文件时参考，招标人不对投标人据此作出的判断和决策负责。</w:t>
      </w:r>
    </w:p>
    <w:p w14:paraId="0B7BAAB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1.9.5 无论投标人是否到施工现场实地踏勘，中标后签订合同时和履约过程中，投标人不得以不完全了解现场情况或现场情况与招标文件描述不一致等为由，提出任何形式的增加服务费用或索赔的要求。</w:t>
      </w:r>
    </w:p>
    <w:p w14:paraId="29771018">
      <w:pPr>
        <w:pStyle w:val="4"/>
        <w:spacing w:before="0" w:after="0" w:line="500" w:lineRule="exact"/>
        <w:ind w:firstLine="118"/>
        <w:rPr>
          <w:rFonts w:ascii="Times New Roman" w:hAnsi="Times New Roman"/>
          <w:sz w:val="24"/>
          <w:szCs w:val="24"/>
        </w:rPr>
      </w:pPr>
      <w:r>
        <w:rPr>
          <w:rFonts w:ascii="Times New Roman" w:hAnsi="Times New Roman"/>
          <w:sz w:val="24"/>
          <w:szCs w:val="24"/>
        </w:rPr>
        <w:t>1.10 分包</w:t>
      </w:r>
    </w:p>
    <w:p w14:paraId="3DA20A50">
      <w:pPr>
        <w:spacing w:line="500" w:lineRule="exact"/>
        <w:ind w:firstLine="420" w:firstLineChars="200"/>
        <w:rPr>
          <w:rFonts w:ascii="Times New Roman" w:hAnsi="Times New Roman"/>
        </w:rPr>
      </w:pPr>
      <w:r>
        <w:rPr>
          <w:rFonts w:ascii="Times New Roman" w:hAnsi="Times New Roman"/>
        </w:rPr>
        <w:t xml:space="preserve">1.10.1 投标人拟在中标后将中标项目的部分非主体、非关键性工作进行分包的，应符合以下规定： </w:t>
      </w:r>
    </w:p>
    <w:p w14:paraId="7E62CA22">
      <w:pPr>
        <w:spacing w:line="500" w:lineRule="exact"/>
        <w:ind w:firstLine="420" w:firstLineChars="200"/>
        <w:rPr>
          <w:rFonts w:ascii="Times New Roman" w:hAnsi="Times New Roman"/>
        </w:rPr>
      </w:pPr>
      <w:r>
        <w:rPr>
          <w:rFonts w:ascii="Times New Roman" w:hAnsi="Times New Roman"/>
        </w:rPr>
        <w:t xml:space="preserve">（1）分包内容要求：允许分包的工作范围仅限于非关键性或者适合专业化队伍实施的专业工作，且经招标人认可。2）接受分包的第三人资格要求： 分包人的资格能力应与其分包工作的标准和规模相适应，且国家及行业相关规定。 </w:t>
      </w:r>
    </w:p>
    <w:p w14:paraId="3BA16B7C">
      <w:pPr>
        <w:spacing w:line="500" w:lineRule="exact"/>
        <w:ind w:firstLine="420" w:firstLineChars="200"/>
        <w:rPr>
          <w:rFonts w:ascii="Times New Roman" w:hAnsi="Times New Roman"/>
        </w:rPr>
      </w:pPr>
      <w:r>
        <w:rPr>
          <w:rFonts w:ascii="Times New Roman" w:hAnsi="Times New Roman"/>
        </w:rPr>
        <w:t>1.10.2 中标人不得向他人转让中标项目，接受分包的人不得再次分包。中标人应就分包项目向招标人负责，接受分包的人就分包项目承担连带责任。</w:t>
      </w:r>
    </w:p>
    <w:p w14:paraId="7B861E7B">
      <w:pPr>
        <w:pStyle w:val="4"/>
        <w:spacing w:before="0" w:after="0" w:line="500" w:lineRule="exact"/>
        <w:ind w:firstLine="118"/>
        <w:rPr>
          <w:rFonts w:ascii="Times New Roman" w:hAnsi="Times New Roman"/>
          <w:sz w:val="24"/>
          <w:szCs w:val="24"/>
        </w:rPr>
      </w:pPr>
      <w:r>
        <w:rPr>
          <w:rFonts w:ascii="Times New Roman" w:hAnsi="Times New Roman"/>
          <w:sz w:val="24"/>
          <w:szCs w:val="24"/>
        </w:rPr>
        <w:t>1.11 响应和偏差</w:t>
      </w:r>
    </w:p>
    <w:p w14:paraId="1130E1BA">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1.11.1 投标文件偏离招标文件某些要求，视为投标文件存在偏差。偏差包括重大偏差和细微偏差。</w:t>
      </w:r>
    </w:p>
    <w:p w14:paraId="18D9E541">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1.11.2 投标文件应对招标文件的实质性要求和条件作出满足性或更有利于招标人的响应，否则，视为投标文件存在重大偏差，投标人的投标将被否决。</w:t>
      </w:r>
    </w:p>
    <w:p w14:paraId="1A243760">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投标文件存在第三章“评标办法”中所列任一否决投标情形的，均属于存在重大偏差。</w:t>
      </w:r>
    </w:p>
    <w:p w14:paraId="0AE49AE8">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1.11.3 投标文件中的下列偏差为细微偏差：</w:t>
      </w:r>
    </w:p>
    <w:p w14:paraId="108DA3D8">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在按照第三章“评标办法”的规定对投标价进行算术性错误修正及其他错误修正后，最终投标报价未超过最高投标限价（如有）或未被否决投标的情况下，出现第三章“评标办法”规定的算术性错误和投标报价的其他错误；</w:t>
      </w:r>
    </w:p>
    <w:p w14:paraId="7FEF14CB">
      <w:pPr>
        <w:tabs>
          <w:tab w:val="left" w:pos="1014"/>
        </w:tabs>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（2）投标文件个别文字有遗漏错误等不影响投标文件实质性内容的偏差。</w:t>
      </w:r>
    </w:p>
    <w:p w14:paraId="1D3BB8EC">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1.11.4 评标委员会对投标文件中的细微偏差按如下规定处理：</w:t>
      </w:r>
    </w:p>
    <w:p w14:paraId="6706EA4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（1）对于本章第1.11.3项（1）目所述的细微偏差，按照第三章“评标办法”的规定予以修正并要求投标人进行澄清；</w:t>
      </w:r>
    </w:p>
    <w:p w14:paraId="2718BE86">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（2）对于本章第1.11.3项（2）目所述的细微偏差，可要求投标人对细微偏差进行澄清。</w:t>
      </w:r>
    </w:p>
    <w:p w14:paraId="2EFB7CAA">
      <w:pPr>
        <w:pStyle w:val="3"/>
        <w:spacing w:before="0" w:after="0" w:line="500" w:lineRule="exact"/>
        <w:rPr>
          <w:rFonts w:ascii="Times New Roman" w:hAnsi="Times New Roman"/>
          <w:b w:val="0"/>
          <w:sz w:val="28"/>
          <w:szCs w:val="18"/>
        </w:rPr>
      </w:pPr>
      <w:bookmarkStart w:id="123" w:name="_Toc16224"/>
      <w:bookmarkStart w:id="124" w:name="_Toc8902"/>
      <w:bookmarkStart w:id="125" w:name="_Toc24399"/>
      <w:bookmarkStart w:id="126" w:name="_Toc13096"/>
      <w:bookmarkStart w:id="127" w:name="_Toc4655"/>
      <w:bookmarkStart w:id="128" w:name="_Toc12216"/>
      <w:bookmarkStart w:id="129" w:name="_Toc20118"/>
      <w:r>
        <w:rPr>
          <w:rFonts w:ascii="Times New Roman" w:hAnsi="Times New Roman"/>
          <w:b w:val="0"/>
          <w:sz w:val="28"/>
          <w:szCs w:val="18"/>
        </w:rPr>
        <w:t>2. 招标文件</w:t>
      </w:r>
      <w:bookmarkEnd w:id="123"/>
      <w:bookmarkEnd w:id="124"/>
      <w:bookmarkEnd w:id="125"/>
      <w:bookmarkEnd w:id="126"/>
      <w:bookmarkEnd w:id="127"/>
      <w:bookmarkEnd w:id="128"/>
      <w:bookmarkEnd w:id="129"/>
    </w:p>
    <w:p w14:paraId="49D118EB">
      <w:pPr>
        <w:pStyle w:val="4"/>
        <w:spacing w:before="0" w:after="0" w:line="500" w:lineRule="exact"/>
        <w:ind w:firstLine="118"/>
        <w:rPr>
          <w:rFonts w:ascii="Times New Roman" w:hAnsi="Times New Roman"/>
          <w:sz w:val="24"/>
          <w:szCs w:val="24"/>
        </w:rPr>
      </w:pPr>
      <w:r>
        <w:rPr>
          <w:rFonts w:ascii="Times New Roman" w:hAnsi="Times New Roman"/>
          <w:sz w:val="24"/>
          <w:szCs w:val="24"/>
        </w:rPr>
        <w:t>2.1 招标文件的组成</w:t>
      </w:r>
    </w:p>
    <w:p w14:paraId="3C35153C">
      <w:pPr>
        <w:spacing w:line="500" w:lineRule="exact"/>
        <w:ind w:firstLine="359" w:firstLineChars="171"/>
        <w:rPr>
          <w:rFonts w:ascii="Times New Roman" w:hAnsi="Times New Roman"/>
        </w:rPr>
      </w:pPr>
      <w:r>
        <w:rPr>
          <w:rFonts w:ascii="Times New Roman" w:hAnsi="Times New Roman"/>
        </w:rPr>
        <w:t>本招标文件包括：</w:t>
      </w:r>
    </w:p>
    <w:p w14:paraId="15B1283F">
      <w:pPr>
        <w:spacing w:line="500" w:lineRule="exact"/>
        <w:ind w:firstLine="359" w:firstLineChars="171"/>
        <w:rPr>
          <w:rFonts w:ascii="Times New Roman" w:hAnsi="Times New Roman"/>
        </w:rPr>
      </w:pPr>
      <w:r>
        <w:rPr>
          <w:rFonts w:ascii="Times New Roman" w:hAnsi="Times New Roman"/>
        </w:rPr>
        <w:t>（1）招标公告（或投标邀请书）；</w:t>
      </w:r>
    </w:p>
    <w:p w14:paraId="782C4742">
      <w:pPr>
        <w:spacing w:line="500" w:lineRule="exact"/>
        <w:ind w:firstLine="359" w:firstLineChars="171"/>
        <w:rPr>
          <w:rFonts w:ascii="Times New Roman" w:hAnsi="Times New Roman"/>
        </w:rPr>
      </w:pPr>
      <w:r>
        <w:rPr>
          <w:rFonts w:ascii="Times New Roman" w:hAnsi="Times New Roman"/>
        </w:rPr>
        <w:t>（2）投标人须知；</w:t>
      </w:r>
    </w:p>
    <w:p w14:paraId="6FDEC138">
      <w:pPr>
        <w:spacing w:line="500" w:lineRule="exact"/>
        <w:ind w:firstLine="359" w:firstLineChars="171"/>
        <w:rPr>
          <w:rFonts w:ascii="Times New Roman" w:hAnsi="Times New Roman"/>
        </w:rPr>
      </w:pPr>
      <w:r>
        <w:rPr>
          <w:rFonts w:ascii="Times New Roman" w:hAnsi="Times New Roman"/>
        </w:rPr>
        <w:t>（3）评标办法；</w:t>
      </w:r>
    </w:p>
    <w:p w14:paraId="6F693AE4">
      <w:pPr>
        <w:spacing w:line="500" w:lineRule="exact"/>
        <w:ind w:firstLine="359" w:firstLineChars="171"/>
        <w:rPr>
          <w:rFonts w:ascii="Times New Roman" w:hAnsi="Times New Roman"/>
        </w:rPr>
      </w:pPr>
      <w:r>
        <w:rPr>
          <w:rFonts w:ascii="Times New Roman" w:hAnsi="Times New Roman"/>
        </w:rPr>
        <w:t>（4）合同条款及格式；</w:t>
      </w:r>
    </w:p>
    <w:p w14:paraId="2CDE5AFF">
      <w:pPr>
        <w:spacing w:line="500" w:lineRule="exact"/>
        <w:ind w:firstLine="359" w:firstLineChars="171"/>
        <w:rPr>
          <w:rFonts w:ascii="Times New Roman" w:hAnsi="Times New Roman"/>
        </w:rPr>
      </w:pPr>
      <w:r>
        <w:rPr>
          <w:rFonts w:ascii="Times New Roman" w:hAnsi="Times New Roman"/>
        </w:rPr>
        <w:t>（5）</w:t>
      </w:r>
      <w:r>
        <w:rPr>
          <w:rFonts w:hint="eastAsia" w:ascii="Times New Roman" w:hAnsi="Times New Roman"/>
        </w:rPr>
        <w:t>招标</w:t>
      </w:r>
      <w:r>
        <w:rPr>
          <w:rFonts w:ascii="Times New Roman" w:hAnsi="Times New Roman"/>
        </w:rPr>
        <w:t>人要求；</w:t>
      </w:r>
    </w:p>
    <w:p w14:paraId="5BFC3DA8">
      <w:pPr>
        <w:spacing w:line="500" w:lineRule="exact"/>
        <w:ind w:firstLine="359" w:firstLineChars="171"/>
        <w:rPr>
          <w:rFonts w:ascii="Times New Roman" w:hAnsi="Times New Roman"/>
        </w:rPr>
      </w:pPr>
      <w:r>
        <w:rPr>
          <w:rFonts w:ascii="Times New Roman" w:hAnsi="Times New Roman"/>
        </w:rPr>
        <w:t>（6）投标文件格式；</w:t>
      </w:r>
    </w:p>
    <w:p w14:paraId="3194FB55">
      <w:pPr>
        <w:spacing w:line="500" w:lineRule="exact"/>
        <w:ind w:firstLine="359" w:firstLineChars="171"/>
        <w:rPr>
          <w:rFonts w:ascii="Times New Roman" w:hAnsi="Times New Roman"/>
        </w:rPr>
      </w:pPr>
      <w:r>
        <w:rPr>
          <w:rFonts w:ascii="Times New Roman" w:hAnsi="Times New Roman"/>
        </w:rPr>
        <w:t>（7）投标人须知前附表规定的其他资料。</w:t>
      </w:r>
    </w:p>
    <w:p w14:paraId="768C6B10">
      <w:pPr>
        <w:spacing w:line="500" w:lineRule="exact"/>
        <w:ind w:firstLine="420" w:firstLineChars="200"/>
        <w:rPr>
          <w:rFonts w:ascii="Times New Roman" w:hAnsi="Times New Roman"/>
        </w:rPr>
      </w:pPr>
      <w:r>
        <w:rPr>
          <w:rFonts w:ascii="Times New Roman" w:hAnsi="Times New Roman"/>
        </w:rPr>
        <w:t>根据本章第2.3款对招标文件所做的澄清、修改，构成招标文件的组成部分。</w:t>
      </w:r>
    </w:p>
    <w:p w14:paraId="4F041C3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当招标文件、招标文件的澄清或修改等在同一内容的表述上不一致时，以最后发出的文件为准。</w:t>
      </w:r>
    </w:p>
    <w:p w14:paraId="05CE831B">
      <w:pPr>
        <w:pStyle w:val="4"/>
        <w:spacing w:before="0" w:after="0" w:line="500" w:lineRule="exact"/>
        <w:ind w:firstLine="118"/>
        <w:rPr>
          <w:rFonts w:ascii="Times New Roman" w:hAnsi="Times New Roman"/>
          <w:sz w:val="24"/>
          <w:szCs w:val="24"/>
        </w:rPr>
      </w:pPr>
      <w:r>
        <w:rPr>
          <w:rFonts w:ascii="Times New Roman" w:hAnsi="Times New Roman"/>
          <w:sz w:val="24"/>
          <w:szCs w:val="24"/>
        </w:rPr>
        <w:t>2.2 招标文件的澄清</w:t>
      </w:r>
    </w:p>
    <w:p w14:paraId="536B0B68">
      <w:pPr>
        <w:spacing w:line="500" w:lineRule="exact"/>
        <w:ind w:firstLine="420" w:firstLineChars="200"/>
        <w:rPr>
          <w:rFonts w:ascii="Times New Roman" w:hAnsi="Times New Roman"/>
        </w:rPr>
      </w:pPr>
      <w:r>
        <w:rPr>
          <w:rFonts w:ascii="Times New Roman" w:hAnsi="Times New Roman"/>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6F8AFB9F">
      <w:pPr>
        <w:spacing w:line="500" w:lineRule="exact"/>
        <w:ind w:firstLine="420" w:firstLineChars="200"/>
        <w:rPr>
          <w:rFonts w:ascii="Times New Roman" w:hAnsi="Times New Roman"/>
        </w:rPr>
      </w:pPr>
      <w:r>
        <w:rPr>
          <w:rFonts w:ascii="Times New Roman" w:hAnsi="Times New Roman"/>
        </w:rPr>
        <w:t>2.2.2</w:t>
      </w:r>
      <w:r>
        <w:rPr>
          <w:rFonts w:ascii="Times New Roman" w:hAnsi="Times New Roman"/>
          <w:szCs w:val="21"/>
        </w:rPr>
        <w:t xml:space="preserve"> </w:t>
      </w:r>
      <w:r>
        <w:rPr>
          <w:rFonts w:ascii="Times New Roman" w:hAnsi="Times New Roman"/>
          <w:bCs/>
          <w:snapToGrid w:val="0"/>
          <w:color w:val="000000"/>
          <w:kern w:val="0"/>
          <w:szCs w:val="21"/>
        </w:rPr>
        <w:t>招标文件的澄清以投标人须知前附表规定的形式发给</w:t>
      </w:r>
      <w:r>
        <w:rPr>
          <w:rFonts w:ascii="Times New Roman" w:hAnsi="Times New Roman"/>
        </w:rPr>
        <w:t>所有获取招标文件的投标人</w:t>
      </w:r>
      <w:r>
        <w:rPr>
          <w:rFonts w:ascii="Times New Roman" w:hAnsi="Times New Roman"/>
          <w:bCs/>
          <w:snapToGrid w:val="0"/>
          <w:color w:val="000000"/>
          <w:kern w:val="0"/>
          <w:szCs w:val="21"/>
        </w:rPr>
        <w:t>，但不指明澄清问题的来源。</w:t>
      </w:r>
      <w:r>
        <w:rPr>
          <w:rFonts w:ascii="Times New Roman" w:hAnsi="Times New Roman"/>
          <w:bCs/>
          <w:snapToGrid w:val="0"/>
          <w:kern w:val="0"/>
          <w:szCs w:val="21"/>
        </w:rPr>
        <w:t>澄清发出的时间距本章第4.2.1项规定的投标截止时间不足5日，且澄清内容可能影响投标文件编制的，将相应延长投标截止时间。</w:t>
      </w:r>
    </w:p>
    <w:p w14:paraId="2A9DA342">
      <w:pPr>
        <w:pStyle w:val="4"/>
        <w:spacing w:before="0" w:after="0" w:line="500" w:lineRule="exact"/>
        <w:ind w:firstLine="118"/>
        <w:rPr>
          <w:rFonts w:ascii="Times New Roman" w:hAnsi="Times New Roman"/>
          <w:sz w:val="24"/>
          <w:szCs w:val="24"/>
        </w:rPr>
      </w:pPr>
      <w:bookmarkStart w:id="130" w:name="_Toc352691479"/>
      <w:r>
        <w:rPr>
          <w:rFonts w:ascii="Times New Roman" w:hAnsi="Times New Roman"/>
          <w:sz w:val="24"/>
          <w:szCs w:val="24"/>
        </w:rPr>
        <w:t>2.3 招标文件的修</w:t>
      </w:r>
      <w:bookmarkStart w:id="131" w:name="_Toc16514"/>
      <w:bookmarkStart w:id="132" w:name="_Toc369531521"/>
      <w:r>
        <w:rPr>
          <w:rFonts w:ascii="Times New Roman" w:hAnsi="Times New Roman"/>
          <w:sz w:val="24"/>
          <w:szCs w:val="24"/>
        </w:rPr>
        <w:t>改</w:t>
      </w:r>
    </w:p>
    <w:bookmarkEnd w:id="130"/>
    <w:bookmarkEnd w:id="131"/>
    <w:bookmarkEnd w:id="132"/>
    <w:p w14:paraId="3DD8ACEC">
      <w:pPr>
        <w:spacing w:line="500" w:lineRule="exact"/>
        <w:ind w:firstLine="420" w:firstLineChars="200"/>
        <w:rPr>
          <w:rFonts w:ascii="Times New Roman" w:hAnsi="Times New Roman"/>
        </w:rPr>
      </w:pPr>
      <w:r>
        <w:rPr>
          <w:rFonts w:ascii="Times New Roman" w:hAnsi="Times New Roman"/>
        </w:rPr>
        <w:t>2.3.1</w:t>
      </w:r>
      <w:r>
        <w:rPr>
          <w:rFonts w:ascii="Times New Roman" w:hAnsi="Times New Roman"/>
          <w:szCs w:val="21"/>
        </w:rPr>
        <w:t xml:space="preserve"> </w:t>
      </w:r>
      <w:r>
        <w:rPr>
          <w:rFonts w:ascii="Times New Roman" w:hAnsi="Times New Roman"/>
          <w:bCs/>
          <w:snapToGrid w:val="0"/>
          <w:color w:val="000000"/>
          <w:kern w:val="0"/>
          <w:szCs w:val="21"/>
        </w:rPr>
        <w:t>招标人以投标人须知前附表规定的形式修改招标文件，并通知</w:t>
      </w:r>
      <w:r>
        <w:rPr>
          <w:rFonts w:ascii="Times New Roman" w:hAnsi="Times New Roman"/>
        </w:rPr>
        <w:t>所有获取招标文件的投标人</w:t>
      </w:r>
      <w:r>
        <w:rPr>
          <w:rFonts w:ascii="Times New Roman" w:hAnsi="Times New Roman"/>
          <w:bCs/>
          <w:snapToGrid w:val="0"/>
          <w:color w:val="000000"/>
          <w:kern w:val="0"/>
          <w:szCs w:val="21"/>
        </w:rPr>
        <w:t>。修改招标文件的时间距本章第4.2.1项规定的投标截止时间不足5日，且修改内容可能影响投标文件编制的，将相应延长投标截止时间。</w:t>
      </w:r>
    </w:p>
    <w:p w14:paraId="7C07614B">
      <w:pPr>
        <w:spacing w:line="500" w:lineRule="exact"/>
        <w:ind w:firstLine="420" w:firstLineChars="200"/>
        <w:rPr>
          <w:rFonts w:ascii="Times New Roman" w:hAnsi="Times New Roman"/>
        </w:rPr>
      </w:pPr>
      <w:r>
        <w:rPr>
          <w:rFonts w:ascii="Times New Roman" w:hAnsi="Times New Roman"/>
        </w:rPr>
        <w:t>2.3.2 投标人收到修改内容</w:t>
      </w:r>
      <w:bookmarkStart w:id="133" w:name="_Toc24632"/>
      <w:bookmarkStart w:id="134" w:name="_Toc300834958"/>
      <w:bookmarkStart w:id="135" w:name="_Toc144974506"/>
      <w:bookmarkStart w:id="136" w:name="_Toc247513961"/>
      <w:bookmarkStart w:id="137" w:name="_Toc152045538"/>
      <w:bookmarkStart w:id="138" w:name="_Toc369531524"/>
      <w:bookmarkStart w:id="139" w:name="_Toc361508593"/>
      <w:bookmarkStart w:id="140" w:name="_Toc384308218"/>
      <w:bookmarkStart w:id="141" w:name="_Toc152042314"/>
      <w:bookmarkStart w:id="142" w:name="_Toc247527562"/>
      <w:bookmarkStart w:id="143" w:name="_Toc352691482"/>
      <w:r>
        <w:rPr>
          <w:rFonts w:ascii="Times New Roman" w:hAnsi="Times New Roman"/>
        </w:rPr>
        <w:t>后，</w:t>
      </w:r>
      <w:bookmarkEnd w:id="133"/>
      <w:bookmarkEnd w:id="134"/>
      <w:bookmarkEnd w:id="135"/>
      <w:bookmarkEnd w:id="136"/>
      <w:bookmarkEnd w:id="137"/>
      <w:bookmarkEnd w:id="138"/>
      <w:bookmarkEnd w:id="139"/>
      <w:bookmarkEnd w:id="140"/>
      <w:bookmarkEnd w:id="141"/>
      <w:bookmarkEnd w:id="142"/>
      <w:bookmarkEnd w:id="143"/>
      <w:bookmarkStart w:id="144" w:name="_Toc369531526"/>
      <w:bookmarkStart w:id="145" w:name="_Toc247513963"/>
      <w:bookmarkStart w:id="146" w:name="_Toc144974508"/>
      <w:bookmarkStart w:id="147" w:name="_Toc300834960"/>
      <w:bookmarkStart w:id="148" w:name="_Toc352691484"/>
      <w:bookmarkStart w:id="149" w:name="_Toc247527564"/>
      <w:bookmarkStart w:id="150" w:name="_Toc384308220"/>
      <w:bookmarkStart w:id="151" w:name="_Toc152045540"/>
      <w:bookmarkStart w:id="152" w:name="_Toc361508595"/>
      <w:bookmarkStart w:id="153" w:name="_Toc16623"/>
      <w:bookmarkStart w:id="154" w:name="_Toc152042316"/>
      <w:r>
        <w:rPr>
          <w:rFonts w:ascii="Times New Roman" w:hAnsi="Times New Roman"/>
        </w:rPr>
        <w:t>应按投标人须知前附表规定的时间和形式通知招标人，确认已收到该修改。</w:t>
      </w:r>
    </w:p>
    <w:bookmarkEnd w:id="144"/>
    <w:bookmarkEnd w:id="145"/>
    <w:bookmarkEnd w:id="146"/>
    <w:bookmarkEnd w:id="147"/>
    <w:bookmarkEnd w:id="148"/>
    <w:bookmarkEnd w:id="149"/>
    <w:bookmarkEnd w:id="150"/>
    <w:bookmarkEnd w:id="151"/>
    <w:bookmarkEnd w:id="152"/>
    <w:bookmarkEnd w:id="153"/>
    <w:bookmarkEnd w:id="154"/>
    <w:p w14:paraId="0437F999">
      <w:pPr>
        <w:pStyle w:val="3"/>
        <w:spacing w:before="0" w:after="0" w:line="500" w:lineRule="exact"/>
        <w:rPr>
          <w:rFonts w:ascii="Times New Roman" w:hAnsi="Times New Roman"/>
          <w:b w:val="0"/>
          <w:sz w:val="28"/>
          <w:szCs w:val="18"/>
        </w:rPr>
      </w:pPr>
      <w:bookmarkStart w:id="155" w:name="_Toc28151"/>
      <w:bookmarkStart w:id="156" w:name="_Toc6140"/>
      <w:bookmarkStart w:id="157" w:name="_Toc22624"/>
      <w:bookmarkStart w:id="158" w:name="_Toc15985"/>
      <w:bookmarkStart w:id="159" w:name="_Toc17508"/>
      <w:bookmarkStart w:id="160" w:name="_Toc6815"/>
      <w:bookmarkStart w:id="161" w:name="_Toc4941"/>
      <w:r>
        <w:rPr>
          <w:rFonts w:ascii="Times New Roman" w:hAnsi="Times New Roman"/>
          <w:b w:val="0"/>
          <w:sz w:val="28"/>
          <w:szCs w:val="18"/>
        </w:rPr>
        <w:t>3. 投标文件</w:t>
      </w:r>
      <w:bookmarkEnd w:id="155"/>
      <w:bookmarkEnd w:id="156"/>
      <w:bookmarkEnd w:id="157"/>
      <w:bookmarkEnd w:id="158"/>
      <w:bookmarkEnd w:id="159"/>
      <w:bookmarkEnd w:id="160"/>
      <w:bookmarkEnd w:id="161"/>
    </w:p>
    <w:p w14:paraId="1B3A1CA7">
      <w:pPr>
        <w:pStyle w:val="4"/>
        <w:spacing w:before="0" w:after="0" w:line="500" w:lineRule="exact"/>
        <w:ind w:firstLine="118"/>
        <w:rPr>
          <w:rFonts w:ascii="Times New Roman" w:hAnsi="Times New Roman"/>
          <w:sz w:val="24"/>
          <w:szCs w:val="24"/>
        </w:rPr>
      </w:pPr>
      <w:r>
        <w:rPr>
          <w:rFonts w:ascii="Times New Roman" w:hAnsi="Times New Roman"/>
          <w:sz w:val="24"/>
          <w:szCs w:val="24"/>
        </w:rPr>
        <w:t>3.1 投标文件的组成</w:t>
      </w:r>
    </w:p>
    <w:p w14:paraId="141DAFCA">
      <w:pPr>
        <w:spacing w:line="500" w:lineRule="exact"/>
        <w:ind w:firstLine="420"/>
        <w:rPr>
          <w:rFonts w:ascii="Times New Roman" w:hAnsi="Times New Roman"/>
        </w:rPr>
      </w:pPr>
      <w:r>
        <w:rPr>
          <w:rFonts w:ascii="Times New Roman" w:hAnsi="Times New Roman"/>
        </w:rPr>
        <w:t>3.1.1 投标文件应包括下列内容：</w:t>
      </w:r>
    </w:p>
    <w:p w14:paraId="5368D85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商务及技术文件：</w:t>
      </w:r>
    </w:p>
    <w:p w14:paraId="6ECB513A">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（1）投标函（不含报价）；</w:t>
      </w:r>
    </w:p>
    <w:p w14:paraId="65471170">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（2）法定代表人身份证明或授权委托书；</w:t>
      </w:r>
    </w:p>
    <w:p w14:paraId="7C62583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（3）联合体协议书；</w:t>
      </w:r>
    </w:p>
    <w:p w14:paraId="147067B2">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（4）投标保证金；</w:t>
      </w:r>
    </w:p>
    <w:p w14:paraId="36CB8109">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（5）拟委任的主要人员汇总表；</w:t>
      </w:r>
    </w:p>
    <w:p w14:paraId="73C6392C">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（6）资格审查资料；</w:t>
      </w:r>
    </w:p>
    <w:p w14:paraId="743415BE">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（7）技术方案；</w:t>
      </w:r>
    </w:p>
    <w:p w14:paraId="1C4E3FD0">
      <w:pPr>
        <w:spacing w:line="500" w:lineRule="exact"/>
        <w:ind w:firstLine="420"/>
        <w:rPr>
          <w:rFonts w:ascii="Times New Roman" w:hAnsi="Times New Roman"/>
          <w:bCs/>
          <w:snapToGrid w:val="0"/>
          <w:kern w:val="0"/>
          <w:szCs w:val="21"/>
        </w:rPr>
      </w:pPr>
      <w:r>
        <w:rPr>
          <w:rFonts w:ascii="Times New Roman" w:hAnsi="Times New Roman"/>
          <w:bCs/>
          <w:snapToGrid w:val="0"/>
          <w:kern w:val="0"/>
          <w:szCs w:val="21"/>
        </w:rPr>
        <w:t>（8）其他资料。</w:t>
      </w:r>
    </w:p>
    <w:p w14:paraId="7E29505E">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报价文件：</w:t>
      </w:r>
    </w:p>
    <w:p w14:paraId="4BC67961">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（1）投标函（含报价）；</w:t>
      </w:r>
    </w:p>
    <w:p w14:paraId="07B7434E">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w:t>
      </w:r>
      <w:r>
        <w:rPr>
          <w:rFonts w:ascii="Times New Roman" w:hAnsi="Times New Roman"/>
        </w:rPr>
        <w:t>分项报价表（如有）</w:t>
      </w:r>
      <w:r>
        <w:rPr>
          <w:rFonts w:ascii="Times New Roman" w:hAnsi="Times New Roman"/>
          <w:bCs/>
          <w:snapToGrid w:val="0"/>
          <w:kern w:val="0"/>
          <w:szCs w:val="21"/>
        </w:rPr>
        <w:t>；</w:t>
      </w:r>
    </w:p>
    <w:p w14:paraId="594FB1F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（3）其他资料。</w:t>
      </w:r>
    </w:p>
    <w:p w14:paraId="146303A0">
      <w:pPr>
        <w:spacing w:line="500" w:lineRule="exact"/>
        <w:ind w:firstLine="359" w:firstLineChars="171"/>
        <w:rPr>
          <w:rFonts w:ascii="Times New Roman" w:hAnsi="Times New Roman"/>
        </w:rPr>
      </w:pPr>
      <w:r>
        <w:rPr>
          <w:rFonts w:ascii="Times New Roman" w:hAnsi="Times New Roman"/>
        </w:rPr>
        <w:t>3.1.2 投标人须知前附表规定不接受联合体投标的，或投标人没有组成联合体的，投标文件不包括本章第3.1.1（3）目所指的联合体协议书。</w:t>
      </w:r>
    </w:p>
    <w:p w14:paraId="5CCB55D6">
      <w:pPr>
        <w:spacing w:line="500" w:lineRule="exact"/>
        <w:ind w:firstLine="359" w:firstLineChars="171"/>
        <w:rPr>
          <w:rFonts w:ascii="Times New Roman" w:hAnsi="Times New Roman"/>
        </w:rPr>
      </w:pPr>
      <w:r>
        <w:rPr>
          <w:rFonts w:ascii="Times New Roman" w:hAnsi="Times New Roman"/>
        </w:rPr>
        <w:t>3.1.3 投标人须知前附表未要求提交投标保证金的，投标文件不包括本章第3.1.1（4）目所指的投标保证金。</w:t>
      </w:r>
    </w:p>
    <w:p w14:paraId="1623617E">
      <w:pPr>
        <w:pStyle w:val="4"/>
        <w:spacing w:before="0" w:after="0" w:line="500" w:lineRule="exact"/>
        <w:ind w:firstLine="118"/>
        <w:rPr>
          <w:rFonts w:ascii="Times New Roman" w:hAnsi="Times New Roman"/>
          <w:sz w:val="24"/>
          <w:szCs w:val="24"/>
        </w:rPr>
      </w:pPr>
      <w:r>
        <w:rPr>
          <w:rFonts w:ascii="Times New Roman" w:hAnsi="Times New Roman"/>
          <w:sz w:val="24"/>
          <w:szCs w:val="24"/>
        </w:rPr>
        <w:t>3.2 投标报价</w:t>
      </w:r>
    </w:p>
    <w:p w14:paraId="30B25626">
      <w:pPr>
        <w:spacing w:line="500" w:lineRule="exact"/>
        <w:ind w:firstLine="420" w:firstLineChars="200"/>
        <w:rPr>
          <w:rFonts w:ascii="Times New Roman" w:hAnsi="Times New Roman"/>
        </w:rPr>
      </w:pPr>
      <w:r>
        <w:rPr>
          <w:rFonts w:ascii="Times New Roman" w:hAnsi="Times New Roman"/>
        </w:rPr>
        <w:t>3.2.1 投标报价应包括国家规定的增值税税金，除投标人须知前附表另有规定外，增值税税金按一般计税方法计算。投标人应按第六章“投标文件格式”的要求在投标函中进行报价并填写分项报价表（如有）。</w:t>
      </w:r>
    </w:p>
    <w:p w14:paraId="508136DF">
      <w:pPr>
        <w:spacing w:line="500" w:lineRule="exact"/>
        <w:ind w:firstLine="420" w:firstLineChars="200"/>
        <w:rPr>
          <w:rFonts w:ascii="Times New Roman" w:hAnsi="Times New Roman"/>
        </w:rPr>
      </w:pPr>
      <w:r>
        <w:rPr>
          <w:rFonts w:ascii="Times New Roman" w:hAnsi="Times New Roman"/>
        </w:rPr>
        <w:t>3.2.2 投标人应充分了解该项目的总体情况以及影响投标报价的其他要素。</w:t>
      </w:r>
    </w:p>
    <w:p w14:paraId="055B88FE">
      <w:pPr>
        <w:spacing w:line="500" w:lineRule="exact"/>
        <w:ind w:firstLine="420" w:firstLineChars="200"/>
        <w:rPr>
          <w:rFonts w:ascii="Times New Roman" w:hAnsi="Times New Roman"/>
        </w:rPr>
      </w:pPr>
      <w:r>
        <w:rPr>
          <w:rFonts w:ascii="Times New Roman" w:hAnsi="Times New Roman"/>
        </w:rPr>
        <w:t>3.2.3</w:t>
      </w:r>
      <w:bookmarkStart w:id="162" w:name="_Toc152042319"/>
      <w:bookmarkEnd w:id="162"/>
      <w:bookmarkStart w:id="163" w:name="_Toc300834964"/>
      <w:bookmarkEnd w:id="163"/>
      <w:bookmarkStart w:id="164" w:name="_Toc384308224"/>
      <w:bookmarkEnd w:id="164"/>
      <w:bookmarkStart w:id="165" w:name="_Toc369531530"/>
      <w:bookmarkEnd w:id="165"/>
      <w:bookmarkStart w:id="166" w:name="_Toc152045543"/>
      <w:bookmarkEnd w:id="166"/>
      <w:bookmarkStart w:id="167" w:name="_Toc361508599"/>
      <w:bookmarkEnd w:id="167"/>
      <w:bookmarkStart w:id="168" w:name="_Toc247527568"/>
      <w:bookmarkEnd w:id="168"/>
      <w:bookmarkStart w:id="169" w:name="_Toc144974511"/>
      <w:bookmarkEnd w:id="169"/>
      <w:bookmarkStart w:id="170" w:name="_Toc15242"/>
      <w:bookmarkEnd w:id="170"/>
      <w:bookmarkStart w:id="171" w:name="_Toc352691487"/>
      <w:bookmarkEnd w:id="171"/>
      <w:bookmarkStart w:id="172" w:name="_Toc247513967"/>
      <w:bookmarkEnd w:id="172"/>
      <w:r>
        <w:rPr>
          <w:rFonts w:ascii="Times New Roman" w:hAnsi="Times New Roman"/>
        </w:rPr>
        <w:t xml:space="preserve"> 本项目的报价方式见投标人须知前附表。投标人在投标截止时间前修改投标函中的投标报价总额，应同时修改投标文件“分项报价表”（如有）中的相应报价。此修改须符合本章第4.3款的有关要求。</w:t>
      </w:r>
    </w:p>
    <w:p w14:paraId="4F8EB1E0">
      <w:pPr>
        <w:spacing w:line="500" w:lineRule="exact"/>
        <w:ind w:firstLine="420" w:firstLineChars="200"/>
        <w:rPr>
          <w:rFonts w:ascii="Times New Roman" w:hAnsi="Times New Roman"/>
        </w:rPr>
      </w:pPr>
      <w:r>
        <w:rPr>
          <w:rFonts w:ascii="Times New Roman" w:hAnsi="Times New Roman"/>
        </w:rPr>
        <w:t>3.2.4 招标人设有最高投标限价的，投标人的投标报价不得超过最高投标限价，最高投标限价在投标</w:t>
      </w:r>
      <w:bookmarkStart w:id="173" w:name="_Toc384308225"/>
      <w:bookmarkStart w:id="174" w:name="_Toc152042320"/>
      <w:bookmarkStart w:id="175" w:name="_Toc247527569"/>
      <w:bookmarkStart w:id="176" w:name="_Toc10429"/>
      <w:bookmarkStart w:id="177" w:name="_Toc300834965"/>
      <w:bookmarkStart w:id="178" w:name="_Toc361508600"/>
      <w:bookmarkStart w:id="179" w:name="_Toc247513968"/>
      <w:bookmarkStart w:id="180" w:name="_Toc152045544"/>
      <w:bookmarkStart w:id="181" w:name="_Toc144974512"/>
      <w:bookmarkStart w:id="182" w:name="_Toc352691488"/>
      <w:bookmarkStart w:id="183" w:name="_Toc369531531"/>
      <w:r>
        <w:rPr>
          <w:rFonts w:ascii="Times New Roman" w:hAnsi="Times New Roman"/>
        </w:rPr>
        <w:t>人须知前附表中载明。</w:t>
      </w:r>
      <w:bookmarkEnd w:id="173"/>
      <w:bookmarkEnd w:id="174"/>
      <w:bookmarkEnd w:id="175"/>
      <w:bookmarkEnd w:id="176"/>
      <w:bookmarkEnd w:id="177"/>
      <w:bookmarkEnd w:id="178"/>
      <w:bookmarkEnd w:id="179"/>
      <w:bookmarkEnd w:id="180"/>
      <w:bookmarkEnd w:id="181"/>
      <w:bookmarkEnd w:id="182"/>
      <w:bookmarkEnd w:id="183"/>
    </w:p>
    <w:p w14:paraId="74C11CC6">
      <w:pPr>
        <w:spacing w:line="500" w:lineRule="exact"/>
        <w:ind w:firstLine="420" w:firstLineChars="200"/>
        <w:rPr>
          <w:rFonts w:ascii="Times New Roman" w:hAnsi="Times New Roman"/>
        </w:rPr>
      </w:pPr>
      <w:r>
        <w:rPr>
          <w:rFonts w:ascii="Times New Roman" w:hAnsi="Times New Roman"/>
        </w:rPr>
        <w:t>3.2.5 投标报价的其他要求见投标人须知前附表。</w:t>
      </w:r>
    </w:p>
    <w:p w14:paraId="58327A59">
      <w:pPr>
        <w:pStyle w:val="4"/>
        <w:spacing w:before="0" w:after="0" w:line="500" w:lineRule="exact"/>
        <w:ind w:firstLine="118"/>
        <w:rPr>
          <w:rFonts w:ascii="Times New Roman" w:hAnsi="Times New Roman"/>
          <w:sz w:val="24"/>
          <w:szCs w:val="24"/>
        </w:rPr>
      </w:pPr>
      <w:r>
        <w:rPr>
          <w:rFonts w:ascii="Times New Roman" w:hAnsi="Times New Roman"/>
          <w:sz w:val="24"/>
          <w:szCs w:val="24"/>
        </w:rPr>
        <w:t>3.3 投标有效期</w:t>
      </w:r>
    </w:p>
    <w:p w14:paraId="6869DA9E">
      <w:pPr>
        <w:spacing w:line="500" w:lineRule="exact"/>
        <w:ind w:firstLine="420" w:firstLineChars="200"/>
        <w:rPr>
          <w:rFonts w:ascii="Times New Roman" w:hAnsi="Times New Roman"/>
        </w:rPr>
      </w:pPr>
      <w:r>
        <w:rPr>
          <w:rFonts w:ascii="Times New Roman" w:hAnsi="Times New Roman"/>
        </w:rPr>
        <w:t>3.3.1 除投标人须知前附表另有规定外，投标有效期为120日。</w:t>
      </w:r>
    </w:p>
    <w:p w14:paraId="7990D55A">
      <w:pPr>
        <w:spacing w:line="500" w:lineRule="exact"/>
        <w:ind w:firstLine="420" w:firstLineChars="200"/>
        <w:rPr>
          <w:rFonts w:ascii="Times New Roman" w:hAnsi="Times New Roman"/>
        </w:rPr>
      </w:pPr>
      <w:r>
        <w:rPr>
          <w:rFonts w:ascii="Times New Roman" w:hAnsi="Times New Roman"/>
        </w:rPr>
        <w:t>3.3.2 在投标有效期内，投标人撤销投标文件的，应承担招标文件和法律规定的责任。</w:t>
      </w:r>
    </w:p>
    <w:p w14:paraId="1D0FFE11">
      <w:pPr>
        <w:spacing w:line="500" w:lineRule="exact"/>
        <w:ind w:firstLine="420" w:firstLineChars="200"/>
        <w:rPr>
          <w:rFonts w:ascii="Times New Roman" w:hAnsi="Times New Roman"/>
        </w:rPr>
      </w:pPr>
      <w:r>
        <w:rPr>
          <w:rFonts w:ascii="Times New Roman" w:hAnsi="Times New Roman"/>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14:paraId="5BF4D7B0">
      <w:pPr>
        <w:pStyle w:val="4"/>
        <w:spacing w:before="0" w:after="0" w:line="500" w:lineRule="exact"/>
        <w:ind w:firstLine="118"/>
        <w:rPr>
          <w:rFonts w:ascii="Times New Roman" w:hAnsi="Times New Roman"/>
          <w:sz w:val="24"/>
          <w:szCs w:val="24"/>
        </w:rPr>
      </w:pPr>
      <w:r>
        <w:rPr>
          <w:rFonts w:ascii="Times New Roman" w:hAnsi="Times New Roman"/>
          <w:sz w:val="24"/>
          <w:szCs w:val="24"/>
        </w:rPr>
        <w:t>3.4 投标保证金</w:t>
      </w:r>
    </w:p>
    <w:p w14:paraId="220B156A">
      <w:pPr>
        <w:spacing w:line="500" w:lineRule="exact"/>
        <w:ind w:firstLine="420" w:firstLineChars="200"/>
        <w:rPr>
          <w:rFonts w:ascii="Times New Roman" w:hAnsi="Times New Roman"/>
        </w:rPr>
      </w:pPr>
      <w:r>
        <w:rPr>
          <w:rFonts w:ascii="Times New Roman" w:hAnsi="Times New Roman"/>
        </w:rP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14:paraId="64447F02">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无论采取何种形式的投标保证金，投标保证金有效期均应与投标有效期一致。招标人如果按本章第3.3.3项的规定延长了投标有效期，则投标保证金的有效期也相应延长。</w:t>
      </w:r>
    </w:p>
    <w:p w14:paraId="498D0BCE">
      <w:pPr>
        <w:spacing w:line="500" w:lineRule="exact"/>
        <w:ind w:firstLine="420" w:firstLineChars="200"/>
        <w:jc w:val="left"/>
        <w:rPr>
          <w:rFonts w:ascii="Times New Roman" w:hAnsi="Times New Roman"/>
        </w:rPr>
      </w:pPr>
      <w:r>
        <w:rPr>
          <w:rFonts w:ascii="Times New Roman" w:hAnsi="Times New Roman"/>
        </w:rPr>
        <w:t>3.4.2 投标人不按本章第3.4.1项</w:t>
      </w:r>
      <w:bookmarkStart w:id="184" w:name="_Toc29025"/>
      <w:bookmarkStart w:id="185" w:name="_Toc361508602"/>
      <w:bookmarkStart w:id="186" w:name="_Toc369531533"/>
      <w:bookmarkStart w:id="187" w:name="_Toc352691490"/>
      <w:bookmarkStart w:id="188" w:name="_Toc384308227"/>
      <w:r>
        <w:rPr>
          <w:rFonts w:ascii="Times New Roman" w:hAnsi="Times New Roman"/>
        </w:rPr>
        <w:t>要求提交投标保证金的，</w:t>
      </w:r>
      <w:bookmarkEnd w:id="184"/>
      <w:bookmarkEnd w:id="185"/>
      <w:bookmarkEnd w:id="186"/>
      <w:bookmarkEnd w:id="187"/>
      <w:bookmarkEnd w:id="188"/>
      <w:r>
        <w:rPr>
          <w:rFonts w:ascii="Times New Roman" w:hAnsi="Times New Roman"/>
        </w:rPr>
        <w:t>评标委员会将否决其投标。</w:t>
      </w:r>
    </w:p>
    <w:p w14:paraId="5D6B8BED">
      <w:pPr>
        <w:spacing w:line="500" w:lineRule="exact"/>
        <w:ind w:firstLine="420" w:firstLineChars="200"/>
        <w:rPr>
          <w:rFonts w:ascii="Times New Roman" w:hAnsi="Times New Roman"/>
          <w:bCs/>
          <w:snapToGrid w:val="0"/>
          <w:kern w:val="0"/>
          <w:szCs w:val="21"/>
        </w:rPr>
      </w:pPr>
      <w:r>
        <w:rPr>
          <w:rFonts w:ascii="Times New Roman" w:hAnsi="Times New Roman"/>
        </w:rPr>
        <w:t xml:space="preserve">3.4.3 </w:t>
      </w:r>
      <w:r>
        <w:rPr>
          <w:rFonts w:ascii="Times New Roman" w:hAnsi="Times New Roman"/>
          <w:bCs/>
          <w:snapToGrid w:val="0"/>
          <w:kern w:val="0"/>
          <w:szCs w:val="21"/>
        </w:rPr>
        <w:t>招标人最迟将在中标通知书发出后5日内向中标候选人以外的其他投标人退还投标保证金，与中标人签订合同后5日内向中标人和其他中标候选人退还投标保证金。</w:t>
      </w:r>
    </w:p>
    <w:p w14:paraId="268176B0">
      <w:pPr>
        <w:spacing w:line="500" w:lineRule="exact"/>
        <w:ind w:firstLine="420" w:firstLineChars="200"/>
        <w:rPr>
          <w:rFonts w:ascii="Times New Roman" w:hAnsi="Times New Roman"/>
          <w:color w:val="000000"/>
        </w:rPr>
      </w:pPr>
      <w:r>
        <w:rPr>
          <w:rFonts w:ascii="Times New Roman" w:hAnsi="Times New Roman"/>
          <w:color w:val="000000"/>
        </w:rPr>
        <w:t xml:space="preserve">3.4.4 有下列情形之一的，投标保证金将不予退还： </w:t>
      </w:r>
    </w:p>
    <w:p w14:paraId="29F95909">
      <w:pPr>
        <w:spacing w:line="500" w:lineRule="exact"/>
        <w:ind w:firstLine="420" w:firstLineChars="200"/>
        <w:rPr>
          <w:rFonts w:ascii="Times New Roman" w:hAnsi="Times New Roman"/>
          <w:color w:val="000000"/>
        </w:rPr>
      </w:pPr>
      <w:r>
        <w:rPr>
          <w:rFonts w:ascii="Times New Roman" w:hAnsi="Times New Roman"/>
          <w:color w:val="000000"/>
        </w:rPr>
        <w:t>（1）投标人在规定的投标有效期内撤销其投标文件；</w:t>
      </w:r>
    </w:p>
    <w:p w14:paraId="3A58AD42">
      <w:pPr>
        <w:spacing w:line="500" w:lineRule="exact"/>
        <w:ind w:firstLine="420" w:firstLineChars="200"/>
        <w:rPr>
          <w:rFonts w:ascii="Times New Roman" w:hAnsi="Times New Roman"/>
          <w:color w:val="000000"/>
        </w:rPr>
      </w:pPr>
      <w:r>
        <w:rPr>
          <w:rFonts w:ascii="Times New Roman" w:hAnsi="Times New Roman"/>
          <w:color w:val="000000"/>
        </w:rPr>
        <w:t>（2）中标人在收到中标通知书后，无正当理由不与招标人订立合同，在签订合同时向招标人提出附加条件，或不按照招标文件要求提交履约保证金；</w:t>
      </w:r>
    </w:p>
    <w:p w14:paraId="1D1DC7BD">
      <w:pPr>
        <w:spacing w:line="500" w:lineRule="exact"/>
        <w:ind w:firstLine="420" w:firstLineChars="200"/>
        <w:rPr>
          <w:rFonts w:ascii="Times New Roman" w:hAnsi="Times New Roman"/>
          <w:color w:val="000000"/>
        </w:rPr>
      </w:pPr>
      <w:r>
        <w:rPr>
          <w:rFonts w:ascii="Times New Roman" w:hAnsi="Times New Roman"/>
          <w:color w:val="000000"/>
        </w:rPr>
        <w:t>（3）发生投标人须知前附表规定的其他可以不予退还投标保证金的情形。</w:t>
      </w:r>
    </w:p>
    <w:p w14:paraId="36614EBD">
      <w:pPr>
        <w:pStyle w:val="4"/>
        <w:spacing w:before="0" w:after="0" w:line="500" w:lineRule="exact"/>
        <w:ind w:firstLine="118"/>
        <w:rPr>
          <w:rFonts w:ascii="Times New Roman" w:hAnsi="Times New Roman"/>
          <w:sz w:val="24"/>
          <w:szCs w:val="18"/>
        </w:rPr>
      </w:pPr>
      <w:r>
        <w:rPr>
          <w:rFonts w:ascii="Times New Roman" w:hAnsi="Times New Roman"/>
          <w:sz w:val="24"/>
          <w:szCs w:val="18"/>
        </w:rPr>
        <w:t>3.5 资格审查资料</w:t>
      </w:r>
    </w:p>
    <w:p w14:paraId="0E456B71">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3.5.1投标人应按投标人须知前附表附录要求提供资格审查资料，内容及格式见第六章“投标文件格式”要求。</w:t>
      </w:r>
    </w:p>
    <w:p w14:paraId="1FBFCAAE">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3.5.2 投标人须知前附表规定接受联合体投标的，资格审查资料应包括联合体各方相关情况。</w:t>
      </w:r>
    </w:p>
    <w:p w14:paraId="246C707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14:paraId="7A9ED0BC">
      <w:pPr>
        <w:pStyle w:val="4"/>
        <w:spacing w:before="0" w:after="0" w:line="500" w:lineRule="exact"/>
        <w:ind w:firstLine="118"/>
        <w:rPr>
          <w:rFonts w:ascii="Times New Roman" w:hAnsi="Times New Roman"/>
          <w:sz w:val="24"/>
          <w:szCs w:val="18"/>
        </w:rPr>
      </w:pPr>
      <w:r>
        <w:rPr>
          <w:rFonts w:ascii="Times New Roman" w:hAnsi="Times New Roman"/>
          <w:sz w:val="24"/>
          <w:szCs w:val="18"/>
        </w:rPr>
        <w:t>3.6 备选投标方案</w:t>
      </w:r>
    </w:p>
    <w:p w14:paraId="027656C5">
      <w:pPr>
        <w:spacing w:line="500" w:lineRule="exact"/>
        <w:ind w:firstLine="420" w:firstLineChars="200"/>
        <w:rPr>
          <w:rFonts w:ascii="Times New Roman" w:hAnsi="Times New Roman"/>
        </w:rPr>
      </w:pPr>
      <w:r>
        <w:rPr>
          <w:rFonts w:ascii="Times New Roman" w:hAnsi="Times New Roman"/>
        </w:rPr>
        <w:t>3.6.1 除投标人须知前附表规定允许外，投标人不得递交备选投标方案，否则其投标将被否决。</w:t>
      </w:r>
    </w:p>
    <w:p w14:paraId="16B2F390">
      <w:pPr>
        <w:spacing w:line="500" w:lineRule="exact"/>
        <w:ind w:firstLine="420" w:firstLineChars="200"/>
        <w:rPr>
          <w:rFonts w:ascii="Times New Roman" w:hAnsi="Times New Roman"/>
        </w:rPr>
      </w:pPr>
      <w:r>
        <w:rPr>
          <w:rFonts w:ascii="Times New Roman" w:hAnsi="Times New Roman"/>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43617F7C">
      <w:pPr>
        <w:spacing w:line="500" w:lineRule="exact"/>
        <w:ind w:firstLine="420" w:firstLineChars="200"/>
        <w:rPr>
          <w:rFonts w:ascii="Times New Roman" w:hAnsi="Times New Roman"/>
        </w:rPr>
      </w:pPr>
      <w:r>
        <w:rPr>
          <w:rFonts w:ascii="Times New Roman" w:hAnsi="Times New Roman"/>
        </w:rPr>
        <w:t>3.6.3 投标人提供两个或两个以上投标报价，或者在投标文件中提供一个报价，但同时提供两个或两个以上</w:t>
      </w:r>
      <w:bookmarkStart w:id="189" w:name="_Toc29902"/>
      <w:bookmarkStart w:id="190" w:name="_Toc144974518"/>
      <w:bookmarkStart w:id="191" w:name="_Toc300834971"/>
      <w:bookmarkStart w:id="192" w:name="_Toc384308232"/>
      <w:bookmarkStart w:id="193" w:name="_Toc247513974"/>
      <w:bookmarkStart w:id="194" w:name="_Toc152045550"/>
      <w:bookmarkStart w:id="195" w:name="_Toc369531538"/>
      <w:bookmarkStart w:id="196" w:name="_Toc352691495"/>
      <w:bookmarkStart w:id="197" w:name="_Toc152042326"/>
      <w:bookmarkStart w:id="198" w:name="_Toc361508607"/>
      <w:bookmarkStart w:id="199" w:name="_Toc247527575"/>
      <w:r>
        <w:rPr>
          <w:rFonts w:ascii="Times New Roman" w:hAnsi="Times New Roman"/>
        </w:rPr>
        <w:t>技术方案的</w:t>
      </w:r>
      <w:bookmarkEnd w:id="189"/>
      <w:bookmarkEnd w:id="190"/>
      <w:bookmarkEnd w:id="191"/>
      <w:bookmarkEnd w:id="192"/>
      <w:bookmarkEnd w:id="193"/>
      <w:bookmarkEnd w:id="194"/>
      <w:bookmarkEnd w:id="195"/>
      <w:bookmarkEnd w:id="196"/>
      <w:bookmarkEnd w:id="197"/>
      <w:bookmarkEnd w:id="198"/>
      <w:bookmarkEnd w:id="199"/>
      <w:r>
        <w:rPr>
          <w:rFonts w:ascii="Times New Roman" w:hAnsi="Times New Roman"/>
        </w:rPr>
        <w:t>，视为提供备选方案。</w:t>
      </w:r>
    </w:p>
    <w:p w14:paraId="161806E9">
      <w:pPr>
        <w:pStyle w:val="4"/>
        <w:spacing w:before="0" w:after="0" w:line="500" w:lineRule="exact"/>
        <w:ind w:firstLine="118"/>
        <w:rPr>
          <w:rFonts w:ascii="Times New Roman" w:hAnsi="Times New Roman"/>
          <w:sz w:val="24"/>
          <w:szCs w:val="18"/>
        </w:rPr>
      </w:pPr>
      <w:r>
        <w:rPr>
          <w:rFonts w:ascii="Times New Roman" w:hAnsi="Times New Roman"/>
          <w:sz w:val="24"/>
          <w:szCs w:val="18"/>
        </w:rPr>
        <w:t>3.7 投标文件的编制</w:t>
      </w:r>
    </w:p>
    <w:p w14:paraId="4046A66E">
      <w:pPr>
        <w:spacing w:line="500" w:lineRule="exact"/>
        <w:ind w:firstLine="420" w:firstLineChars="200"/>
        <w:rPr>
          <w:rFonts w:ascii="Times New Roman" w:hAnsi="Times New Roman"/>
        </w:rPr>
      </w:pPr>
      <w:r>
        <w:rPr>
          <w:rFonts w:ascii="Times New Roman" w:hAnsi="Times New Roman"/>
        </w:rPr>
        <w:t>3.7.1 投标文件应按第六章“投标文件格式”进行编写，如有必要，可以增加附页，作为投标文件的组成部分。其中，投标函附录在满足招标文件实质性要求的基础上，可以提出比招标文件要求更有利于招标人的承诺。</w:t>
      </w:r>
      <w:r>
        <w:rPr>
          <w:rFonts w:ascii="Times New Roman" w:hAnsi="Times New Roman"/>
          <w:bCs/>
          <w:snapToGrid w:val="0"/>
          <w:kern w:val="0"/>
          <w:szCs w:val="21"/>
        </w:rPr>
        <w:t>技术方案编制的特殊要求见投标人须知前附表。</w:t>
      </w:r>
    </w:p>
    <w:p w14:paraId="34642010">
      <w:pPr>
        <w:spacing w:line="500" w:lineRule="exact"/>
        <w:ind w:firstLine="420" w:firstLineChars="200"/>
        <w:rPr>
          <w:rFonts w:ascii="Times New Roman" w:hAnsi="Times New Roman"/>
        </w:rPr>
      </w:pPr>
      <w:r>
        <w:rPr>
          <w:rFonts w:ascii="Times New Roman" w:hAnsi="Times New Roman"/>
        </w:rPr>
        <w:t>3.7.2 投标文件应当对招标文件有关</w:t>
      </w:r>
      <w:r>
        <w:rPr>
          <w:rFonts w:ascii="Times New Roman" w:hAnsi="Times New Roman"/>
          <w:bCs/>
          <w:snapToGrid w:val="0"/>
          <w:kern w:val="0"/>
          <w:szCs w:val="21"/>
        </w:rPr>
        <w:t>服务期限、</w:t>
      </w:r>
      <w:r>
        <w:rPr>
          <w:rFonts w:ascii="Times New Roman" w:hAnsi="Times New Roman"/>
        </w:rPr>
        <w:t>投标有效期、</w:t>
      </w:r>
      <w:r>
        <w:rPr>
          <w:rFonts w:hint="eastAsia" w:ascii="Times New Roman" w:hAnsi="Times New Roman"/>
        </w:rPr>
        <w:t>招标人</w:t>
      </w:r>
      <w:r>
        <w:rPr>
          <w:rFonts w:ascii="Times New Roman" w:hAnsi="Times New Roman"/>
        </w:rPr>
        <w:t>要求、招标范围等实质性内容作出响应。</w:t>
      </w:r>
    </w:p>
    <w:p w14:paraId="0AA9F655">
      <w:pPr>
        <w:spacing w:line="500" w:lineRule="exact"/>
        <w:ind w:firstLine="500"/>
        <w:rPr>
          <w:rFonts w:ascii="Times New Roman" w:hAnsi="Times New Roman"/>
          <w:bCs/>
          <w:snapToGrid w:val="0"/>
          <w:kern w:val="0"/>
          <w:szCs w:val="21"/>
        </w:rPr>
      </w:pPr>
      <w:r>
        <w:rPr>
          <w:rFonts w:ascii="Times New Roman" w:hAnsi="Times New Roman"/>
          <w:bCs/>
          <w:snapToGrid w:val="0"/>
          <w:kern w:val="0"/>
          <w:szCs w:val="21"/>
        </w:rPr>
        <w:t xml:space="preserve">3.7.3 </w:t>
      </w:r>
      <w:r>
        <w:rPr>
          <w:rFonts w:ascii="Times New Roman" w:hAnsi="Times New Roman" w:eastAsia="楷体"/>
          <w:snapToGrid w:val="0"/>
          <w:color w:val="000000"/>
          <w:kern w:val="0"/>
          <w:szCs w:val="21"/>
          <w:shd w:val="clear" w:color="auto" w:fill="FFFFFF"/>
        </w:rPr>
        <w:t xml:space="preserve"> </w:t>
      </w:r>
      <w:r>
        <w:rPr>
          <w:rFonts w:ascii="Times New Roman" w:hAnsi="Times New Roman"/>
          <w:color w:val="000000"/>
        </w:rPr>
        <w:t>本项目要求提供纸质版投标文件，</w:t>
      </w:r>
      <w:r>
        <w:rPr>
          <w:rFonts w:ascii="Times New Roman" w:hAnsi="Times New Roman"/>
          <w:bCs/>
          <w:snapToGrid w:val="0"/>
          <w:kern w:val="0"/>
          <w:szCs w:val="21"/>
        </w:rPr>
        <w:t>投标文件的制作应满足以下规定：</w:t>
      </w:r>
    </w:p>
    <w:p w14:paraId="3E59BE76">
      <w:pPr>
        <w:spacing w:line="500" w:lineRule="exact"/>
        <w:ind w:firstLine="420" w:firstLineChars="200"/>
        <w:rPr>
          <w:rFonts w:ascii="Times New Roman" w:hAnsi="Times New Roman"/>
          <w:color w:val="000000"/>
        </w:rPr>
      </w:pPr>
      <w:r>
        <w:rPr>
          <w:rFonts w:ascii="Times New Roman" w:hAnsi="Times New Roman"/>
          <w:color w:val="000000"/>
        </w:rPr>
        <w:t>（1）投标文件应装订成册、密封，并在封面注明招标编号、投标项目等，同时在密封处加盖骑缝章；投标文件要求：正、副本各一份。</w:t>
      </w:r>
    </w:p>
    <w:p w14:paraId="59DF74C2">
      <w:pPr>
        <w:spacing w:line="500" w:lineRule="exact"/>
        <w:ind w:firstLine="420" w:firstLineChars="200"/>
        <w:rPr>
          <w:rFonts w:ascii="Times New Roman" w:hAnsi="Times New Roman"/>
          <w:color w:val="000000"/>
        </w:rPr>
      </w:pPr>
      <w:r>
        <w:rPr>
          <w:rFonts w:ascii="Times New Roman" w:hAnsi="Times New Roman"/>
          <w:color w:val="000000"/>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14:paraId="2221B804">
      <w:pPr>
        <w:spacing w:line="500" w:lineRule="exact"/>
        <w:ind w:firstLine="420" w:firstLineChars="200"/>
        <w:rPr>
          <w:rFonts w:ascii="Times New Roman" w:hAnsi="Times New Roman"/>
          <w:color w:val="000000"/>
        </w:rPr>
      </w:pPr>
      <w:r>
        <w:rPr>
          <w:rFonts w:ascii="Times New Roman" w:hAnsi="Times New Roman"/>
          <w:color w:val="000000"/>
        </w:rPr>
        <w:t>（3）投标文件制作完成后，投标人应对投标文件进行装订成册、密封，形成密封的投标文件，否则引起的责任由投标人自行承担。</w:t>
      </w:r>
    </w:p>
    <w:p w14:paraId="015DBFF0">
      <w:pPr>
        <w:spacing w:line="500" w:lineRule="exact"/>
        <w:ind w:firstLine="435"/>
        <w:rPr>
          <w:rFonts w:ascii="Times New Roman" w:hAnsi="Times New Roman" w:eastAsia="等线"/>
          <w:sz w:val="24"/>
          <w:highlight w:val="yellow"/>
        </w:rPr>
      </w:pPr>
      <w:r>
        <w:rPr>
          <w:rFonts w:ascii="Times New Roman" w:hAnsi="Times New Roman"/>
          <w:snapToGrid w:val="0"/>
          <w:color w:val="000000"/>
          <w:kern w:val="0"/>
          <w:szCs w:val="21"/>
          <w:shd w:val="clear" w:color="auto" w:fill="FFFFFF"/>
        </w:rPr>
        <w:t xml:space="preserve">3.7.4 </w:t>
      </w:r>
      <w:r>
        <w:rPr>
          <w:rFonts w:ascii="Times New Roman" w:hAnsi="Times New Roman"/>
          <w:color w:val="000000"/>
        </w:rPr>
        <w:t>因投标人自身原因而导致投标文件无法开标、评标，该投标视为无效投标，投标人自行承担由此导致的全部责任。</w:t>
      </w:r>
    </w:p>
    <w:p w14:paraId="5E34BBC3">
      <w:pPr>
        <w:pStyle w:val="3"/>
        <w:spacing w:before="0" w:after="0" w:line="500" w:lineRule="exact"/>
        <w:rPr>
          <w:rFonts w:ascii="Times New Roman" w:hAnsi="Times New Roman"/>
          <w:b w:val="0"/>
          <w:bCs/>
          <w:sz w:val="28"/>
          <w:szCs w:val="18"/>
        </w:rPr>
      </w:pPr>
      <w:bookmarkStart w:id="200" w:name="_Toc10295"/>
      <w:bookmarkStart w:id="201" w:name="_Toc18891"/>
      <w:bookmarkStart w:id="202" w:name="_Toc13811"/>
      <w:bookmarkStart w:id="203" w:name="_Toc410"/>
      <w:bookmarkStart w:id="204" w:name="_Toc17124"/>
      <w:bookmarkStart w:id="205" w:name="_Toc740"/>
      <w:bookmarkStart w:id="206" w:name="_Toc22326"/>
      <w:r>
        <w:rPr>
          <w:rFonts w:ascii="Times New Roman" w:hAnsi="Times New Roman"/>
          <w:b w:val="0"/>
          <w:bCs/>
          <w:sz w:val="28"/>
          <w:szCs w:val="18"/>
        </w:rPr>
        <w:t>4. 投标</w:t>
      </w:r>
      <w:bookmarkEnd w:id="200"/>
      <w:bookmarkEnd w:id="201"/>
      <w:bookmarkEnd w:id="202"/>
      <w:bookmarkEnd w:id="203"/>
      <w:bookmarkEnd w:id="204"/>
      <w:bookmarkEnd w:id="205"/>
      <w:bookmarkEnd w:id="206"/>
    </w:p>
    <w:p w14:paraId="160FD080">
      <w:pPr>
        <w:pStyle w:val="4"/>
        <w:spacing w:before="0" w:after="0" w:line="500" w:lineRule="exact"/>
        <w:ind w:firstLine="118"/>
        <w:rPr>
          <w:rFonts w:ascii="Times New Roman" w:hAnsi="Times New Roman"/>
          <w:sz w:val="24"/>
          <w:szCs w:val="18"/>
        </w:rPr>
      </w:pPr>
      <w:r>
        <w:rPr>
          <w:rFonts w:ascii="Times New Roman" w:hAnsi="Times New Roman"/>
          <w:sz w:val="24"/>
          <w:szCs w:val="18"/>
        </w:rPr>
        <w:t>4.1 投标文件的密封和标记</w:t>
      </w:r>
    </w:p>
    <w:p w14:paraId="7A25C11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投标文件应按照本章第 3.7.3 项要求制作并加密，未按要求加密的投标文件将被拒绝接收。</w:t>
      </w:r>
    </w:p>
    <w:p w14:paraId="159FB439">
      <w:pPr>
        <w:pStyle w:val="4"/>
        <w:spacing w:before="0" w:after="0" w:line="500" w:lineRule="exact"/>
        <w:ind w:firstLine="118"/>
        <w:rPr>
          <w:rFonts w:ascii="Times New Roman" w:hAnsi="Times New Roman"/>
          <w:sz w:val="24"/>
          <w:szCs w:val="18"/>
        </w:rPr>
      </w:pPr>
      <w:r>
        <w:rPr>
          <w:rFonts w:ascii="Times New Roman" w:hAnsi="Times New Roman"/>
          <w:sz w:val="24"/>
          <w:szCs w:val="18"/>
        </w:rPr>
        <w:t>4.2 投标文件的递交</w:t>
      </w:r>
    </w:p>
    <w:p w14:paraId="1B55ECAA">
      <w:pPr>
        <w:spacing w:line="500" w:lineRule="exact"/>
        <w:ind w:firstLine="435"/>
        <w:rPr>
          <w:rFonts w:ascii="Times New Roman" w:hAnsi="Times New Roman"/>
          <w:snapToGrid w:val="0"/>
          <w:color w:val="000000"/>
          <w:kern w:val="0"/>
          <w:szCs w:val="21"/>
          <w:lang w:bidi="en-US"/>
        </w:rPr>
      </w:pPr>
      <w:r>
        <w:rPr>
          <w:rFonts w:ascii="Times New Roman" w:hAnsi="Times New Roman"/>
        </w:rPr>
        <w:t>4.2.1</w:t>
      </w:r>
      <w:r>
        <w:rPr>
          <w:rFonts w:ascii="Times New Roman" w:hAnsi="Times New Roman"/>
          <w:snapToGrid w:val="0"/>
          <w:kern w:val="0"/>
          <w:szCs w:val="21"/>
          <w:shd w:val="clear" w:color="auto" w:fill="FFFFFF"/>
        </w:rPr>
        <w:t>投标人应当在第一章“招标公告”规定的投标截止时间前，</w:t>
      </w:r>
      <w:r>
        <w:rPr>
          <w:rFonts w:ascii="Times New Roman" w:hAnsi="Times New Roman"/>
          <w:snapToGrid w:val="0"/>
          <w:color w:val="000000"/>
          <w:kern w:val="0"/>
          <w:szCs w:val="21"/>
          <w:lang w:bidi="en-US"/>
        </w:rPr>
        <w:t>将封装的投标文件送到指定开标地点。</w:t>
      </w:r>
    </w:p>
    <w:p w14:paraId="0319FB23">
      <w:pPr>
        <w:spacing w:line="500" w:lineRule="exact"/>
        <w:ind w:firstLine="420" w:firstLineChars="200"/>
        <w:rPr>
          <w:rFonts w:ascii="Times New Roman" w:hAnsi="Times New Roman"/>
        </w:rPr>
      </w:pPr>
      <w:r>
        <w:rPr>
          <w:rFonts w:ascii="Times New Roman" w:hAnsi="Times New Roman"/>
        </w:rPr>
        <w:t>4.2.2 除投标人须知前附表另有规定外，投标人所递交的投标文件不予退还。</w:t>
      </w:r>
    </w:p>
    <w:p w14:paraId="510EDDCA">
      <w:pPr>
        <w:pStyle w:val="4"/>
        <w:spacing w:before="0" w:after="0" w:line="500" w:lineRule="exact"/>
        <w:ind w:firstLine="118"/>
        <w:rPr>
          <w:rFonts w:ascii="Times New Roman" w:hAnsi="Times New Roman"/>
          <w:sz w:val="24"/>
          <w:szCs w:val="18"/>
        </w:rPr>
      </w:pPr>
      <w:r>
        <w:rPr>
          <w:rFonts w:ascii="Times New Roman" w:hAnsi="Times New Roman"/>
          <w:sz w:val="24"/>
          <w:szCs w:val="18"/>
        </w:rPr>
        <w:t>4.3 投标文件的修改与撤回</w:t>
      </w:r>
    </w:p>
    <w:p w14:paraId="78611FA9">
      <w:pPr>
        <w:spacing w:line="500" w:lineRule="exact"/>
        <w:ind w:firstLine="420" w:firstLineChars="200"/>
        <w:rPr>
          <w:rFonts w:ascii="Times New Roman" w:hAnsi="Times New Roman"/>
        </w:rPr>
      </w:pPr>
      <w:r>
        <w:rPr>
          <w:rFonts w:ascii="Times New Roman" w:hAnsi="Times New Roman"/>
          <w:snapToGrid w:val="0"/>
          <w:kern w:val="0"/>
          <w:szCs w:val="21"/>
          <w:shd w:val="clear" w:color="auto" w:fill="FFFFFF"/>
        </w:rPr>
        <w:t>在本章第4.2.1项规定的投标截止时间前，投标人可以修改或撤回已递交的投标文件。</w:t>
      </w:r>
      <w:r>
        <w:rPr>
          <w:rFonts w:ascii="Times New Roman" w:hAnsi="Times New Roman"/>
          <w:bCs/>
          <w:snapToGrid w:val="0"/>
          <w:color w:val="000000"/>
          <w:kern w:val="0"/>
          <w:szCs w:val="21"/>
        </w:rPr>
        <w:t>投标截止时间前未提交投标文件的，视为无效投标文件。未按规定密封或投标截止时间后送达的投标文件，应当拒收。</w:t>
      </w:r>
    </w:p>
    <w:p w14:paraId="47947AA0">
      <w:pPr>
        <w:pStyle w:val="3"/>
        <w:spacing w:before="0" w:after="0" w:line="500" w:lineRule="exact"/>
        <w:rPr>
          <w:rFonts w:ascii="Times New Roman" w:hAnsi="Times New Roman"/>
          <w:b w:val="0"/>
          <w:bCs/>
          <w:sz w:val="28"/>
          <w:szCs w:val="18"/>
        </w:rPr>
      </w:pPr>
      <w:bookmarkStart w:id="207" w:name="_Toc15131"/>
      <w:bookmarkStart w:id="208" w:name="_Toc22290"/>
      <w:bookmarkStart w:id="209" w:name="_Toc12916"/>
      <w:bookmarkStart w:id="210" w:name="_Toc12326"/>
      <w:bookmarkStart w:id="211" w:name="_Toc1387"/>
      <w:bookmarkStart w:id="212" w:name="_Toc14680"/>
      <w:bookmarkStart w:id="213" w:name="_Toc31922"/>
      <w:r>
        <w:rPr>
          <w:rFonts w:ascii="Times New Roman" w:hAnsi="Times New Roman"/>
          <w:b w:val="0"/>
          <w:bCs/>
          <w:sz w:val="28"/>
          <w:szCs w:val="18"/>
        </w:rPr>
        <w:t>5. 开标</w:t>
      </w:r>
      <w:bookmarkEnd w:id="207"/>
      <w:bookmarkEnd w:id="208"/>
      <w:bookmarkEnd w:id="209"/>
      <w:bookmarkEnd w:id="210"/>
      <w:bookmarkEnd w:id="211"/>
      <w:bookmarkEnd w:id="212"/>
      <w:bookmarkEnd w:id="213"/>
    </w:p>
    <w:p w14:paraId="4938F551">
      <w:pPr>
        <w:pStyle w:val="4"/>
        <w:spacing w:before="0" w:after="0" w:line="500" w:lineRule="exact"/>
        <w:ind w:firstLine="118"/>
        <w:rPr>
          <w:rFonts w:ascii="Times New Roman" w:hAnsi="Times New Roman"/>
          <w:sz w:val="24"/>
          <w:szCs w:val="18"/>
        </w:rPr>
      </w:pPr>
      <w:r>
        <w:rPr>
          <w:rFonts w:ascii="Times New Roman" w:hAnsi="Times New Roman"/>
          <w:sz w:val="24"/>
          <w:szCs w:val="18"/>
        </w:rPr>
        <w:t>5.1 开标时间和地点</w:t>
      </w:r>
    </w:p>
    <w:p w14:paraId="2AA6FA95">
      <w:pPr>
        <w:spacing w:line="500" w:lineRule="exact"/>
        <w:ind w:firstLine="420" w:firstLineChars="200"/>
        <w:rPr>
          <w:rFonts w:ascii="Times New Roman" w:hAnsi="Times New Roman"/>
        </w:rPr>
      </w:pPr>
      <w:r>
        <w:rPr>
          <w:rFonts w:ascii="Times New Roman" w:hAnsi="Times New Roman"/>
        </w:rPr>
        <w:t>招标人在本章第4.2.1项规定的投标截止时间（开标时间）</w:t>
      </w:r>
      <w:r>
        <w:rPr>
          <w:rFonts w:ascii="Times New Roman" w:hAnsi="Times New Roman"/>
          <w:bCs/>
          <w:snapToGrid w:val="0"/>
          <w:color w:val="000000"/>
          <w:kern w:val="0"/>
          <w:szCs w:val="21"/>
        </w:rPr>
        <w:t>和地点组织公开开标，</w:t>
      </w:r>
      <w:r>
        <w:rPr>
          <w:rFonts w:ascii="Times New Roman" w:hAnsi="Times New Roman"/>
        </w:rPr>
        <w:t>所有投标人的法定代表人或其委托代理人应当准时参加。</w:t>
      </w:r>
    </w:p>
    <w:p w14:paraId="29BAC5B9">
      <w:pPr>
        <w:pStyle w:val="4"/>
        <w:spacing w:before="0" w:after="0" w:line="500" w:lineRule="exact"/>
        <w:ind w:firstLine="118"/>
        <w:rPr>
          <w:rFonts w:ascii="Times New Roman" w:hAnsi="Times New Roman"/>
          <w:sz w:val="24"/>
          <w:szCs w:val="18"/>
        </w:rPr>
      </w:pPr>
      <w:r>
        <w:rPr>
          <w:rFonts w:ascii="Times New Roman" w:hAnsi="Times New Roman"/>
          <w:sz w:val="24"/>
          <w:szCs w:val="18"/>
        </w:rPr>
        <w:t>5.2 开标程序</w:t>
      </w:r>
    </w:p>
    <w:p w14:paraId="39D2EAEF">
      <w:pPr>
        <w:spacing w:line="500" w:lineRule="exact"/>
        <w:ind w:firstLine="420" w:firstLineChars="200"/>
        <w:rPr>
          <w:rFonts w:ascii="Times New Roman" w:hAnsi="Times New Roman"/>
          <w:bCs/>
          <w:snapToGrid w:val="0"/>
          <w:color w:val="000000"/>
          <w:kern w:val="0"/>
          <w:szCs w:val="21"/>
        </w:rPr>
      </w:pPr>
      <w:r>
        <w:rPr>
          <w:rFonts w:ascii="Times New Roman" w:hAnsi="Times New Roman"/>
          <w:bCs/>
          <w:snapToGrid w:val="0"/>
          <w:color w:val="000000"/>
          <w:kern w:val="0"/>
          <w:szCs w:val="21"/>
        </w:rPr>
        <w:t>开标时，招标人现场公布开标结果，公布内容包括投标人名称、投标价格及招标文件规定的内容。</w:t>
      </w:r>
    </w:p>
    <w:p w14:paraId="13A47C35">
      <w:pPr>
        <w:spacing w:line="500" w:lineRule="exact"/>
        <w:ind w:firstLine="420" w:firstLineChars="200"/>
        <w:rPr>
          <w:rFonts w:ascii="Times New Roman" w:hAnsi="Times New Roman"/>
          <w:bCs/>
          <w:snapToGrid w:val="0"/>
          <w:color w:val="000000"/>
          <w:kern w:val="0"/>
          <w:szCs w:val="21"/>
        </w:rPr>
      </w:pPr>
      <w:r>
        <w:rPr>
          <w:rFonts w:ascii="Times New Roman" w:hAnsi="Times New Roman"/>
          <w:bCs/>
          <w:snapToGrid w:val="0"/>
          <w:color w:val="000000"/>
          <w:kern w:val="0"/>
          <w:szCs w:val="21"/>
        </w:rPr>
        <w:t>招标人将对开标过程进行记录，由参加开标的各投标人代表和相关工作人员签字确认，并存档备查。</w:t>
      </w:r>
    </w:p>
    <w:p w14:paraId="3E273326">
      <w:pPr>
        <w:pStyle w:val="4"/>
        <w:spacing w:before="0" w:after="0" w:line="500" w:lineRule="exact"/>
        <w:ind w:firstLine="118"/>
        <w:rPr>
          <w:rFonts w:ascii="Times New Roman" w:hAnsi="Times New Roman"/>
          <w:sz w:val="24"/>
          <w:szCs w:val="18"/>
        </w:rPr>
      </w:pPr>
      <w:r>
        <w:rPr>
          <w:rFonts w:ascii="Times New Roman" w:hAnsi="Times New Roman"/>
          <w:sz w:val="24"/>
          <w:szCs w:val="18"/>
        </w:rPr>
        <w:t>5.3 开标异议</w:t>
      </w:r>
    </w:p>
    <w:p w14:paraId="071732B4">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投标人对开标有异议的，应当在开标过程中提出；招标人当场对异议作出答复，并记入开标记录。</w:t>
      </w:r>
    </w:p>
    <w:p w14:paraId="5CDFD760">
      <w:pPr>
        <w:pStyle w:val="3"/>
        <w:spacing w:before="0" w:after="0" w:line="500" w:lineRule="exact"/>
        <w:rPr>
          <w:rFonts w:ascii="Times New Roman" w:hAnsi="Times New Roman"/>
          <w:b w:val="0"/>
          <w:bCs/>
          <w:sz w:val="28"/>
          <w:szCs w:val="18"/>
        </w:rPr>
      </w:pPr>
      <w:bookmarkStart w:id="214" w:name="_Toc31570"/>
      <w:bookmarkStart w:id="215" w:name="_Toc5504"/>
      <w:bookmarkStart w:id="216" w:name="_Toc31311"/>
      <w:bookmarkStart w:id="217" w:name="_Toc6176"/>
      <w:bookmarkStart w:id="218" w:name="_Toc16998"/>
      <w:bookmarkStart w:id="219" w:name="_Toc2817"/>
      <w:bookmarkStart w:id="220" w:name="_Toc24911"/>
      <w:r>
        <w:rPr>
          <w:rFonts w:ascii="Times New Roman" w:hAnsi="Times New Roman"/>
          <w:b w:val="0"/>
          <w:bCs/>
          <w:sz w:val="28"/>
          <w:szCs w:val="18"/>
        </w:rPr>
        <w:t>6. 评标</w:t>
      </w:r>
      <w:bookmarkEnd w:id="214"/>
      <w:bookmarkEnd w:id="215"/>
      <w:bookmarkEnd w:id="216"/>
      <w:bookmarkEnd w:id="217"/>
      <w:bookmarkEnd w:id="218"/>
      <w:bookmarkEnd w:id="219"/>
      <w:bookmarkEnd w:id="220"/>
    </w:p>
    <w:p w14:paraId="11ED83FC">
      <w:pPr>
        <w:pStyle w:val="4"/>
        <w:spacing w:before="0" w:after="0" w:line="500" w:lineRule="exact"/>
        <w:ind w:firstLine="118"/>
        <w:rPr>
          <w:rFonts w:ascii="Times New Roman" w:hAnsi="Times New Roman"/>
          <w:sz w:val="24"/>
          <w:szCs w:val="18"/>
        </w:rPr>
      </w:pPr>
      <w:r>
        <w:rPr>
          <w:rFonts w:ascii="Times New Roman" w:hAnsi="Times New Roman"/>
          <w:sz w:val="24"/>
          <w:szCs w:val="18"/>
        </w:rPr>
        <w:t>6.1 评标委员会</w:t>
      </w:r>
    </w:p>
    <w:p w14:paraId="33FD504E">
      <w:pPr>
        <w:spacing w:line="500" w:lineRule="exact"/>
        <w:ind w:firstLine="420" w:firstLineChars="200"/>
        <w:rPr>
          <w:rFonts w:ascii="Times New Roman" w:hAnsi="Times New Roman"/>
        </w:rPr>
      </w:pPr>
      <w:r>
        <w:rPr>
          <w:rFonts w:ascii="Times New Roman" w:hAnsi="Times New Roman"/>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4DA653E8">
      <w:pPr>
        <w:spacing w:line="500" w:lineRule="exact"/>
        <w:ind w:firstLine="420" w:firstLineChars="200"/>
        <w:rPr>
          <w:rFonts w:ascii="Times New Roman" w:hAnsi="Times New Roman"/>
        </w:rPr>
      </w:pPr>
      <w:r>
        <w:rPr>
          <w:rFonts w:ascii="Times New Roman" w:hAnsi="Times New Roman"/>
        </w:rPr>
        <w:t>6.1.2 评标委员会成员有下列情形之一的，应当回避：</w:t>
      </w:r>
    </w:p>
    <w:p w14:paraId="0053713B">
      <w:pPr>
        <w:spacing w:line="500" w:lineRule="exact"/>
        <w:ind w:firstLine="420" w:firstLineChars="200"/>
        <w:rPr>
          <w:rFonts w:ascii="Times New Roman" w:hAnsi="Times New Roman"/>
        </w:rPr>
      </w:pPr>
      <w:r>
        <w:rPr>
          <w:rFonts w:ascii="Times New Roman" w:hAnsi="Times New Roman"/>
        </w:rPr>
        <w:t>（1）投标人或投标人主要负责人的近亲属；</w:t>
      </w:r>
    </w:p>
    <w:p w14:paraId="7ECCAF67">
      <w:pPr>
        <w:spacing w:line="500" w:lineRule="exact"/>
        <w:ind w:firstLine="420" w:firstLineChars="200"/>
        <w:rPr>
          <w:rFonts w:ascii="Times New Roman" w:hAnsi="Times New Roman"/>
        </w:rPr>
      </w:pPr>
      <w:r>
        <w:rPr>
          <w:rFonts w:ascii="Times New Roman" w:hAnsi="Times New Roman"/>
        </w:rPr>
        <w:t>（2）项目主管部门或者行政监督部门的人员；</w:t>
      </w:r>
    </w:p>
    <w:p w14:paraId="7A607BF2">
      <w:pPr>
        <w:spacing w:line="500" w:lineRule="exact"/>
        <w:ind w:firstLine="420" w:firstLineChars="200"/>
        <w:rPr>
          <w:rFonts w:ascii="Times New Roman" w:hAnsi="Times New Roman"/>
        </w:rPr>
      </w:pPr>
      <w:r>
        <w:rPr>
          <w:rFonts w:ascii="Times New Roman" w:hAnsi="Times New Roman"/>
        </w:rPr>
        <w:t>（3）与投标人有经济利益关系，可能影响对投标公正评审的；</w:t>
      </w:r>
    </w:p>
    <w:p w14:paraId="6BEE5D8D">
      <w:pPr>
        <w:spacing w:line="500" w:lineRule="exact"/>
        <w:ind w:firstLine="420" w:firstLineChars="200"/>
        <w:rPr>
          <w:rFonts w:ascii="Times New Roman" w:hAnsi="Times New Roman"/>
        </w:rPr>
      </w:pPr>
      <w:r>
        <w:rPr>
          <w:rFonts w:ascii="Times New Roman" w:hAnsi="Times New Roman"/>
        </w:rPr>
        <w:t>（4）曾因在招标、评</w:t>
      </w:r>
      <w:bookmarkStart w:id="221" w:name="_Toc369531543"/>
      <w:bookmarkStart w:id="222" w:name="_Toc352691499"/>
      <w:bookmarkStart w:id="223" w:name="_Toc152042331"/>
      <w:bookmarkStart w:id="224" w:name="_Toc247513979"/>
      <w:bookmarkStart w:id="225" w:name="_Toc152045555"/>
      <w:bookmarkStart w:id="226" w:name="_Toc247527580"/>
      <w:bookmarkStart w:id="227" w:name="_Toc384308237"/>
      <w:bookmarkStart w:id="228" w:name="_Toc144974523"/>
      <w:bookmarkStart w:id="229" w:name="_Toc361508612"/>
      <w:bookmarkStart w:id="230" w:name="_Toc6230"/>
      <w:bookmarkStart w:id="231" w:name="_Toc300834976"/>
      <w:r>
        <w:rPr>
          <w:rFonts w:ascii="Times New Roman" w:hAnsi="Times New Roman"/>
        </w:rPr>
        <w:t>标以及其他</w:t>
      </w:r>
      <w:bookmarkEnd w:id="221"/>
      <w:bookmarkEnd w:id="222"/>
      <w:bookmarkEnd w:id="223"/>
      <w:bookmarkEnd w:id="224"/>
      <w:bookmarkEnd w:id="225"/>
      <w:bookmarkEnd w:id="226"/>
      <w:bookmarkEnd w:id="227"/>
      <w:bookmarkEnd w:id="228"/>
      <w:bookmarkEnd w:id="229"/>
      <w:bookmarkEnd w:id="230"/>
      <w:bookmarkEnd w:id="231"/>
      <w:r>
        <w:rPr>
          <w:rFonts w:ascii="Times New Roman" w:hAnsi="Times New Roman"/>
        </w:rPr>
        <w:t>与</w:t>
      </w:r>
      <w:bookmarkStart w:id="232" w:name="_Toc300834977"/>
      <w:bookmarkStart w:id="233" w:name="_Toc152045556"/>
      <w:bookmarkStart w:id="234" w:name="_Toc152042332"/>
      <w:bookmarkStart w:id="235" w:name="_Toc384308238"/>
      <w:bookmarkStart w:id="236" w:name="_Toc247527581"/>
      <w:bookmarkStart w:id="237" w:name="_Toc369531544"/>
      <w:bookmarkStart w:id="238" w:name="_Toc17703"/>
      <w:bookmarkStart w:id="239" w:name="_Toc247513980"/>
      <w:bookmarkStart w:id="240" w:name="_Toc144974524"/>
      <w:bookmarkStart w:id="241" w:name="_Toc352691500"/>
      <w:bookmarkStart w:id="242" w:name="_Toc361508613"/>
      <w:r>
        <w:rPr>
          <w:rFonts w:ascii="Times New Roman" w:hAnsi="Times New Roman"/>
        </w:rPr>
        <w:t>招标投标有关活动中从事违法行</w:t>
      </w:r>
      <w:bookmarkEnd w:id="232"/>
      <w:bookmarkEnd w:id="233"/>
      <w:bookmarkEnd w:id="234"/>
      <w:bookmarkEnd w:id="235"/>
      <w:bookmarkEnd w:id="236"/>
      <w:bookmarkEnd w:id="237"/>
      <w:bookmarkEnd w:id="238"/>
      <w:bookmarkEnd w:id="239"/>
      <w:bookmarkEnd w:id="240"/>
      <w:bookmarkEnd w:id="241"/>
      <w:bookmarkEnd w:id="242"/>
      <w:r>
        <w:rPr>
          <w:rFonts w:ascii="Times New Roman" w:hAnsi="Times New Roman"/>
        </w:rPr>
        <w:t>为而受过行政处罚或刑事处罚的；</w:t>
      </w:r>
    </w:p>
    <w:p w14:paraId="627288B7">
      <w:pPr>
        <w:spacing w:line="500" w:lineRule="exact"/>
        <w:ind w:firstLine="420" w:firstLineChars="200"/>
        <w:rPr>
          <w:rFonts w:ascii="Times New Roman" w:hAnsi="Times New Roman"/>
        </w:rPr>
      </w:pPr>
      <w:r>
        <w:rPr>
          <w:rFonts w:ascii="Times New Roman" w:hAnsi="Times New Roman"/>
        </w:rPr>
        <w:t>（5）与投标人有其他利害关系。</w:t>
      </w:r>
    </w:p>
    <w:p w14:paraId="68047129">
      <w:pPr>
        <w:spacing w:line="500" w:lineRule="exact"/>
        <w:ind w:firstLine="420" w:firstLineChars="200"/>
        <w:rPr>
          <w:rFonts w:ascii="Times New Roman" w:hAnsi="Times New Roman"/>
        </w:rPr>
      </w:pPr>
      <w:r>
        <w:rPr>
          <w:rFonts w:ascii="Times New Roman" w:hAnsi="Times New Roman"/>
        </w:rPr>
        <w:t>6.1.3 评标过程中，评标委员会成员有回避事由、擅离职守或者因健康等原因不能继续评标的，招标人有权更换。被更换的评标委员会成员作出的评审结论无效，由更换后的评标委员会成员重新进行评审。</w:t>
      </w:r>
    </w:p>
    <w:p w14:paraId="2D2826F7">
      <w:pPr>
        <w:pStyle w:val="4"/>
        <w:spacing w:before="0" w:after="0" w:line="500" w:lineRule="exact"/>
        <w:ind w:firstLine="118"/>
        <w:rPr>
          <w:rFonts w:ascii="Times New Roman" w:hAnsi="Times New Roman"/>
          <w:sz w:val="24"/>
          <w:szCs w:val="18"/>
        </w:rPr>
      </w:pPr>
      <w:r>
        <w:rPr>
          <w:rFonts w:ascii="Times New Roman" w:hAnsi="Times New Roman"/>
          <w:sz w:val="24"/>
          <w:szCs w:val="18"/>
        </w:rPr>
        <w:t>6.2 评标原则</w:t>
      </w:r>
    </w:p>
    <w:p w14:paraId="604EB4AF">
      <w:pPr>
        <w:spacing w:line="500" w:lineRule="exact"/>
        <w:ind w:firstLine="420" w:firstLineChars="200"/>
        <w:rPr>
          <w:rFonts w:ascii="Times New Roman" w:hAnsi="Times New Roman"/>
        </w:rPr>
      </w:pPr>
      <w:r>
        <w:rPr>
          <w:rFonts w:ascii="Times New Roman" w:hAnsi="Times New Roman"/>
        </w:rPr>
        <w:t>评标活动遵循公平、公正、科学和择优的原</w:t>
      </w:r>
      <w:bookmarkStart w:id="243" w:name="_Toc352691501"/>
      <w:bookmarkStart w:id="244" w:name="_Toc369531545"/>
      <w:bookmarkStart w:id="245" w:name="_Toc247527582"/>
      <w:bookmarkStart w:id="246" w:name="_Toc384308239"/>
      <w:bookmarkStart w:id="247" w:name="_Toc247513981"/>
      <w:bookmarkStart w:id="248" w:name="_Toc300834978"/>
      <w:bookmarkStart w:id="249" w:name="_Toc152045557"/>
      <w:bookmarkStart w:id="250" w:name="_Toc144974525"/>
      <w:bookmarkStart w:id="251" w:name="_Toc152042333"/>
      <w:bookmarkStart w:id="252" w:name="_Toc18949"/>
      <w:bookmarkStart w:id="253" w:name="_Toc361508614"/>
      <w:r>
        <w:rPr>
          <w:rFonts w:ascii="Times New Roman" w:hAnsi="Times New Roman"/>
        </w:rPr>
        <w:t>则。</w:t>
      </w:r>
    </w:p>
    <w:p w14:paraId="30AAA4B4">
      <w:pPr>
        <w:pStyle w:val="4"/>
        <w:spacing w:before="0" w:after="0" w:line="500" w:lineRule="exact"/>
        <w:ind w:firstLine="118"/>
        <w:rPr>
          <w:rFonts w:ascii="Times New Roman" w:hAnsi="Times New Roman"/>
          <w:sz w:val="24"/>
          <w:szCs w:val="18"/>
        </w:rPr>
      </w:pPr>
      <w:r>
        <w:rPr>
          <w:rFonts w:ascii="Times New Roman" w:hAnsi="Times New Roman"/>
          <w:sz w:val="24"/>
          <w:szCs w:val="18"/>
        </w:rPr>
        <w:t>6.3 评标</w:t>
      </w:r>
    </w:p>
    <w:p w14:paraId="2052D7AA">
      <w:pPr>
        <w:spacing w:line="500" w:lineRule="exact"/>
        <w:ind w:firstLine="420" w:firstLineChars="200"/>
        <w:rPr>
          <w:rFonts w:ascii="Times New Roman" w:hAnsi="Times New Roman"/>
        </w:rPr>
      </w:pPr>
      <w:r>
        <w:rPr>
          <w:rFonts w:ascii="Times New Roman" w:hAnsi="Times New Roman"/>
        </w:rPr>
        <w:t>6</w:t>
      </w:r>
      <w:bookmarkEnd w:id="243"/>
      <w:bookmarkEnd w:id="244"/>
      <w:bookmarkEnd w:id="245"/>
      <w:bookmarkEnd w:id="246"/>
      <w:bookmarkEnd w:id="247"/>
      <w:bookmarkEnd w:id="248"/>
      <w:bookmarkEnd w:id="249"/>
      <w:bookmarkEnd w:id="250"/>
      <w:bookmarkEnd w:id="251"/>
      <w:bookmarkEnd w:id="252"/>
      <w:bookmarkEnd w:id="253"/>
      <w:r>
        <w:rPr>
          <w:rFonts w:ascii="Times New Roman" w:hAnsi="Times New Roman"/>
        </w:rPr>
        <w:t>.3.1评标委员会按照第三章“评标办法”规定的方法、评审因素、标准和程序对投标文件进行评审。第三章“评标办法”没有规定的方法、评审因素和标准，不作为评标依据。</w:t>
      </w:r>
    </w:p>
    <w:p w14:paraId="2EE3CF05">
      <w:pPr>
        <w:spacing w:line="500" w:lineRule="exact"/>
        <w:ind w:firstLine="420" w:firstLineChars="200"/>
        <w:rPr>
          <w:rFonts w:ascii="Times New Roman" w:hAnsi="Times New Roman"/>
        </w:rPr>
      </w:pPr>
      <w:r>
        <w:rPr>
          <w:rFonts w:ascii="Times New Roman" w:hAnsi="Times New Roman"/>
        </w:rPr>
        <w:t>6.3.2评标完成后，评标委员会应当向招标人提交书面评标报告和中标候选人名单。评标委员会推荐中标</w:t>
      </w:r>
      <w:bookmarkStart w:id="254" w:name="_Toc152045558"/>
      <w:bookmarkStart w:id="255" w:name="_Toc12259"/>
      <w:bookmarkStart w:id="256" w:name="_Toc152042334"/>
      <w:bookmarkStart w:id="257" w:name="_Toc361508615"/>
      <w:bookmarkStart w:id="258" w:name="_Toc247513982"/>
      <w:bookmarkStart w:id="259" w:name="_Toc369531546"/>
      <w:bookmarkStart w:id="260" w:name="_Toc247527583"/>
      <w:bookmarkStart w:id="261" w:name="_Toc384308240"/>
      <w:bookmarkStart w:id="262" w:name="_Toc144974526"/>
      <w:bookmarkStart w:id="263" w:name="_Toc352691502"/>
      <w:bookmarkStart w:id="264" w:name="_Toc300834979"/>
      <w:r>
        <w:rPr>
          <w:rFonts w:ascii="Times New Roman" w:hAnsi="Times New Roman"/>
        </w:rPr>
        <w:t>候选人的人数见投标人须知前附</w:t>
      </w:r>
      <w:bookmarkEnd w:id="254"/>
      <w:bookmarkEnd w:id="255"/>
      <w:bookmarkEnd w:id="256"/>
      <w:bookmarkEnd w:id="257"/>
      <w:bookmarkEnd w:id="258"/>
      <w:bookmarkEnd w:id="259"/>
      <w:bookmarkEnd w:id="260"/>
      <w:bookmarkEnd w:id="261"/>
      <w:bookmarkEnd w:id="262"/>
      <w:bookmarkEnd w:id="263"/>
      <w:bookmarkEnd w:id="264"/>
      <w:r>
        <w:rPr>
          <w:rFonts w:ascii="Times New Roman" w:hAnsi="Times New Roman"/>
        </w:rPr>
        <w:t>表。</w:t>
      </w:r>
    </w:p>
    <w:p w14:paraId="704B141C">
      <w:pPr>
        <w:pStyle w:val="3"/>
        <w:spacing w:before="0" w:after="0" w:line="500" w:lineRule="exact"/>
        <w:rPr>
          <w:rFonts w:ascii="Times New Roman" w:hAnsi="Times New Roman"/>
          <w:b w:val="0"/>
          <w:bCs/>
          <w:sz w:val="28"/>
          <w:szCs w:val="18"/>
        </w:rPr>
      </w:pPr>
      <w:bookmarkStart w:id="265" w:name="_Toc22287"/>
      <w:bookmarkStart w:id="266" w:name="_Toc16927"/>
      <w:bookmarkStart w:id="267" w:name="_Toc24558"/>
      <w:bookmarkStart w:id="268" w:name="_Toc2724"/>
      <w:bookmarkStart w:id="269" w:name="_Toc26859"/>
      <w:bookmarkStart w:id="270" w:name="_Toc27425"/>
      <w:bookmarkStart w:id="271" w:name="_Toc2937"/>
      <w:r>
        <w:rPr>
          <w:rFonts w:ascii="Times New Roman" w:hAnsi="Times New Roman"/>
          <w:b w:val="0"/>
          <w:bCs/>
          <w:sz w:val="28"/>
          <w:szCs w:val="18"/>
        </w:rPr>
        <w:t>7. 合同授予</w:t>
      </w:r>
      <w:bookmarkEnd w:id="265"/>
      <w:bookmarkEnd w:id="266"/>
      <w:bookmarkEnd w:id="267"/>
      <w:bookmarkEnd w:id="268"/>
      <w:bookmarkEnd w:id="269"/>
      <w:bookmarkEnd w:id="270"/>
      <w:bookmarkEnd w:id="271"/>
    </w:p>
    <w:p w14:paraId="150341B8">
      <w:pPr>
        <w:pStyle w:val="4"/>
        <w:spacing w:before="0" w:after="0" w:line="500" w:lineRule="exact"/>
        <w:ind w:firstLine="118"/>
        <w:rPr>
          <w:rFonts w:ascii="Times New Roman" w:hAnsi="Times New Roman"/>
          <w:sz w:val="24"/>
          <w:szCs w:val="18"/>
        </w:rPr>
      </w:pPr>
      <w:r>
        <w:rPr>
          <w:rFonts w:ascii="Times New Roman" w:hAnsi="Times New Roman"/>
          <w:sz w:val="24"/>
          <w:szCs w:val="18"/>
        </w:rPr>
        <w:t>7.1 中标候选人公示</w:t>
      </w:r>
    </w:p>
    <w:p w14:paraId="35AA0010">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招标人在收到评标报告之日起3日内，按照投标人须知前附表规定的公示媒介和期限依法公示中标候选人，公示期不得少于3日。</w:t>
      </w:r>
    </w:p>
    <w:p w14:paraId="791861FE">
      <w:pPr>
        <w:pStyle w:val="4"/>
        <w:spacing w:before="0" w:after="0" w:line="500" w:lineRule="exact"/>
        <w:ind w:firstLine="118"/>
        <w:rPr>
          <w:rFonts w:ascii="Times New Roman" w:hAnsi="Times New Roman"/>
          <w:sz w:val="24"/>
          <w:szCs w:val="18"/>
        </w:rPr>
      </w:pPr>
      <w:r>
        <w:rPr>
          <w:rFonts w:ascii="Times New Roman" w:hAnsi="Times New Roman"/>
          <w:sz w:val="24"/>
          <w:szCs w:val="18"/>
        </w:rPr>
        <w:t>7.2 评标结果异议</w:t>
      </w:r>
    </w:p>
    <w:p w14:paraId="6034B6A4">
      <w:pPr>
        <w:spacing w:line="500" w:lineRule="exact"/>
        <w:ind w:firstLine="420" w:firstLineChars="200"/>
        <w:rPr>
          <w:rFonts w:ascii="Times New Roman" w:hAnsi="Times New Roman"/>
        </w:rPr>
      </w:pPr>
      <w:r>
        <w:rPr>
          <w:rFonts w:ascii="Times New Roman" w:hAnsi="Times New Roman"/>
        </w:rPr>
        <w:t>投标人或者其他利</w:t>
      </w:r>
      <w:bookmarkStart w:id="272" w:name="_Toc30095"/>
      <w:bookmarkStart w:id="273" w:name="_Toc369531549"/>
      <w:bookmarkStart w:id="274" w:name="_Toc247527586"/>
      <w:bookmarkStart w:id="275" w:name="_Toc384308243"/>
      <w:bookmarkStart w:id="276" w:name="_Toc361508618"/>
      <w:bookmarkStart w:id="277" w:name="_Toc352691505"/>
      <w:bookmarkStart w:id="278" w:name="_Toc247513985"/>
      <w:bookmarkStart w:id="279" w:name="_Toc300834982"/>
      <w:r>
        <w:rPr>
          <w:rFonts w:ascii="Times New Roman" w:hAnsi="Times New Roman"/>
        </w:rPr>
        <w:t>害关系人对评标结</w:t>
      </w:r>
      <w:bookmarkEnd w:id="272"/>
      <w:bookmarkEnd w:id="273"/>
      <w:bookmarkEnd w:id="274"/>
      <w:bookmarkEnd w:id="275"/>
      <w:bookmarkEnd w:id="276"/>
      <w:bookmarkEnd w:id="277"/>
      <w:bookmarkEnd w:id="278"/>
      <w:bookmarkEnd w:id="279"/>
      <w:r>
        <w:rPr>
          <w:rFonts w:ascii="Times New Roman" w:hAnsi="Times New Roman"/>
        </w:rPr>
        <w:t>果有异议的，应当在中标候选人公示期间提出。招标人将在收到异议之日起</w:t>
      </w:r>
      <w:r>
        <w:rPr>
          <w:rFonts w:hint="eastAsia" w:ascii="Times New Roman" w:hAnsi="Times New Roman"/>
          <w:lang w:val="en-US" w:eastAsia="zh-CN"/>
        </w:rPr>
        <w:t>3</w:t>
      </w:r>
      <w:r>
        <w:rPr>
          <w:rFonts w:ascii="Times New Roman" w:hAnsi="Times New Roman"/>
        </w:rPr>
        <w:t>日内作出答复；作出答复前，将暂停招标投标活动。</w:t>
      </w:r>
    </w:p>
    <w:p w14:paraId="101924EB">
      <w:pPr>
        <w:pStyle w:val="4"/>
        <w:spacing w:before="0" w:after="0" w:line="500" w:lineRule="exact"/>
        <w:ind w:firstLine="118"/>
        <w:rPr>
          <w:rFonts w:ascii="Times New Roman" w:hAnsi="Times New Roman"/>
          <w:sz w:val="24"/>
          <w:szCs w:val="18"/>
        </w:rPr>
      </w:pPr>
      <w:r>
        <w:rPr>
          <w:rFonts w:ascii="Times New Roman" w:hAnsi="Times New Roman"/>
          <w:sz w:val="24"/>
          <w:szCs w:val="18"/>
        </w:rPr>
        <w:t>7.3 中标候选人履约能力审查</w:t>
      </w:r>
    </w:p>
    <w:p w14:paraId="023B7F00">
      <w:pPr>
        <w:spacing w:line="500" w:lineRule="exact"/>
        <w:ind w:firstLine="420" w:firstLineChars="200"/>
        <w:rPr>
          <w:rFonts w:ascii="Times New Roman" w:hAnsi="Times New Roman"/>
        </w:rPr>
      </w:pPr>
      <w:r>
        <w:rPr>
          <w:rFonts w:ascii="Times New Roman" w:hAnsi="Times New Roman"/>
        </w:rPr>
        <w:t>中标候选人的经营、财务状况发生较大变化或存在违法行为，招标人认为可能影响其履约能力的，将在发出中标通知书前提请原评标委员会按照招标文件规定的标准和方法进行审查确认。</w:t>
      </w:r>
    </w:p>
    <w:p w14:paraId="7D888A1B">
      <w:pPr>
        <w:pStyle w:val="4"/>
        <w:spacing w:before="0" w:after="0" w:line="500" w:lineRule="exact"/>
        <w:ind w:firstLine="118"/>
        <w:rPr>
          <w:rFonts w:ascii="Times New Roman" w:hAnsi="Times New Roman"/>
          <w:sz w:val="24"/>
          <w:szCs w:val="18"/>
        </w:rPr>
      </w:pPr>
      <w:r>
        <w:rPr>
          <w:rFonts w:ascii="Times New Roman" w:hAnsi="Times New Roman"/>
          <w:sz w:val="24"/>
          <w:szCs w:val="18"/>
        </w:rPr>
        <w:t>7.4 定标</w:t>
      </w:r>
    </w:p>
    <w:p w14:paraId="7AF2552B">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12D8E220">
      <w:pPr>
        <w:pStyle w:val="4"/>
        <w:spacing w:before="0" w:after="0" w:line="500" w:lineRule="exact"/>
        <w:ind w:firstLine="118"/>
        <w:rPr>
          <w:rFonts w:ascii="Times New Roman" w:hAnsi="Times New Roman"/>
          <w:sz w:val="24"/>
          <w:szCs w:val="18"/>
        </w:rPr>
      </w:pPr>
      <w:r>
        <w:rPr>
          <w:rFonts w:ascii="Times New Roman" w:hAnsi="Times New Roman"/>
          <w:sz w:val="24"/>
          <w:szCs w:val="18"/>
        </w:rPr>
        <w:t>7.5 中标通知</w:t>
      </w:r>
    </w:p>
    <w:p w14:paraId="384C8460">
      <w:pPr>
        <w:spacing w:line="500" w:lineRule="exact"/>
        <w:ind w:firstLine="420" w:firstLineChars="200"/>
        <w:rPr>
          <w:rFonts w:ascii="Times New Roman" w:hAnsi="Times New Roman"/>
        </w:rPr>
      </w:pPr>
      <w:r>
        <w:rPr>
          <w:rFonts w:ascii="Times New Roman" w:hAnsi="Times New Roman"/>
        </w:rPr>
        <w:t>在本章第3.3款规定的投标有效期内，</w:t>
      </w:r>
      <w:bookmarkStart w:id="280" w:name="_Toc369531550"/>
      <w:bookmarkStart w:id="281" w:name="_Toc361508619"/>
      <w:bookmarkStart w:id="282" w:name="_Toc352691506"/>
      <w:bookmarkStart w:id="283" w:name="_Toc5668"/>
      <w:bookmarkStart w:id="284" w:name="_Toc300834983"/>
      <w:bookmarkStart w:id="285" w:name="_Toc384308244"/>
      <w:r>
        <w:rPr>
          <w:rFonts w:ascii="Times New Roman" w:hAnsi="Times New Roman"/>
        </w:rPr>
        <w:t>招标人按投标人须知前附表规定的形式向中标人发出中标通知书，同时将中</w:t>
      </w:r>
      <w:bookmarkEnd w:id="280"/>
      <w:bookmarkEnd w:id="281"/>
      <w:bookmarkEnd w:id="282"/>
      <w:bookmarkEnd w:id="283"/>
      <w:bookmarkEnd w:id="284"/>
      <w:bookmarkEnd w:id="285"/>
      <w:r>
        <w:rPr>
          <w:rFonts w:ascii="Times New Roman" w:hAnsi="Times New Roman"/>
        </w:rPr>
        <w:t>标结果通知未中标的投标人。</w:t>
      </w:r>
    </w:p>
    <w:p w14:paraId="63906156">
      <w:pPr>
        <w:pStyle w:val="4"/>
        <w:spacing w:before="0" w:after="0" w:line="500" w:lineRule="exact"/>
        <w:ind w:firstLine="118"/>
        <w:rPr>
          <w:rFonts w:ascii="Times New Roman" w:hAnsi="Times New Roman"/>
          <w:sz w:val="24"/>
          <w:szCs w:val="18"/>
        </w:rPr>
      </w:pPr>
      <w:r>
        <w:rPr>
          <w:rFonts w:ascii="Times New Roman" w:hAnsi="Times New Roman"/>
          <w:snapToGrid w:val="0"/>
          <w:sz w:val="24"/>
          <w:szCs w:val="18"/>
        </w:rPr>
        <w:t>7.6 中标结果公示</w:t>
      </w:r>
    </w:p>
    <w:p w14:paraId="6C4DAD84">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招标人在确定中标人之日起3日内，按照投标人须知前附表规定的公示媒介和期限依法公示中标结果。</w:t>
      </w:r>
    </w:p>
    <w:p w14:paraId="37A89796">
      <w:pPr>
        <w:pStyle w:val="4"/>
        <w:spacing w:before="0" w:after="0" w:line="500" w:lineRule="exact"/>
        <w:ind w:firstLine="118"/>
        <w:rPr>
          <w:rFonts w:ascii="Times New Roman" w:hAnsi="Times New Roman"/>
          <w:sz w:val="24"/>
          <w:szCs w:val="18"/>
        </w:rPr>
      </w:pPr>
      <w:bookmarkStart w:id="286" w:name="_Toc152045571"/>
      <w:bookmarkStart w:id="287" w:name="_Toc12462202"/>
      <w:bookmarkStart w:id="288" w:name="_Toc27420"/>
      <w:bookmarkStart w:id="289" w:name="_Toc152042347"/>
      <w:bookmarkStart w:id="290" w:name="_Toc144974539"/>
      <w:bookmarkStart w:id="291" w:name="_Toc179632589"/>
      <w:bookmarkStart w:id="292" w:name="_Toc24067"/>
      <w:bookmarkStart w:id="293" w:name="_Toc361508627"/>
      <w:bookmarkStart w:id="294" w:name="_Toc384308252"/>
      <w:bookmarkStart w:id="295" w:name="_Toc300834991"/>
      <w:bookmarkStart w:id="296" w:name="_Toc152042344"/>
      <w:bookmarkStart w:id="297" w:name="_Toc144974536"/>
      <w:bookmarkStart w:id="298" w:name="_Toc152045568"/>
      <w:bookmarkStart w:id="299" w:name="_Toc247527593"/>
      <w:bookmarkStart w:id="300" w:name="_Toc247513992"/>
      <w:r>
        <w:rPr>
          <w:rFonts w:ascii="Times New Roman" w:hAnsi="Times New Roman"/>
          <w:sz w:val="24"/>
          <w:szCs w:val="18"/>
        </w:rPr>
        <w:t>7.7履约保证金</w:t>
      </w:r>
    </w:p>
    <w:p w14:paraId="1A55E658">
      <w:pPr>
        <w:spacing w:line="500" w:lineRule="exact"/>
        <w:ind w:firstLine="420" w:firstLineChars="200"/>
        <w:rPr>
          <w:rFonts w:ascii="Times New Roman" w:hAnsi="Times New Roman"/>
        </w:rPr>
      </w:pPr>
      <w:r>
        <w:rPr>
          <w:rFonts w:ascii="Times New Roman" w:hAnsi="Times New Roman"/>
        </w:rP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w:t>
      </w:r>
      <w:r>
        <w:rPr>
          <w:rFonts w:ascii="Times New Roman" w:hAnsi="Times New Roman"/>
          <w:highlight w:val="none"/>
        </w:rPr>
        <w:t>金额的</w:t>
      </w:r>
      <w:r>
        <w:rPr>
          <w:rFonts w:hint="eastAsia" w:ascii="Times New Roman" w:hAnsi="Times New Roman"/>
          <w:highlight w:val="none"/>
          <w:lang w:val="en-US" w:eastAsia="zh-CN"/>
        </w:rPr>
        <w:t>2</w:t>
      </w:r>
      <w:r>
        <w:rPr>
          <w:rFonts w:ascii="Times New Roman" w:hAnsi="Times New Roman"/>
          <w:highlight w:val="none"/>
        </w:rPr>
        <w:t>%。联</w:t>
      </w:r>
      <w:r>
        <w:rPr>
          <w:rFonts w:ascii="Times New Roman" w:hAnsi="Times New Roman"/>
        </w:rPr>
        <w:t>合体中标的，其履约保证金以联合体各方或者联合体中牵头人的名义提交。</w:t>
      </w:r>
    </w:p>
    <w:p w14:paraId="3089BC30">
      <w:pPr>
        <w:spacing w:line="500" w:lineRule="exact"/>
        <w:ind w:firstLine="420" w:firstLineChars="200"/>
        <w:rPr>
          <w:rFonts w:ascii="Times New Roman" w:hAnsi="Times New Roman"/>
        </w:rPr>
      </w:pPr>
      <w:r>
        <w:rPr>
          <w:rFonts w:ascii="Times New Roman" w:hAnsi="Times New Roman"/>
        </w:rPr>
        <w:t>7.7.2 中标人不能按本章第7.7.1项要求提交履约保证金的，视为放弃中标，其投标保证金不予退还，给招标人造成的损失超过投标保证金数额的，中标人还应当对超过部分予以赔偿。</w:t>
      </w:r>
    </w:p>
    <w:p w14:paraId="1BF23259">
      <w:pPr>
        <w:pStyle w:val="4"/>
        <w:spacing w:before="0" w:after="0" w:line="500" w:lineRule="exact"/>
        <w:ind w:firstLine="118"/>
        <w:rPr>
          <w:rFonts w:ascii="Times New Roman" w:hAnsi="Times New Roman"/>
          <w:sz w:val="24"/>
          <w:szCs w:val="18"/>
        </w:rPr>
      </w:pPr>
      <w:r>
        <w:rPr>
          <w:rFonts w:ascii="Times New Roman" w:hAnsi="Times New Roman"/>
          <w:sz w:val="24"/>
          <w:szCs w:val="18"/>
        </w:rPr>
        <w:t>7.8 签订合同</w:t>
      </w:r>
    </w:p>
    <w:p w14:paraId="75C84B9C">
      <w:pPr>
        <w:spacing w:line="500" w:lineRule="exact"/>
        <w:ind w:firstLine="420" w:firstLineChars="200"/>
        <w:rPr>
          <w:rFonts w:ascii="Times New Roman" w:hAnsi="Times New Roman"/>
        </w:rPr>
      </w:pPr>
      <w:r>
        <w:rPr>
          <w:rFonts w:ascii="Times New Roman" w:hAnsi="Times New Roman"/>
        </w:rP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14:paraId="6D62BCE2">
      <w:pPr>
        <w:spacing w:line="500" w:lineRule="exact"/>
        <w:ind w:firstLine="420" w:firstLineChars="200"/>
        <w:rPr>
          <w:rFonts w:ascii="Times New Roman" w:hAnsi="Times New Roman"/>
        </w:rPr>
      </w:pPr>
      <w:r>
        <w:rPr>
          <w:rFonts w:ascii="Times New Roman" w:hAnsi="Times New Roman"/>
        </w:rPr>
        <w:t>7.8.2 发出中标通知书后，招标人无正当理由拒签合同，或者在签订合同时向中标人提出附加条件的，招标人向中标人退还投标保证金；给中标人造成损失的，还应当赔偿损失。</w:t>
      </w:r>
    </w:p>
    <w:p w14:paraId="2C47F521">
      <w:pPr>
        <w:spacing w:line="500" w:lineRule="exact"/>
        <w:ind w:firstLine="420" w:firstLineChars="200"/>
        <w:rPr>
          <w:rFonts w:ascii="Times New Roman" w:hAnsi="Times New Roman"/>
          <w:szCs w:val="21"/>
        </w:rPr>
      </w:pPr>
      <w:r>
        <w:rPr>
          <w:rFonts w:ascii="Times New Roman" w:hAnsi="Times New Roman"/>
        </w:rPr>
        <w:t xml:space="preserve">7.8.3 </w:t>
      </w:r>
      <w:r>
        <w:rPr>
          <w:rFonts w:ascii="Times New Roman" w:hAnsi="Times New Roman"/>
          <w:szCs w:val="21"/>
        </w:rPr>
        <w:t>联合体中标的，联合体各方应当共同与招标人签订合同，就中标项目向招标人承担连带责任。</w:t>
      </w:r>
    </w:p>
    <w:p w14:paraId="6283F6DB">
      <w:pPr>
        <w:pStyle w:val="3"/>
        <w:spacing w:before="0" w:after="0" w:line="500" w:lineRule="exact"/>
        <w:rPr>
          <w:rFonts w:ascii="Times New Roman" w:hAnsi="Times New Roman"/>
          <w:b w:val="0"/>
          <w:bCs/>
          <w:sz w:val="28"/>
          <w:szCs w:val="18"/>
        </w:rPr>
      </w:pPr>
      <w:bookmarkStart w:id="301" w:name="_Toc175"/>
      <w:bookmarkStart w:id="302" w:name="_Toc4896"/>
      <w:bookmarkStart w:id="303" w:name="_Toc6697"/>
      <w:bookmarkStart w:id="304" w:name="_Toc17091"/>
      <w:bookmarkStart w:id="305" w:name="_Toc12660"/>
      <w:bookmarkStart w:id="306" w:name="_Toc17957"/>
      <w:r>
        <w:rPr>
          <w:rFonts w:ascii="Times New Roman" w:hAnsi="Times New Roman"/>
          <w:b w:val="0"/>
          <w:bCs/>
          <w:sz w:val="28"/>
          <w:szCs w:val="18"/>
        </w:rPr>
        <w:t>8. 重新招标和不再招标</w:t>
      </w:r>
      <w:bookmarkEnd w:id="286"/>
      <w:bookmarkEnd w:id="287"/>
      <w:bookmarkEnd w:id="288"/>
      <w:bookmarkEnd w:id="289"/>
      <w:bookmarkEnd w:id="290"/>
      <w:bookmarkEnd w:id="291"/>
      <w:bookmarkEnd w:id="301"/>
      <w:bookmarkEnd w:id="302"/>
      <w:bookmarkEnd w:id="303"/>
      <w:bookmarkEnd w:id="304"/>
      <w:bookmarkEnd w:id="305"/>
      <w:bookmarkEnd w:id="306"/>
    </w:p>
    <w:p w14:paraId="01AF5E9A">
      <w:pPr>
        <w:pStyle w:val="4"/>
        <w:spacing w:before="0" w:after="0" w:line="500" w:lineRule="exact"/>
        <w:ind w:firstLine="118"/>
        <w:rPr>
          <w:rFonts w:ascii="Times New Roman" w:hAnsi="Times New Roman"/>
          <w:bCs/>
          <w:sz w:val="24"/>
          <w:szCs w:val="18"/>
        </w:rPr>
      </w:pPr>
      <w:bookmarkStart w:id="307" w:name="_Toc144974540"/>
      <w:bookmarkStart w:id="308" w:name="_Toc152045572"/>
      <w:bookmarkStart w:id="309" w:name="_Toc179632590"/>
      <w:bookmarkStart w:id="310" w:name="_Toc152042348"/>
      <w:r>
        <w:rPr>
          <w:rFonts w:ascii="Times New Roman" w:hAnsi="Times New Roman"/>
          <w:bCs/>
          <w:sz w:val="24"/>
          <w:szCs w:val="18"/>
        </w:rPr>
        <w:t>8.1 重新招标</w:t>
      </w:r>
      <w:bookmarkEnd w:id="307"/>
      <w:bookmarkEnd w:id="308"/>
      <w:bookmarkEnd w:id="309"/>
      <w:bookmarkEnd w:id="310"/>
    </w:p>
    <w:p w14:paraId="1920CAE8">
      <w:pPr>
        <w:spacing w:line="500" w:lineRule="exact"/>
        <w:ind w:firstLine="359" w:firstLineChars="171"/>
        <w:rPr>
          <w:rFonts w:ascii="Times New Roman" w:hAnsi="Times New Roman"/>
        </w:rPr>
      </w:pPr>
      <w:r>
        <w:rPr>
          <w:rFonts w:ascii="Times New Roman" w:hAnsi="Times New Roman"/>
        </w:rPr>
        <w:t>依法必须招标的项目有下列情形之一的，招标人将重新招标：</w:t>
      </w:r>
    </w:p>
    <w:p w14:paraId="7390E1DF">
      <w:pPr>
        <w:spacing w:line="500" w:lineRule="exact"/>
        <w:ind w:firstLine="359" w:firstLineChars="171"/>
        <w:rPr>
          <w:rFonts w:ascii="Times New Roman" w:hAnsi="Times New Roman"/>
        </w:rPr>
      </w:pPr>
      <w:r>
        <w:rPr>
          <w:rFonts w:ascii="Times New Roman" w:hAnsi="Times New Roman"/>
        </w:rPr>
        <w:t>（1）投标截止时间止，投标人少于3个的；</w:t>
      </w:r>
    </w:p>
    <w:p w14:paraId="0B06FE59">
      <w:pPr>
        <w:spacing w:line="500" w:lineRule="exact"/>
        <w:ind w:firstLine="359" w:firstLineChars="171"/>
        <w:rPr>
          <w:rFonts w:ascii="Times New Roman" w:hAnsi="Times New Roman"/>
        </w:rPr>
      </w:pPr>
      <w:r>
        <w:rPr>
          <w:rFonts w:ascii="Times New Roman" w:hAnsi="Times New Roman"/>
        </w:rPr>
        <w:t>（2）经评标委员会评审后否决所有投标的；</w:t>
      </w:r>
    </w:p>
    <w:p w14:paraId="091C7FD2">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（3）中标候选人均未与招标人签订合同的；</w:t>
      </w:r>
    </w:p>
    <w:p w14:paraId="7B1CE772">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（4）法律、法规规定的其他情形。</w:t>
      </w:r>
    </w:p>
    <w:p w14:paraId="5108692B">
      <w:pPr>
        <w:pStyle w:val="4"/>
        <w:spacing w:before="0" w:after="0" w:line="500" w:lineRule="exact"/>
        <w:ind w:firstLine="118"/>
        <w:rPr>
          <w:rFonts w:ascii="Times New Roman" w:hAnsi="Times New Roman"/>
          <w:bCs/>
          <w:sz w:val="24"/>
          <w:szCs w:val="18"/>
        </w:rPr>
      </w:pPr>
      <w:bookmarkStart w:id="311" w:name="_Toc144974541"/>
      <w:bookmarkStart w:id="312" w:name="_Toc179632591"/>
      <w:bookmarkStart w:id="313" w:name="_Toc152045573"/>
      <w:bookmarkStart w:id="314" w:name="_Toc152042349"/>
      <w:r>
        <w:rPr>
          <w:rFonts w:ascii="Times New Roman" w:hAnsi="Times New Roman"/>
          <w:bCs/>
          <w:sz w:val="24"/>
          <w:szCs w:val="18"/>
        </w:rPr>
        <w:t>8.2 不再招标</w:t>
      </w:r>
      <w:bookmarkEnd w:id="311"/>
      <w:bookmarkEnd w:id="312"/>
      <w:bookmarkEnd w:id="313"/>
      <w:bookmarkEnd w:id="314"/>
    </w:p>
    <w:p w14:paraId="1A9AFF62">
      <w:pPr>
        <w:spacing w:line="500" w:lineRule="exact"/>
        <w:ind w:firstLine="420" w:firstLineChars="200"/>
        <w:rPr>
          <w:rFonts w:ascii="Times New Roman" w:hAnsi="Times New Roman"/>
        </w:rPr>
      </w:pPr>
      <w:r>
        <w:rPr>
          <w:rFonts w:ascii="Times New Roman" w:hAnsi="Times New Roman"/>
        </w:rPr>
        <w:t>重新招标后投标人仍少于3个或者所有投标被否决的，属于必须审批或核准的项目，经原审批或核准部门批准后不再进行招标。</w:t>
      </w:r>
    </w:p>
    <w:p w14:paraId="06F3C667">
      <w:pPr>
        <w:pStyle w:val="3"/>
        <w:spacing w:before="0" w:after="0" w:line="500" w:lineRule="exact"/>
        <w:rPr>
          <w:rFonts w:ascii="Times New Roman" w:hAnsi="Times New Roman"/>
          <w:b w:val="0"/>
          <w:bCs/>
          <w:sz w:val="28"/>
          <w:szCs w:val="18"/>
        </w:rPr>
      </w:pPr>
      <w:bookmarkStart w:id="315" w:name="_Toc13720"/>
      <w:bookmarkStart w:id="316" w:name="_Toc3937"/>
      <w:bookmarkStart w:id="317" w:name="_Toc2950"/>
      <w:bookmarkStart w:id="318" w:name="_Toc5726"/>
      <w:bookmarkStart w:id="319" w:name="_Toc18408"/>
      <w:bookmarkStart w:id="320" w:name="_Toc26190"/>
      <w:bookmarkStart w:id="321" w:name="_Toc10975"/>
      <w:r>
        <w:rPr>
          <w:rFonts w:ascii="Times New Roman" w:hAnsi="Times New Roman"/>
          <w:b w:val="0"/>
          <w:bCs/>
          <w:sz w:val="28"/>
          <w:szCs w:val="18"/>
        </w:rPr>
        <w:t>9.</w:t>
      </w:r>
      <w:bookmarkEnd w:id="292"/>
      <w:bookmarkEnd w:id="293"/>
      <w:bookmarkEnd w:id="294"/>
      <w:r>
        <w:rPr>
          <w:rFonts w:ascii="Times New Roman" w:hAnsi="Times New Roman"/>
          <w:b w:val="0"/>
          <w:bCs/>
          <w:sz w:val="28"/>
          <w:szCs w:val="18"/>
        </w:rPr>
        <w:t xml:space="preserve"> 纪律和监督</w:t>
      </w:r>
      <w:bookmarkEnd w:id="315"/>
      <w:bookmarkEnd w:id="316"/>
      <w:bookmarkEnd w:id="317"/>
      <w:bookmarkEnd w:id="318"/>
      <w:bookmarkEnd w:id="319"/>
      <w:bookmarkEnd w:id="320"/>
      <w:bookmarkEnd w:id="321"/>
    </w:p>
    <w:p w14:paraId="671B6266">
      <w:pPr>
        <w:pStyle w:val="4"/>
        <w:spacing w:before="0" w:after="0" w:line="500" w:lineRule="exact"/>
        <w:ind w:firstLine="118"/>
        <w:rPr>
          <w:rFonts w:ascii="Times New Roman" w:hAnsi="Times New Roman"/>
          <w:sz w:val="24"/>
          <w:szCs w:val="18"/>
        </w:rPr>
      </w:pPr>
      <w:r>
        <w:rPr>
          <w:rFonts w:ascii="Times New Roman" w:hAnsi="Times New Roman"/>
          <w:sz w:val="24"/>
          <w:szCs w:val="18"/>
        </w:rPr>
        <w:t>9.1 对招标人的纪律要求</w:t>
      </w:r>
    </w:p>
    <w:p w14:paraId="2F69828B">
      <w:pPr>
        <w:spacing w:line="500" w:lineRule="exact"/>
        <w:ind w:firstLine="420" w:firstLineChars="200"/>
        <w:rPr>
          <w:rFonts w:ascii="Times New Roman" w:hAnsi="Times New Roman"/>
        </w:rPr>
      </w:pPr>
      <w:r>
        <w:rPr>
          <w:rFonts w:ascii="Times New Roman" w:hAnsi="Times New Roman"/>
        </w:rPr>
        <w:t>招标人不得泄露招标投标活动中应当保密的情况和资料，不得与投标人串通损害国家利益、社会公共利益或者他人合法权益。</w:t>
      </w:r>
    </w:p>
    <w:p w14:paraId="779E85D2">
      <w:pPr>
        <w:pStyle w:val="4"/>
        <w:spacing w:before="0" w:after="0" w:line="500" w:lineRule="exact"/>
        <w:ind w:firstLine="118"/>
        <w:rPr>
          <w:rFonts w:ascii="Times New Roman" w:hAnsi="Times New Roman"/>
          <w:sz w:val="24"/>
          <w:szCs w:val="18"/>
        </w:rPr>
      </w:pPr>
      <w:r>
        <w:rPr>
          <w:rFonts w:ascii="Times New Roman" w:hAnsi="Times New Roman"/>
          <w:sz w:val="24"/>
          <w:szCs w:val="18"/>
        </w:rPr>
        <w:t>9.2 对投标人的纪律要求</w:t>
      </w:r>
    </w:p>
    <w:p w14:paraId="08667330">
      <w:pPr>
        <w:spacing w:line="500" w:lineRule="exact"/>
        <w:ind w:firstLine="420" w:firstLineChars="200"/>
        <w:rPr>
          <w:rFonts w:ascii="Times New Roman" w:hAnsi="Times New Roman"/>
        </w:rPr>
      </w:pPr>
      <w:r>
        <w:rPr>
          <w:rFonts w:ascii="Times New Roman" w:hAnsi="Times New Roman"/>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F87C0F8">
      <w:pPr>
        <w:pStyle w:val="4"/>
        <w:spacing w:before="0" w:after="0" w:line="500" w:lineRule="exact"/>
        <w:ind w:firstLine="118"/>
        <w:rPr>
          <w:rFonts w:ascii="Times New Roman" w:hAnsi="Times New Roman"/>
          <w:sz w:val="24"/>
          <w:szCs w:val="18"/>
        </w:rPr>
      </w:pPr>
      <w:r>
        <w:rPr>
          <w:rFonts w:ascii="Times New Roman" w:hAnsi="Times New Roman"/>
          <w:sz w:val="24"/>
          <w:szCs w:val="18"/>
        </w:rPr>
        <w:t>9.3 对评标委员会成员的纪律要求</w:t>
      </w:r>
    </w:p>
    <w:p w14:paraId="47150089">
      <w:pPr>
        <w:spacing w:line="500" w:lineRule="exact"/>
        <w:ind w:firstLine="420" w:firstLineChars="200"/>
        <w:rPr>
          <w:rFonts w:ascii="Times New Roman" w:hAnsi="Times New Roman"/>
        </w:rPr>
      </w:pPr>
      <w:r>
        <w:rPr>
          <w:rFonts w:ascii="Times New Roman" w:hAnsi="Times New Roman"/>
        </w:rPr>
        <w:t>评标委员会成员不得收受他人的财物或者其他好处，不得向他人透露对投标文件的评审</w:t>
      </w:r>
      <w:bookmarkStart w:id="322" w:name="_Toc352691515"/>
      <w:bookmarkStart w:id="323" w:name="_Toc361508628"/>
      <w:bookmarkStart w:id="324" w:name="_Toc13644"/>
      <w:bookmarkStart w:id="325" w:name="_Toc369531559"/>
      <w:bookmarkStart w:id="326" w:name="_Toc384308253"/>
      <w:r>
        <w:rPr>
          <w:rFonts w:ascii="Times New Roman" w:hAnsi="Times New Roman"/>
        </w:rPr>
        <w:t>和比较、中标候选人</w:t>
      </w:r>
      <w:bookmarkEnd w:id="295"/>
      <w:bookmarkEnd w:id="296"/>
      <w:bookmarkEnd w:id="297"/>
      <w:bookmarkEnd w:id="298"/>
      <w:bookmarkEnd w:id="299"/>
      <w:bookmarkEnd w:id="300"/>
      <w:bookmarkEnd w:id="322"/>
      <w:bookmarkEnd w:id="323"/>
      <w:bookmarkEnd w:id="324"/>
      <w:bookmarkEnd w:id="325"/>
      <w:bookmarkEnd w:id="326"/>
      <w:r>
        <w:rPr>
          <w:rFonts w:ascii="Times New Roman" w:hAnsi="Times New Roman"/>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9A64654">
      <w:pPr>
        <w:pStyle w:val="4"/>
        <w:spacing w:before="0" w:after="0" w:line="500" w:lineRule="exact"/>
        <w:ind w:firstLine="118"/>
        <w:rPr>
          <w:rFonts w:ascii="Times New Roman" w:hAnsi="Times New Roman"/>
          <w:sz w:val="24"/>
          <w:szCs w:val="18"/>
        </w:rPr>
      </w:pPr>
      <w:r>
        <w:rPr>
          <w:rFonts w:ascii="Times New Roman" w:hAnsi="Times New Roman"/>
          <w:sz w:val="24"/>
          <w:szCs w:val="18"/>
        </w:rPr>
        <w:t>9.4 对与评标活动有关的工作人员的纪律要求</w:t>
      </w:r>
    </w:p>
    <w:p w14:paraId="1703BC96">
      <w:pPr>
        <w:spacing w:line="500" w:lineRule="exact"/>
        <w:ind w:firstLine="420" w:firstLineChars="200"/>
        <w:rPr>
          <w:rFonts w:ascii="Times New Roman" w:hAnsi="Times New Roman"/>
        </w:rPr>
      </w:pPr>
      <w:r>
        <w:rPr>
          <w:rFonts w:ascii="Times New Roman" w:hAnsi="Times New Roman"/>
        </w:rPr>
        <w:t>与评标活动有关的工作人员不得收受他人的财物或者其他好处，不得向他人透露对投标文件</w:t>
      </w:r>
      <w:bookmarkStart w:id="327" w:name="_Toc361508629"/>
      <w:bookmarkStart w:id="328" w:name="_Toc247513993"/>
      <w:bookmarkStart w:id="329" w:name="_Toc19429"/>
      <w:bookmarkStart w:id="330" w:name="_Toc369531560"/>
      <w:bookmarkStart w:id="331" w:name="_Toc300834992"/>
      <w:bookmarkStart w:id="332" w:name="_Toc384308254"/>
      <w:bookmarkStart w:id="333" w:name="_Toc152045569"/>
      <w:bookmarkStart w:id="334" w:name="_Toc352691516"/>
      <w:bookmarkStart w:id="335" w:name="_Toc144974537"/>
      <w:bookmarkStart w:id="336" w:name="_Toc152042345"/>
      <w:bookmarkStart w:id="337" w:name="_Toc247527594"/>
      <w:r>
        <w:rPr>
          <w:rFonts w:ascii="Times New Roman" w:hAnsi="Times New Roman"/>
        </w:rPr>
        <w:t>的评审和比较、中标</w:t>
      </w:r>
      <w:bookmarkEnd w:id="327"/>
      <w:bookmarkEnd w:id="328"/>
      <w:bookmarkEnd w:id="329"/>
      <w:bookmarkEnd w:id="330"/>
      <w:bookmarkEnd w:id="331"/>
      <w:bookmarkEnd w:id="332"/>
      <w:bookmarkEnd w:id="333"/>
      <w:bookmarkEnd w:id="334"/>
      <w:bookmarkEnd w:id="335"/>
      <w:bookmarkEnd w:id="336"/>
      <w:bookmarkEnd w:id="337"/>
      <w:r>
        <w:rPr>
          <w:rFonts w:ascii="Times New Roman" w:hAnsi="Times New Roman"/>
        </w:rPr>
        <w:t>候选人的推荐情况以及评标有关的其他情况。在评标活动中，与评标活动有关的工作人员不得擅离职守，影响评标程序正常进行。</w:t>
      </w:r>
    </w:p>
    <w:p w14:paraId="10118F94">
      <w:pPr>
        <w:pStyle w:val="4"/>
        <w:spacing w:before="0" w:after="0" w:line="500" w:lineRule="exact"/>
        <w:ind w:firstLine="118"/>
        <w:rPr>
          <w:rFonts w:ascii="Times New Roman" w:hAnsi="Times New Roman"/>
          <w:sz w:val="24"/>
          <w:szCs w:val="18"/>
        </w:rPr>
      </w:pPr>
      <w:r>
        <w:rPr>
          <w:rFonts w:ascii="Times New Roman" w:hAnsi="Times New Roman"/>
          <w:sz w:val="24"/>
          <w:szCs w:val="18"/>
        </w:rPr>
        <w:t>9.5 投诉</w:t>
      </w:r>
    </w:p>
    <w:p w14:paraId="1C3F3472">
      <w:pPr>
        <w:spacing w:line="500" w:lineRule="exact"/>
        <w:ind w:firstLine="420" w:firstLineChars="200"/>
        <w:rPr>
          <w:rFonts w:ascii="Times New Roman" w:hAnsi="Times New Roman"/>
        </w:rPr>
      </w:pPr>
      <w:r>
        <w:rPr>
          <w:rFonts w:ascii="Times New Roman" w:hAnsi="Times New Roman"/>
        </w:rPr>
        <w:t>9.5.1 投标人或者其他利害关系人认为招标投标活动不符合法律、行政法规规定的，可以自知道或者应</w:t>
      </w:r>
      <w:r>
        <w:rPr>
          <w:rFonts w:ascii="Times New Roman" w:hAnsi="Times New Roman"/>
          <w:highlight w:val="none"/>
        </w:rPr>
        <w:t>当知道之日起</w:t>
      </w:r>
      <w:r>
        <w:rPr>
          <w:rFonts w:hint="eastAsia" w:ascii="Times New Roman" w:hAnsi="Times New Roman"/>
          <w:highlight w:val="none"/>
          <w:lang w:val="en-US" w:eastAsia="zh-CN"/>
        </w:rPr>
        <w:t>3</w:t>
      </w:r>
      <w:r>
        <w:rPr>
          <w:rFonts w:ascii="Times New Roman" w:hAnsi="Times New Roman"/>
          <w:highlight w:val="none"/>
        </w:rPr>
        <w:t>日</w:t>
      </w:r>
      <w:r>
        <w:rPr>
          <w:bCs/>
          <w:snapToGrid w:val="0"/>
          <w:kern w:val="0"/>
          <w:szCs w:val="21"/>
          <w:highlight w:val="none"/>
        </w:rPr>
        <w:t>内向</w:t>
      </w:r>
      <w:r>
        <w:rPr>
          <w:rFonts w:hint="eastAsia"/>
          <w:bCs/>
          <w:snapToGrid w:val="0"/>
          <w:kern w:val="0"/>
          <w:szCs w:val="21"/>
          <w:highlight w:val="none"/>
        </w:rPr>
        <w:t>招标</w:t>
      </w:r>
      <w:r>
        <w:rPr>
          <w:rFonts w:hint="eastAsia"/>
          <w:bCs/>
          <w:snapToGrid w:val="0"/>
          <w:color w:val="000000"/>
          <w:kern w:val="0"/>
          <w:szCs w:val="21"/>
          <w:highlight w:val="none"/>
        </w:rPr>
        <w:t>人监察部门</w:t>
      </w:r>
      <w:r>
        <w:rPr>
          <w:rFonts w:ascii="Times New Roman" w:hAnsi="Times New Roman"/>
          <w:color w:val="000000"/>
          <w:kern w:val="0"/>
          <w:szCs w:val="21"/>
          <w:highlight w:val="none"/>
        </w:rPr>
        <w:t>投诉</w:t>
      </w:r>
      <w:r>
        <w:rPr>
          <w:rFonts w:ascii="Times New Roman" w:hAnsi="Times New Roman"/>
          <w:highlight w:val="none"/>
        </w:rPr>
        <w:t>。投诉应当有明确的请求和必要的证明材料。</w:t>
      </w:r>
    </w:p>
    <w:p w14:paraId="2BE00BF6">
      <w:pPr>
        <w:spacing w:line="500" w:lineRule="exact"/>
        <w:ind w:firstLine="420" w:firstLineChars="200"/>
        <w:rPr>
          <w:rFonts w:ascii="Times New Roman" w:hAnsi="Times New Roman"/>
        </w:rPr>
      </w:pPr>
      <w:r>
        <w:rPr>
          <w:rFonts w:ascii="Times New Roman" w:hAnsi="Times New Roman"/>
        </w:rPr>
        <w:t>9.5.2 投标人或者其他利害关系人对招标文件、开标和评标结果提出投诉的，应当按照投标人须知第2.4款、第5.3款和第7.2款的规定先向招标人提出异议。异议答复期间</w:t>
      </w:r>
      <w:bookmarkStart w:id="338" w:name="_Toc384308255"/>
      <w:bookmarkStart w:id="339" w:name="_Toc361508630"/>
      <w:bookmarkStart w:id="340" w:name="_Toc247527595"/>
      <w:bookmarkStart w:id="341" w:name="_Toc152045570"/>
      <w:bookmarkStart w:id="342" w:name="_Toc152042346"/>
      <w:bookmarkStart w:id="343" w:name="_Toc300834993"/>
      <w:bookmarkStart w:id="344" w:name="_Toc352691517"/>
      <w:bookmarkStart w:id="345" w:name="_Toc247513994"/>
      <w:bookmarkStart w:id="346" w:name="_Toc369531561"/>
      <w:bookmarkStart w:id="347" w:name="_Toc144974538"/>
      <w:bookmarkStart w:id="348" w:name="_Toc12776"/>
      <w:r>
        <w:rPr>
          <w:rFonts w:ascii="Times New Roman" w:hAnsi="Times New Roman"/>
        </w:rPr>
        <w:t>不计算在第9.5.</w:t>
      </w:r>
      <w:bookmarkEnd w:id="338"/>
      <w:bookmarkEnd w:id="339"/>
      <w:bookmarkEnd w:id="340"/>
      <w:bookmarkEnd w:id="341"/>
      <w:bookmarkEnd w:id="342"/>
      <w:bookmarkEnd w:id="343"/>
      <w:bookmarkEnd w:id="344"/>
      <w:bookmarkEnd w:id="345"/>
      <w:bookmarkEnd w:id="346"/>
      <w:bookmarkEnd w:id="347"/>
      <w:bookmarkEnd w:id="348"/>
      <w:r>
        <w:rPr>
          <w:rFonts w:ascii="Times New Roman" w:hAnsi="Times New Roman"/>
        </w:rPr>
        <w:t>1项规定的期限内。</w:t>
      </w:r>
    </w:p>
    <w:p w14:paraId="2608C05D">
      <w:pPr>
        <w:pStyle w:val="3"/>
        <w:spacing w:before="0" w:after="0" w:line="500" w:lineRule="exact"/>
        <w:rPr>
          <w:rFonts w:ascii="Times New Roman" w:hAnsi="Times New Roman"/>
          <w:b w:val="0"/>
          <w:bCs/>
          <w:sz w:val="28"/>
          <w:szCs w:val="18"/>
        </w:rPr>
      </w:pPr>
      <w:bookmarkStart w:id="349" w:name="_Toc10847"/>
      <w:bookmarkStart w:id="350" w:name="_Toc3484"/>
      <w:bookmarkStart w:id="351" w:name="_Toc31042"/>
      <w:bookmarkStart w:id="352" w:name="_Toc18917"/>
      <w:bookmarkStart w:id="353" w:name="_Toc15539"/>
      <w:bookmarkStart w:id="354" w:name="_Toc27866"/>
      <w:bookmarkStart w:id="355" w:name="_Toc25285"/>
      <w:r>
        <w:rPr>
          <w:rFonts w:ascii="Times New Roman" w:hAnsi="Times New Roman"/>
          <w:b w:val="0"/>
          <w:bCs/>
          <w:sz w:val="28"/>
          <w:szCs w:val="18"/>
        </w:rPr>
        <w:t>10. 需要补充的其他内容</w:t>
      </w:r>
      <w:bookmarkEnd w:id="349"/>
      <w:bookmarkEnd w:id="350"/>
      <w:bookmarkEnd w:id="351"/>
      <w:bookmarkEnd w:id="352"/>
      <w:bookmarkEnd w:id="353"/>
      <w:bookmarkEnd w:id="354"/>
      <w:bookmarkEnd w:id="355"/>
    </w:p>
    <w:p w14:paraId="0B206F06">
      <w:pPr>
        <w:pStyle w:val="4"/>
        <w:spacing w:before="0" w:after="0" w:line="500" w:lineRule="exact"/>
        <w:ind w:firstLine="118"/>
        <w:rPr>
          <w:rFonts w:ascii="Times New Roman" w:hAnsi="Times New Roman"/>
          <w:bCs/>
          <w:sz w:val="24"/>
          <w:szCs w:val="18"/>
        </w:rPr>
      </w:pPr>
      <w:r>
        <w:rPr>
          <w:rFonts w:ascii="Times New Roman" w:hAnsi="Times New Roman"/>
          <w:bCs/>
          <w:sz w:val="24"/>
          <w:szCs w:val="18"/>
        </w:rPr>
        <w:t>10.1重要提示</w:t>
      </w:r>
    </w:p>
    <w:p w14:paraId="7DA14447">
      <w:pPr>
        <w:spacing w:line="500" w:lineRule="exact"/>
        <w:ind w:firstLine="420" w:firstLineChars="200"/>
        <w:rPr>
          <w:rFonts w:ascii="Times New Roman" w:hAnsi="Times New Roman"/>
          <w:color w:val="000000"/>
        </w:rPr>
      </w:pPr>
      <w:r>
        <w:rPr>
          <w:rFonts w:ascii="Times New Roman" w:hAnsi="Times New Roman"/>
          <w:color w:val="000000"/>
        </w:rPr>
        <w:t>（1）项目负责人必须是投标人本单位工作人员。</w:t>
      </w:r>
    </w:p>
    <w:p w14:paraId="7B4519AA">
      <w:pPr>
        <w:spacing w:line="500" w:lineRule="exact"/>
        <w:ind w:firstLine="420" w:firstLineChars="200"/>
        <w:rPr>
          <w:rFonts w:ascii="Times New Roman" w:hAnsi="Times New Roman"/>
          <w:color w:val="000000"/>
        </w:rPr>
      </w:pPr>
      <w:r>
        <w:rPr>
          <w:rFonts w:ascii="Times New Roman" w:hAnsi="Times New Roman"/>
          <w:color w:val="000000"/>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24C4612C">
      <w:pPr>
        <w:spacing w:line="500" w:lineRule="exact"/>
        <w:ind w:firstLine="420" w:firstLineChars="200"/>
        <w:rPr>
          <w:rFonts w:ascii="Times New Roman" w:hAnsi="Times New Roman"/>
          <w:color w:val="000000"/>
        </w:rPr>
      </w:pPr>
      <w:r>
        <w:rPr>
          <w:rFonts w:ascii="Times New Roman" w:hAnsi="Times New Roman"/>
          <w:color w:val="000000"/>
        </w:rPr>
        <w:t>（3）中标人应在规定期限内提交履约保证金并与招标人签订合同，若中标人未能在规定期限内提交履约保证金或签订合同，招标人有权取消中标人中标资格。</w:t>
      </w:r>
    </w:p>
    <w:p w14:paraId="446D3D0B">
      <w:pPr>
        <w:spacing w:line="500" w:lineRule="exact"/>
        <w:ind w:firstLine="420" w:firstLineChars="200"/>
        <w:rPr>
          <w:rFonts w:ascii="Times New Roman" w:hAnsi="Times New Roman"/>
          <w:color w:val="000000"/>
        </w:rPr>
      </w:pPr>
      <w:r>
        <w:rPr>
          <w:rFonts w:ascii="Times New Roman" w:hAnsi="Times New Roman"/>
          <w:color w:val="000000"/>
        </w:rPr>
        <w:t>（4）合同签订后，中标人存在规定时间内不组织人员进场开工，不履行合同义务等情况，招标人有权解除合同，并追究违约责任。</w:t>
      </w:r>
    </w:p>
    <w:p w14:paraId="474CD4FC">
      <w:pPr>
        <w:spacing w:line="500" w:lineRule="exact"/>
        <w:ind w:firstLine="420" w:firstLineChars="200"/>
        <w:rPr>
          <w:rFonts w:ascii="Times New Roman" w:hAnsi="Times New Roman"/>
          <w:color w:val="000000"/>
        </w:rPr>
      </w:pPr>
      <w:r>
        <w:rPr>
          <w:rFonts w:ascii="Times New Roman" w:hAnsi="Times New Roman"/>
          <w:color w:val="000000"/>
        </w:rPr>
        <w:t>（5）中标人在中标项目发生投诉、信访举报案件、履约存在争议时，拒绝协助配合有关部门调查案件的，招标人可以取消其中标资格或解除合同，并追究其违约责任。</w:t>
      </w:r>
    </w:p>
    <w:p w14:paraId="3F0F80F9">
      <w:pPr>
        <w:spacing w:line="500" w:lineRule="exact"/>
        <w:ind w:firstLine="420" w:firstLineChars="200"/>
        <w:rPr>
          <w:rFonts w:ascii="Times New Roman" w:hAnsi="Times New Roman"/>
          <w:color w:val="000000"/>
        </w:rPr>
      </w:pPr>
      <w:r>
        <w:rPr>
          <w:rFonts w:ascii="Times New Roman" w:hAnsi="Times New Roman"/>
          <w:color w:val="000000"/>
        </w:rPr>
        <w:t>（6）中标人在中标项目发生投诉、信访举报案件、履约存在争议时，拒绝协助配合执法部门调查案件的，招标人可以取消其中标资格或解除合同，并追究其违约责任。</w:t>
      </w:r>
    </w:p>
    <w:p w14:paraId="2150D4BB">
      <w:pPr>
        <w:spacing w:line="500" w:lineRule="exact"/>
        <w:ind w:firstLine="420" w:firstLineChars="200"/>
        <w:rPr>
          <w:rFonts w:ascii="Times New Roman" w:hAnsi="Times New Roman"/>
        </w:rPr>
      </w:pPr>
      <w:r>
        <w:rPr>
          <w:rFonts w:ascii="Times New Roman" w:hAnsi="Times New Roman"/>
        </w:rPr>
        <w:t>需要补充的其他内容：见投标人须知前附表。</w:t>
      </w:r>
    </w:p>
    <w:p w14:paraId="54B8E1EF">
      <w:pPr>
        <w:pStyle w:val="2"/>
        <w:spacing w:before="240" w:beforeLines="100" w:after="240" w:afterLines="100" w:line="360" w:lineRule="auto"/>
        <w:jc w:val="center"/>
        <w:rPr>
          <w:rFonts w:eastAsia="黑体"/>
          <w:b w:val="0"/>
          <w:sz w:val="32"/>
          <w:szCs w:val="32"/>
        </w:rPr>
      </w:pPr>
      <w:r>
        <w:br w:type="page"/>
      </w:r>
      <w:bookmarkStart w:id="356" w:name="_Toc141"/>
      <w:bookmarkStart w:id="357" w:name="_Toc30169"/>
      <w:r>
        <w:rPr>
          <w:rFonts w:eastAsia="黑体"/>
          <w:bCs/>
          <w:kern w:val="2"/>
          <w:sz w:val="32"/>
          <w:szCs w:val="32"/>
        </w:rPr>
        <w:t>第三章</w:t>
      </w:r>
      <w:r>
        <w:rPr>
          <w:rFonts w:hint="eastAsia" w:eastAsia="黑体"/>
          <w:bCs/>
          <w:kern w:val="2"/>
          <w:sz w:val="32"/>
          <w:szCs w:val="32"/>
        </w:rPr>
        <w:t xml:space="preserve"> </w:t>
      </w:r>
      <w:r>
        <w:rPr>
          <w:rFonts w:eastAsia="黑体"/>
          <w:bCs/>
          <w:kern w:val="2"/>
          <w:sz w:val="32"/>
          <w:szCs w:val="32"/>
        </w:rPr>
        <w:t>评标办法</w:t>
      </w:r>
      <w:r>
        <w:rPr>
          <w:rFonts w:eastAsia="黑体"/>
          <w:b w:val="0"/>
        </w:rPr>
        <w:br w:type="textWrapping"/>
      </w:r>
      <w:r>
        <w:rPr>
          <w:rFonts w:eastAsia="黑体"/>
          <w:b w:val="0"/>
          <w:sz w:val="32"/>
          <w:szCs w:val="32"/>
        </w:rPr>
        <w:t>（第一种：综合评估法（有效价格））</w:t>
      </w:r>
      <w:bookmarkEnd w:id="356"/>
      <w:bookmarkEnd w:id="357"/>
    </w:p>
    <w:p w14:paraId="48D24A9B">
      <w:pPr>
        <w:spacing w:line="360" w:lineRule="auto"/>
        <w:jc w:val="center"/>
        <w:outlineLvl w:val="0"/>
        <w:rPr>
          <w:rFonts w:ascii="Times New Roman" w:hAnsi="Times New Roman" w:eastAsia="黑体"/>
          <w:sz w:val="28"/>
          <w:szCs w:val="28"/>
        </w:rPr>
      </w:pPr>
      <w:bookmarkStart w:id="358" w:name="_Toc27278"/>
      <w:bookmarkStart w:id="359" w:name="_Toc6955"/>
      <w:bookmarkStart w:id="360" w:name="_Toc10322"/>
      <w:bookmarkStart w:id="361" w:name="_Toc27152"/>
      <w:bookmarkStart w:id="362" w:name="_Toc23205"/>
      <w:bookmarkStart w:id="363" w:name="_Toc31546"/>
      <w:bookmarkStart w:id="364" w:name="_Toc16557"/>
      <w:r>
        <w:rPr>
          <w:rFonts w:ascii="Times New Roman" w:hAnsi="Times New Roman" w:eastAsia="黑体"/>
          <w:sz w:val="28"/>
          <w:szCs w:val="28"/>
        </w:rPr>
        <w:t>评标办法前附表</w:t>
      </w:r>
    </w:p>
    <w:tbl>
      <w:tblPr>
        <w:tblStyle w:val="43"/>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14:paraId="3A86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42" w:type="dxa"/>
            <w:gridSpan w:val="2"/>
            <w:noWrap w:val="0"/>
            <w:vAlign w:val="center"/>
          </w:tcPr>
          <w:p w14:paraId="07F81B4E">
            <w:pPr>
              <w:widowControl/>
              <w:spacing w:line="500" w:lineRule="exact"/>
              <w:jc w:val="center"/>
              <w:rPr>
                <w:rFonts w:ascii="Times New Roman" w:hAnsi="Times New Roman"/>
                <w:kern w:val="0"/>
                <w:szCs w:val="21"/>
              </w:rPr>
            </w:pPr>
            <w:r>
              <w:rPr>
                <w:rFonts w:ascii="Times New Roman" w:hAnsi="Times New Roman"/>
                <w:b/>
                <w:bCs/>
                <w:kern w:val="0"/>
                <w:szCs w:val="21"/>
              </w:rPr>
              <w:t>条款号</w:t>
            </w:r>
          </w:p>
        </w:tc>
        <w:tc>
          <w:tcPr>
            <w:tcW w:w="1471" w:type="dxa"/>
            <w:noWrap w:val="0"/>
            <w:vAlign w:val="center"/>
          </w:tcPr>
          <w:p w14:paraId="1F82A88A">
            <w:pPr>
              <w:widowControl/>
              <w:spacing w:line="500" w:lineRule="exact"/>
              <w:ind w:firstLine="105" w:firstLineChars="50"/>
              <w:jc w:val="left"/>
              <w:rPr>
                <w:rFonts w:ascii="Times New Roman" w:hAnsi="Times New Roman"/>
                <w:kern w:val="0"/>
                <w:szCs w:val="21"/>
              </w:rPr>
            </w:pPr>
            <w:r>
              <w:rPr>
                <w:rFonts w:ascii="Times New Roman" w:hAnsi="Times New Roman"/>
                <w:b/>
                <w:bCs/>
                <w:kern w:val="0"/>
                <w:szCs w:val="21"/>
              </w:rPr>
              <w:t>评审因素</w:t>
            </w:r>
          </w:p>
        </w:tc>
        <w:tc>
          <w:tcPr>
            <w:tcW w:w="5869" w:type="dxa"/>
            <w:noWrap w:val="0"/>
            <w:vAlign w:val="center"/>
          </w:tcPr>
          <w:p w14:paraId="36069998">
            <w:pPr>
              <w:widowControl/>
              <w:spacing w:line="500" w:lineRule="exact"/>
              <w:ind w:firstLine="105" w:firstLineChars="50"/>
              <w:jc w:val="center"/>
              <w:rPr>
                <w:rFonts w:ascii="Times New Roman" w:hAnsi="Times New Roman"/>
                <w:kern w:val="0"/>
                <w:szCs w:val="21"/>
              </w:rPr>
            </w:pPr>
            <w:r>
              <w:rPr>
                <w:rFonts w:ascii="Times New Roman" w:hAnsi="Times New Roman"/>
                <w:b/>
                <w:bCs/>
                <w:kern w:val="0"/>
                <w:szCs w:val="21"/>
              </w:rPr>
              <w:t>评审标准</w:t>
            </w:r>
          </w:p>
        </w:tc>
      </w:tr>
      <w:tr w14:paraId="7A5E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noWrap w:val="0"/>
            <w:vAlign w:val="center"/>
          </w:tcPr>
          <w:p w14:paraId="6C89EA7C">
            <w:pPr>
              <w:widowControl/>
              <w:spacing w:line="500" w:lineRule="exact"/>
              <w:jc w:val="center"/>
              <w:rPr>
                <w:rFonts w:ascii="Times New Roman" w:hAnsi="Times New Roman"/>
                <w:bCs/>
                <w:kern w:val="0"/>
                <w:szCs w:val="21"/>
              </w:rPr>
            </w:pPr>
            <w:r>
              <w:rPr>
                <w:rFonts w:ascii="Times New Roman" w:hAnsi="Times New Roman"/>
                <w:bCs/>
                <w:kern w:val="0"/>
                <w:szCs w:val="21"/>
              </w:rPr>
              <w:t>1</w:t>
            </w:r>
          </w:p>
        </w:tc>
        <w:tc>
          <w:tcPr>
            <w:tcW w:w="858" w:type="dxa"/>
            <w:vMerge w:val="restart"/>
            <w:noWrap w:val="0"/>
            <w:vAlign w:val="center"/>
          </w:tcPr>
          <w:p w14:paraId="49066B6D">
            <w:pPr>
              <w:widowControl/>
              <w:spacing w:line="500" w:lineRule="exact"/>
              <w:jc w:val="center"/>
              <w:rPr>
                <w:rFonts w:ascii="Times New Roman" w:hAnsi="Times New Roman"/>
                <w:bCs/>
                <w:kern w:val="0"/>
                <w:szCs w:val="21"/>
              </w:rPr>
            </w:pPr>
            <w:r>
              <w:rPr>
                <w:rFonts w:ascii="Times New Roman" w:hAnsi="Times New Roman"/>
                <w:bCs/>
                <w:kern w:val="0"/>
                <w:szCs w:val="21"/>
              </w:rPr>
              <w:t>评标办法</w:t>
            </w:r>
          </w:p>
        </w:tc>
        <w:tc>
          <w:tcPr>
            <w:tcW w:w="1471" w:type="dxa"/>
            <w:noWrap w:val="0"/>
            <w:tcMar>
              <w:left w:w="75" w:type="dxa"/>
            </w:tcMar>
            <w:vAlign w:val="center"/>
          </w:tcPr>
          <w:p w14:paraId="74C8F30A">
            <w:pPr>
              <w:widowControl/>
              <w:adjustRightInd w:val="0"/>
              <w:snapToGrid w:val="0"/>
              <w:spacing w:line="500" w:lineRule="exact"/>
              <w:jc w:val="center"/>
              <w:rPr>
                <w:rFonts w:ascii="Times New Roman" w:hAnsi="Times New Roman"/>
                <w:kern w:val="0"/>
                <w:szCs w:val="21"/>
              </w:rPr>
            </w:pPr>
            <w:r>
              <w:rPr>
                <w:rFonts w:ascii="Times New Roman" w:hAnsi="Times New Roman"/>
                <w:kern w:val="0"/>
                <w:szCs w:val="21"/>
              </w:rPr>
              <w:t>中标候选人排序方法</w:t>
            </w:r>
          </w:p>
        </w:tc>
        <w:tc>
          <w:tcPr>
            <w:tcW w:w="5869" w:type="dxa"/>
            <w:noWrap w:val="0"/>
            <w:tcMar>
              <w:left w:w="75" w:type="dxa"/>
            </w:tcMar>
            <w:vAlign w:val="center"/>
          </w:tcPr>
          <w:p w14:paraId="2007EB1B">
            <w:pPr>
              <w:widowControl/>
              <w:adjustRightInd w:val="0"/>
              <w:snapToGrid w:val="0"/>
              <w:spacing w:line="500" w:lineRule="exact"/>
              <w:jc w:val="left"/>
              <w:rPr>
                <w:rFonts w:ascii="Times New Roman" w:hAnsi="Times New Roman"/>
              </w:rPr>
            </w:pPr>
            <w:r>
              <w:rPr>
                <w:rFonts w:ascii="Times New Roman" w:hAnsi="Times New Roman"/>
              </w:rPr>
              <w:t>评标委员会对满足招标文件实质性要求的投标文件，按照本章第2.2款规定的评分标准进行打分，并按得分由高到低顺序推荐中标候选人。综合评分相等时，以投标报价低的优先；投标报价也相等的，以技术得分高的优先；如果技术得分也相等，由评标委员会根据投标文件投票，按少数服从多数的原则确定中标候选人顺序</w:t>
            </w:r>
            <w:r>
              <w:rPr>
                <w:rFonts w:ascii="Times New Roman" w:hAnsi="Times New Roman"/>
                <w:kern w:val="0"/>
                <w:szCs w:val="21"/>
              </w:rPr>
              <w:t>。</w:t>
            </w:r>
          </w:p>
        </w:tc>
      </w:tr>
      <w:tr w14:paraId="1230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noWrap w:val="0"/>
            <w:vAlign w:val="center"/>
          </w:tcPr>
          <w:p w14:paraId="0A065CB3">
            <w:pPr>
              <w:widowControl/>
              <w:spacing w:line="500" w:lineRule="exact"/>
              <w:jc w:val="center"/>
              <w:rPr>
                <w:rFonts w:ascii="Times New Roman" w:hAnsi="Times New Roman"/>
                <w:bCs/>
                <w:kern w:val="0"/>
                <w:szCs w:val="21"/>
              </w:rPr>
            </w:pPr>
          </w:p>
        </w:tc>
        <w:tc>
          <w:tcPr>
            <w:tcW w:w="858" w:type="dxa"/>
            <w:vMerge w:val="continue"/>
            <w:noWrap w:val="0"/>
            <w:vAlign w:val="center"/>
          </w:tcPr>
          <w:p w14:paraId="3D3A459E">
            <w:pPr>
              <w:widowControl/>
              <w:spacing w:line="500" w:lineRule="exact"/>
              <w:jc w:val="center"/>
              <w:rPr>
                <w:rFonts w:ascii="Times New Roman" w:hAnsi="Times New Roman"/>
                <w:bCs/>
                <w:kern w:val="0"/>
                <w:szCs w:val="21"/>
              </w:rPr>
            </w:pPr>
          </w:p>
        </w:tc>
        <w:tc>
          <w:tcPr>
            <w:tcW w:w="1471" w:type="dxa"/>
            <w:noWrap w:val="0"/>
            <w:tcMar>
              <w:left w:w="75" w:type="dxa"/>
            </w:tcMar>
            <w:vAlign w:val="center"/>
          </w:tcPr>
          <w:p w14:paraId="47096147">
            <w:pPr>
              <w:widowControl/>
              <w:spacing w:line="500" w:lineRule="exact"/>
              <w:jc w:val="center"/>
              <w:rPr>
                <w:rFonts w:ascii="Times New Roman" w:hAnsi="Times New Roman"/>
                <w:kern w:val="0"/>
                <w:szCs w:val="21"/>
              </w:rPr>
            </w:pPr>
            <w:r>
              <w:rPr>
                <w:rFonts w:ascii="Times New Roman" w:hAnsi="Times New Roman"/>
                <w:kern w:val="0"/>
                <w:szCs w:val="21"/>
              </w:rPr>
              <w:t>最多可中标段数量</w:t>
            </w:r>
            <w:r>
              <w:rPr>
                <w:rStyle w:val="51"/>
                <w:rFonts w:ascii="Times New Roman" w:hAnsi="Times New Roman"/>
                <w:kern w:val="0"/>
                <w:szCs w:val="21"/>
              </w:rPr>
              <w:footnoteReference w:id="1"/>
            </w:r>
          </w:p>
        </w:tc>
        <w:tc>
          <w:tcPr>
            <w:tcW w:w="5869" w:type="dxa"/>
            <w:noWrap w:val="0"/>
            <w:tcMar>
              <w:left w:w="75" w:type="dxa"/>
            </w:tcMar>
            <w:vAlign w:val="center"/>
          </w:tcPr>
          <w:p w14:paraId="35EB96EE">
            <w:pPr>
              <w:widowControl/>
              <w:spacing w:line="500" w:lineRule="exact"/>
              <w:jc w:val="left"/>
              <w:rPr>
                <w:rFonts w:ascii="Times New Roman" w:hAnsi="Times New Roman" w:eastAsia="楷体"/>
                <w:bCs/>
                <w:snapToGrid w:val="0"/>
                <w:kern w:val="0"/>
                <w:szCs w:val="21"/>
              </w:rPr>
            </w:pPr>
          </w:p>
        </w:tc>
      </w:tr>
      <w:tr w14:paraId="428C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14:paraId="00AD000D">
            <w:pPr>
              <w:widowControl/>
              <w:spacing w:line="500" w:lineRule="exact"/>
              <w:jc w:val="center"/>
              <w:rPr>
                <w:rFonts w:ascii="Times New Roman" w:hAnsi="Times New Roman"/>
                <w:bCs/>
                <w:kern w:val="0"/>
                <w:szCs w:val="21"/>
              </w:rPr>
            </w:pPr>
            <w:r>
              <w:rPr>
                <w:rFonts w:ascii="Times New Roman" w:hAnsi="Times New Roman"/>
                <w:bCs/>
                <w:kern w:val="0"/>
                <w:szCs w:val="21"/>
              </w:rPr>
              <w:t>2.2.1</w:t>
            </w:r>
          </w:p>
        </w:tc>
        <w:tc>
          <w:tcPr>
            <w:tcW w:w="858" w:type="dxa"/>
            <w:noWrap w:val="0"/>
            <w:vAlign w:val="center"/>
          </w:tcPr>
          <w:p w14:paraId="016E4D81">
            <w:pPr>
              <w:widowControl/>
              <w:spacing w:line="500" w:lineRule="exact"/>
              <w:jc w:val="center"/>
              <w:rPr>
                <w:rFonts w:ascii="Times New Roman" w:hAnsi="Times New Roman"/>
                <w:bCs/>
                <w:kern w:val="0"/>
                <w:szCs w:val="21"/>
              </w:rPr>
            </w:pPr>
            <w:r>
              <w:rPr>
                <w:rFonts w:ascii="Times New Roman" w:hAnsi="Times New Roman"/>
              </w:rPr>
              <w:t>分值构成</w:t>
            </w:r>
          </w:p>
        </w:tc>
        <w:tc>
          <w:tcPr>
            <w:tcW w:w="1471" w:type="dxa"/>
            <w:noWrap w:val="0"/>
            <w:tcMar>
              <w:left w:w="75" w:type="dxa"/>
            </w:tcMar>
            <w:vAlign w:val="center"/>
          </w:tcPr>
          <w:p w14:paraId="71DCE2E7">
            <w:pPr>
              <w:spacing w:line="500" w:lineRule="exact"/>
              <w:jc w:val="center"/>
              <w:rPr>
                <w:rFonts w:ascii="Times New Roman" w:hAnsi="Times New Roman"/>
              </w:rPr>
            </w:pPr>
            <w:r>
              <w:rPr>
                <w:rFonts w:ascii="Times New Roman" w:hAnsi="Times New Roman"/>
              </w:rPr>
              <w:t>分值构成</w:t>
            </w:r>
          </w:p>
          <w:p w14:paraId="37D2FA75">
            <w:pPr>
              <w:widowControl/>
              <w:spacing w:line="500" w:lineRule="exact"/>
              <w:jc w:val="center"/>
              <w:rPr>
                <w:rFonts w:ascii="Times New Roman" w:hAnsi="Times New Roman"/>
                <w:kern w:val="0"/>
                <w:szCs w:val="21"/>
              </w:rPr>
            </w:pPr>
            <w:r>
              <w:rPr>
                <w:rFonts w:ascii="Times New Roman" w:hAnsi="Times New Roman"/>
              </w:rPr>
              <w:t>（总分</w:t>
            </w:r>
            <w:r>
              <w:rPr>
                <w:rFonts w:hint="eastAsia" w:ascii="Times New Roman" w:hAnsi="Times New Roman"/>
                <w:lang w:val="en-US" w:eastAsia="zh-CN"/>
              </w:rPr>
              <w:t>100</w:t>
            </w:r>
            <w:r>
              <w:rPr>
                <w:rFonts w:ascii="Times New Roman" w:hAnsi="Times New Roman"/>
              </w:rPr>
              <w:t>分）</w:t>
            </w:r>
          </w:p>
        </w:tc>
        <w:tc>
          <w:tcPr>
            <w:tcW w:w="5869" w:type="dxa"/>
            <w:noWrap w:val="0"/>
            <w:tcMar>
              <w:left w:w="75" w:type="dxa"/>
            </w:tcMar>
            <w:vAlign w:val="center"/>
          </w:tcPr>
          <w:p w14:paraId="69B44D37">
            <w:pPr>
              <w:spacing w:line="500" w:lineRule="exact"/>
              <w:ind w:firstLine="105" w:firstLineChars="50"/>
              <w:rPr>
                <w:rFonts w:ascii="Times New Roman" w:hAnsi="Times New Roman"/>
              </w:rPr>
            </w:pPr>
            <w:r>
              <w:rPr>
                <w:rFonts w:ascii="Times New Roman" w:hAnsi="Times New Roman"/>
              </w:rPr>
              <w:t>（1）商务部分：</w:t>
            </w:r>
            <w:r>
              <w:rPr>
                <w:rFonts w:ascii="Times New Roman" w:hAnsi="Times New Roman"/>
                <w:u w:val="single"/>
              </w:rPr>
              <w:t xml:space="preserve"> </w:t>
            </w:r>
            <w:r>
              <w:rPr>
                <w:rFonts w:hint="eastAsia" w:ascii="Times New Roman" w:hAnsi="Times New Roman"/>
                <w:u w:val="single"/>
                <w:lang w:val="en-US" w:eastAsia="zh-CN"/>
              </w:rPr>
              <w:t>50</w:t>
            </w:r>
            <w:r>
              <w:rPr>
                <w:rFonts w:ascii="Times New Roman" w:hAnsi="Times New Roman"/>
                <w:u w:val="single"/>
              </w:rPr>
              <w:t xml:space="preserve"> </w:t>
            </w:r>
            <w:r>
              <w:rPr>
                <w:rFonts w:ascii="Times New Roman" w:hAnsi="Times New Roman"/>
              </w:rPr>
              <w:t>分</w:t>
            </w:r>
          </w:p>
          <w:p w14:paraId="7C0734F0">
            <w:pPr>
              <w:spacing w:line="500" w:lineRule="exact"/>
              <w:ind w:firstLine="105" w:firstLineChars="50"/>
              <w:rPr>
                <w:rFonts w:ascii="Times New Roman" w:hAnsi="Times New Roman"/>
              </w:rPr>
            </w:pPr>
            <w:r>
              <w:rPr>
                <w:rFonts w:ascii="Times New Roman" w:hAnsi="Times New Roman"/>
              </w:rPr>
              <w:t>（2）技术部分：</w:t>
            </w:r>
            <w:r>
              <w:rPr>
                <w:rFonts w:ascii="Times New Roman" w:hAnsi="Times New Roman"/>
                <w:u w:val="single"/>
              </w:rPr>
              <w:t xml:space="preserve"> </w:t>
            </w:r>
            <w:r>
              <w:rPr>
                <w:rFonts w:hint="eastAsia" w:ascii="Times New Roman" w:hAnsi="Times New Roman"/>
                <w:u w:val="single"/>
                <w:lang w:val="en-US" w:eastAsia="zh-CN"/>
              </w:rPr>
              <w:t>40</w:t>
            </w:r>
            <w:r>
              <w:rPr>
                <w:rFonts w:ascii="Times New Roman" w:hAnsi="Times New Roman"/>
                <w:u w:val="single"/>
              </w:rPr>
              <w:t xml:space="preserve"> </w:t>
            </w:r>
            <w:r>
              <w:rPr>
                <w:rFonts w:ascii="Times New Roman" w:hAnsi="Times New Roman"/>
              </w:rPr>
              <w:t>分</w:t>
            </w:r>
          </w:p>
          <w:p w14:paraId="5072390C">
            <w:pPr>
              <w:widowControl/>
              <w:spacing w:line="500" w:lineRule="exact"/>
              <w:ind w:firstLine="105" w:firstLineChars="50"/>
              <w:jc w:val="left"/>
              <w:rPr>
                <w:rFonts w:ascii="Times New Roman" w:hAnsi="Times New Roman"/>
                <w:b/>
                <w:kern w:val="0"/>
                <w:sz w:val="32"/>
                <w:szCs w:val="21"/>
              </w:rPr>
            </w:pPr>
            <w:r>
              <w:rPr>
                <w:rFonts w:ascii="Times New Roman" w:hAnsi="Times New Roman"/>
              </w:rPr>
              <w:t>（3）投标报价：</w:t>
            </w:r>
            <w:r>
              <w:rPr>
                <w:rFonts w:ascii="Times New Roman" w:hAnsi="Times New Roman"/>
                <w:u w:val="single"/>
              </w:rPr>
              <w:t xml:space="preserve"> </w:t>
            </w:r>
            <w:r>
              <w:rPr>
                <w:rFonts w:hint="eastAsia" w:ascii="Times New Roman" w:hAnsi="Times New Roman"/>
                <w:u w:val="single"/>
                <w:lang w:val="en-US" w:eastAsia="zh-CN"/>
              </w:rPr>
              <w:t>10</w:t>
            </w:r>
            <w:r>
              <w:rPr>
                <w:rFonts w:ascii="Times New Roman" w:hAnsi="Times New Roman"/>
                <w:u w:val="single"/>
              </w:rPr>
              <w:t xml:space="preserve"> </w:t>
            </w:r>
            <w:r>
              <w:rPr>
                <w:rFonts w:ascii="Times New Roman" w:hAnsi="Times New Roman"/>
              </w:rPr>
              <w:t>分</w:t>
            </w:r>
          </w:p>
        </w:tc>
      </w:tr>
      <w:tr w14:paraId="4B8F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noWrap w:val="0"/>
            <w:vAlign w:val="center"/>
          </w:tcPr>
          <w:p w14:paraId="6A5C34DA">
            <w:pPr>
              <w:widowControl/>
              <w:spacing w:line="500" w:lineRule="exact"/>
              <w:jc w:val="center"/>
              <w:rPr>
                <w:rFonts w:ascii="Times New Roman" w:hAnsi="Times New Roman"/>
                <w:bCs/>
                <w:kern w:val="0"/>
                <w:szCs w:val="21"/>
              </w:rPr>
            </w:pPr>
            <w:r>
              <w:rPr>
                <w:rFonts w:ascii="Times New Roman" w:hAnsi="Times New Roman"/>
              </w:rPr>
              <w:t>2.2.2</w:t>
            </w:r>
          </w:p>
        </w:tc>
        <w:tc>
          <w:tcPr>
            <w:tcW w:w="858" w:type="dxa"/>
            <w:vMerge w:val="restart"/>
            <w:noWrap w:val="0"/>
            <w:vAlign w:val="center"/>
          </w:tcPr>
          <w:p w14:paraId="3891DF19">
            <w:pPr>
              <w:widowControl/>
              <w:spacing w:line="500" w:lineRule="exact"/>
              <w:jc w:val="center"/>
              <w:rPr>
                <w:rFonts w:ascii="Times New Roman" w:hAnsi="Times New Roman"/>
                <w:bCs/>
                <w:kern w:val="0"/>
                <w:szCs w:val="21"/>
              </w:rPr>
            </w:pPr>
            <w:r>
              <w:rPr>
                <w:rFonts w:ascii="Times New Roman" w:hAnsi="Times New Roman"/>
              </w:rPr>
              <w:t>评标基准价计算</w:t>
            </w:r>
          </w:p>
        </w:tc>
        <w:tc>
          <w:tcPr>
            <w:tcW w:w="1471" w:type="dxa"/>
            <w:noWrap w:val="0"/>
            <w:tcMar>
              <w:left w:w="75" w:type="dxa"/>
            </w:tcMar>
            <w:vAlign w:val="center"/>
          </w:tcPr>
          <w:p w14:paraId="77F8F75C">
            <w:pPr>
              <w:snapToGrid w:val="0"/>
              <w:spacing w:line="500" w:lineRule="exact"/>
              <w:jc w:val="center"/>
              <w:rPr>
                <w:rFonts w:ascii="Times New Roman" w:hAnsi="Times New Roman"/>
                <w:kern w:val="0"/>
                <w:szCs w:val="21"/>
              </w:rPr>
            </w:pPr>
            <w:r>
              <w:rPr>
                <w:rFonts w:ascii="Times New Roman" w:hAnsi="Times New Roman"/>
              </w:rPr>
              <w:t>价格分评标基准价计算</w:t>
            </w:r>
          </w:p>
        </w:tc>
        <w:tc>
          <w:tcPr>
            <w:tcW w:w="5869" w:type="dxa"/>
            <w:noWrap w:val="0"/>
            <w:tcMar>
              <w:left w:w="75" w:type="dxa"/>
            </w:tcMar>
            <w:vAlign w:val="center"/>
          </w:tcPr>
          <w:p w14:paraId="507BCB95">
            <w:pPr>
              <w:widowControl/>
              <w:spacing w:line="500" w:lineRule="exact"/>
              <w:ind w:firstLine="420" w:firstLineChars="200"/>
              <w:jc w:val="left"/>
              <w:rPr>
                <w:rFonts w:ascii="Times New Roman" w:hAnsi="Times New Roman"/>
                <w:color w:val="000000"/>
              </w:rPr>
            </w:pPr>
            <w:r>
              <w:rPr>
                <w:rFonts w:ascii="Times New Roman" w:hAnsi="Times New Roman"/>
                <w:color w:val="000000"/>
              </w:rPr>
              <w:t>评标价=投标函文字报价</w:t>
            </w:r>
          </w:p>
          <w:p w14:paraId="35009270">
            <w:pPr>
              <w:spacing w:line="500" w:lineRule="exact"/>
              <w:ind w:firstLine="420" w:firstLineChars="200"/>
              <w:rPr>
                <w:rFonts w:ascii="Times New Roman" w:hAnsi="Times New Roman"/>
                <w:color w:val="000000"/>
              </w:rPr>
            </w:pPr>
            <w:r>
              <w:rPr>
                <w:rFonts w:ascii="Times New Roman" w:hAnsi="Times New Roman"/>
                <w:color w:val="000000"/>
              </w:rPr>
              <w:t>评标基准价计算：通过商务及技术文件、报价文件初步评审的投标人最低评标价作为评标基准价</w:t>
            </w:r>
          </w:p>
          <w:p w14:paraId="7C5085ED">
            <w:pPr>
              <w:widowControl/>
              <w:snapToGrid w:val="0"/>
              <w:spacing w:line="500" w:lineRule="exact"/>
              <w:jc w:val="left"/>
              <w:rPr>
                <w:rFonts w:ascii="Times New Roman" w:hAnsi="Times New Roman"/>
                <w:b/>
                <w:kern w:val="0"/>
                <w:sz w:val="32"/>
                <w:szCs w:val="21"/>
              </w:rPr>
            </w:pPr>
            <w:r>
              <w:rPr>
                <w:rFonts w:ascii="Times New Roman" w:hAnsi="Times New Roman"/>
                <w:color w:val="000000"/>
              </w:rPr>
              <w:t>在评标过程中，评标委员会应对评标基准价进行复核，存在计算错误的应予以修正并在评标报告中作出说明。除此之外，评标基准价在整个评标期间保持不变，不随任何因素发生变化</w:t>
            </w:r>
          </w:p>
        </w:tc>
      </w:tr>
      <w:tr w14:paraId="3B41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noWrap w:val="0"/>
            <w:vAlign w:val="center"/>
          </w:tcPr>
          <w:p w14:paraId="016562FE">
            <w:pPr>
              <w:widowControl/>
              <w:spacing w:line="500" w:lineRule="exact"/>
              <w:jc w:val="center"/>
              <w:rPr>
                <w:rFonts w:ascii="Times New Roman" w:hAnsi="Times New Roman"/>
              </w:rPr>
            </w:pPr>
          </w:p>
        </w:tc>
        <w:tc>
          <w:tcPr>
            <w:tcW w:w="858" w:type="dxa"/>
            <w:vMerge w:val="continue"/>
            <w:noWrap w:val="0"/>
            <w:vAlign w:val="center"/>
          </w:tcPr>
          <w:p w14:paraId="60E83059">
            <w:pPr>
              <w:widowControl/>
              <w:spacing w:line="500" w:lineRule="exact"/>
              <w:jc w:val="center"/>
              <w:rPr>
                <w:rFonts w:ascii="Times New Roman" w:hAnsi="Times New Roman"/>
              </w:rPr>
            </w:pPr>
          </w:p>
        </w:tc>
        <w:tc>
          <w:tcPr>
            <w:tcW w:w="1471" w:type="dxa"/>
            <w:noWrap w:val="0"/>
            <w:tcMar>
              <w:left w:w="75" w:type="dxa"/>
            </w:tcMar>
            <w:vAlign w:val="center"/>
          </w:tcPr>
          <w:p w14:paraId="75F97CC3">
            <w:pPr>
              <w:snapToGrid w:val="0"/>
              <w:spacing w:line="500" w:lineRule="exact"/>
              <w:jc w:val="center"/>
              <w:rPr>
                <w:rFonts w:ascii="Times New Roman" w:hAnsi="Times New Roman"/>
                <w:kern w:val="0"/>
                <w:szCs w:val="21"/>
              </w:rPr>
            </w:pPr>
            <w:r>
              <w:rPr>
                <w:rFonts w:ascii="Times New Roman" w:hAnsi="Times New Roman"/>
              </w:rPr>
              <w:t>报价合理性得分评标基准价计算</w:t>
            </w:r>
          </w:p>
        </w:tc>
        <w:tc>
          <w:tcPr>
            <w:tcW w:w="5869" w:type="dxa"/>
            <w:noWrap w:val="0"/>
            <w:tcMar>
              <w:left w:w="75" w:type="dxa"/>
            </w:tcMar>
            <w:vAlign w:val="center"/>
          </w:tcPr>
          <w:p w14:paraId="0E501C0F">
            <w:pPr>
              <w:widowControl/>
              <w:snapToGrid w:val="0"/>
              <w:spacing w:line="500" w:lineRule="exact"/>
              <w:jc w:val="left"/>
              <w:rPr>
                <w:rFonts w:ascii="Times New Roman" w:hAnsi="Times New Roman"/>
                <w:color w:val="000000"/>
              </w:rPr>
            </w:pPr>
            <w:r>
              <w:rPr>
                <w:rFonts w:ascii="Times New Roman" w:hAnsi="Times New Roman"/>
                <w:color w:val="000000"/>
              </w:rPr>
              <w:t>（1）确定评标价平均值</w:t>
            </w:r>
          </w:p>
          <w:p w14:paraId="7F073988">
            <w:pPr>
              <w:widowControl/>
              <w:snapToGrid w:val="0"/>
              <w:spacing w:line="500" w:lineRule="exact"/>
              <w:jc w:val="left"/>
              <w:rPr>
                <w:rFonts w:ascii="Times New Roman" w:hAnsi="Times New Roman"/>
                <w:color w:val="000000"/>
              </w:rPr>
            </w:pPr>
            <w:r>
              <w:rPr>
                <w:rFonts w:ascii="Times New Roman" w:hAnsi="Times New Roman"/>
                <w:color w:val="000000"/>
              </w:rPr>
              <w:t>当有效投标人数量不少于5家时，则去掉一个最高价和一个最低价，取其他投标函文字报价进行算术平均得出平均值；当有效投标人数量不足5家时，则直接取全部投标函文字报价进行算术平均得出平均值。</w:t>
            </w:r>
          </w:p>
          <w:p w14:paraId="08ED7894">
            <w:pPr>
              <w:widowControl/>
              <w:snapToGrid w:val="0"/>
              <w:spacing w:line="500" w:lineRule="exact"/>
              <w:jc w:val="left"/>
              <w:rPr>
                <w:rFonts w:ascii="Times New Roman" w:hAnsi="Times New Roman"/>
                <w:color w:val="000000"/>
              </w:rPr>
            </w:pPr>
            <w:r>
              <w:rPr>
                <w:rFonts w:ascii="Times New Roman" w:hAnsi="Times New Roman"/>
                <w:color w:val="000000"/>
              </w:rPr>
              <w:t>（2）确定评标基准价</w:t>
            </w:r>
          </w:p>
          <w:p w14:paraId="6A7B4E6E">
            <w:pPr>
              <w:widowControl/>
              <w:snapToGrid w:val="0"/>
              <w:spacing w:line="500" w:lineRule="exact"/>
              <w:jc w:val="left"/>
              <w:rPr>
                <w:rFonts w:ascii="Times New Roman" w:hAnsi="Times New Roman"/>
                <w:color w:val="000000"/>
              </w:rPr>
            </w:pPr>
            <w:r>
              <w:rPr>
                <w:rFonts w:ascii="Times New Roman" w:hAnsi="Times New Roman"/>
                <w:color w:val="000000"/>
              </w:rPr>
              <w:t>评标基准价=评标价平均值</w:t>
            </w:r>
          </w:p>
          <w:p w14:paraId="3C6C41E3">
            <w:pPr>
              <w:widowControl/>
              <w:snapToGrid w:val="0"/>
              <w:spacing w:line="500" w:lineRule="exact"/>
              <w:jc w:val="left"/>
              <w:rPr>
                <w:rFonts w:ascii="Times New Roman" w:hAnsi="Times New Roman"/>
                <w:b/>
                <w:kern w:val="0"/>
                <w:sz w:val="32"/>
                <w:szCs w:val="21"/>
              </w:rPr>
            </w:pPr>
            <w:r>
              <w:rPr>
                <w:rFonts w:ascii="Times New Roman" w:hAnsi="Times New Roman"/>
                <w:color w:val="000000"/>
              </w:rPr>
              <w:t>在评标过程中，评标委员会应对评标基准价进行复核，存在计算错误的应予以修正并在评标报告中作出说明。除此之外，评标基准价在整个评标期间保持不变，不随任何因素发生变化</w:t>
            </w:r>
          </w:p>
        </w:tc>
      </w:tr>
    </w:tbl>
    <w:p w14:paraId="16EA6BE3">
      <w:pPr>
        <w:spacing w:line="360" w:lineRule="auto"/>
        <w:jc w:val="center"/>
        <w:rPr>
          <w:rFonts w:ascii="Times New Roman" w:hAnsi="Times New Roman" w:eastAsia="黑体"/>
          <w:sz w:val="28"/>
          <w:szCs w:val="28"/>
        </w:rPr>
      </w:pPr>
    </w:p>
    <w:p w14:paraId="15B0AFE0">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商务及技术文件初步评审标准</w:t>
      </w:r>
    </w:p>
    <w:tbl>
      <w:tblPr>
        <w:tblStyle w:val="43"/>
        <w:tblW w:w="91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821"/>
        <w:gridCol w:w="4485"/>
      </w:tblGrid>
      <w:tr w14:paraId="30F66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75" w:type="dxa"/>
            <w:gridSpan w:val="2"/>
            <w:tcBorders>
              <w:top w:val="single" w:color="auto" w:sz="4" w:space="0"/>
              <w:bottom w:val="single" w:color="auto" w:sz="4" w:space="0"/>
              <w:right w:val="single" w:color="auto" w:sz="4" w:space="0"/>
            </w:tcBorders>
            <w:noWrap w:val="0"/>
            <w:vAlign w:val="center"/>
          </w:tcPr>
          <w:p w14:paraId="28B12B72">
            <w:pPr>
              <w:spacing w:line="500" w:lineRule="exact"/>
              <w:jc w:val="center"/>
              <w:rPr>
                <w:rFonts w:ascii="Times New Roman" w:hAnsi="Times New Roman"/>
                <w:b/>
              </w:rPr>
            </w:pPr>
            <w:r>
              <w:rPr>
                <w:rFonts w:ascii="Times New Roman" w:hAnsi="Times New Roman"/>
                <w:b/>
              </w:rPr>
              <w:t>条款号</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7D12F30B">
            <w:pPr>
              <w:spacing w:line="500" w:lineRule="exact"/>
              <w:jc w:val="center"/>
              <w:rPr>
                <w:rFonts w:ascii="Times New Roman" w:hAnsi="Times New Roman"/>
                <w:b/>
              </w:rPr>
            </w:pPr>
            <w:r>
              <w:rPr>
                <w:rFonts w:ascii="Times New Roman" w:hAnsi="Times New Roman"/>
                <w:b/>
              </w:rPr>
              <w:t>评审因素</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643AB6E9">
            <w:pPr>
              <w:spacing w:line="500" w:lineRule="exact"/>
              <w:jc w:val="center"/>
              <w:rPr>
                <w:rFonts w:ascii="Times New Roman" w:hAnsi="Times New Roman"/>
                <w:b/>
              </w:rPr>
            </w:pPr>
            <w:r>
              <w:rPr>
                <w:rFonts w:ascii="Times New Roman" w:hAnsi="Times New Roman"/>
                <w:b/>
              </w:rPr>
              <w:t>评审标准</w:t>
            </w:r>
          </w:p>
        </w:tc>
      </w:tr>
      <w:tr w14:paraId="0F682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14:paraId="7BBAB144">
            <w:pPr>
              <w:spacing w:line="500" w:lineRule="exact"/>
              <w:jc w:val="center"/>
              <w:rPr>
                <w:rFonts w:ascii="Times New Roman" w:hAnsi="Times New Roman"/>
              </w:rPr>
            </w:pPr>
            <w:r>
              <w:rPr>
                <w:rFonts w:ascii="Times New Roman" w:hAnsi="Times New Roman"/>
              </w:rPr>
              <w:t>2.1.1</w:t>
            </w:r>
          </w:p>
        </w:tc>
        <w:tc>
          <w:tcPr>
            <w:tcW w:w="972" w:type="dxa"/>
            <w:vMerge w:val="restart"/>
            <w:tcBorders>
              <w:top w:val="single" w:color="auto" w:sz="4" w:space="0"/>
              <w:right w:val="single" w:color="auto" w:sz="4" w:space="0"/>
            </w:tcBorders>
            <w:noWrap w:val="0"/>
            <w:vAlign w:val="center"/>
          </w:tcPr>
          <w:p w14:paraId="5DD8EAB7">
            <w:pPr>
              <w:spacing w:line="500" w:lineRule="exact"/>
              <w:jc w:val="center"/>
              <w:rPr>
                <w:rFonts w:ascii="Times New Roman" w:hAnsi="Times New Roman"/>
              </w:rPr>
            </w:pPr>
            <w:r>
              <w:rPr>
                <w:rFonts w:ascii="Times New Roman" w:hAnsi="Times New Roman"/>
              </w:rPr>
              <w:t>形式评审标准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14CD5B7B">
            <w:pPr>
              <w:spacing w:line="500" w:lineRule="exact"/>
              <w:jc w:val="center"/>
              <w:rPr>
                <w:rFonts w:ascii="Times New Roman" w:hAnsi="Times New Roman"/>
              </w:rPr>
            </w:pPr>
            <w:r>
              <w:rPr>
                <w:rFonts w:ascii="Times New Roman" w:hAnsi="Times New Roman"/>
              </w:rPr>
              <w:t>投标人名称</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551A6744">
            <w:pPr>
              <w:spacing w:line="500" w:lineRule="exact"/>
              <w:rPr>
                <w:rFonts w:ascii="Times New Roman" w:hAnsi="Times New Roman"/>
              </w:rPr>
            </w:pPr>
            <w:r>
              <w:rPr>
                <w:rFonts w:ascii="Times New Roman" w:hAnsi="Times New Roman"/>
              </w:rPr>
              <w:t>与营业执照</w:t>
            </w:r>
            <w:r>
              <w:rPr>
                <w:rFonts w:ascii="Times New Roman" w:hAnsi="Times New Roman"/>
                <w:szCs w:val="21"/>
              </w:rPr>
              <w:t>/事业单位法人证书</w:t>
            </w:r>
            <w:r>
              <w:rPr>
                <w:rFonts w:ascii="Times New Roman" w:hAnsi="Times New Roman"/>
              </w:rPr>
              <w:t>、资质证书一致</w:t>
            </w:r>
            <w:r>
              <w:rPr>
                <w:rFonts w:hint="eastAsia" w:ascii="Times New Roman" w:hAnsi="Times New Roman"/>
              </w:rPr>
              <w:t>。</w:t>
            </w:r>
            <w:r>
              <w:rPr>
                <w:rFonts w:ascii="Times New Roman" w:hAnsi="Times New Roman"/>
              </w:rPr>
              <w:t>名称变更的，应当提供证书颁发等单位提供的变更说明</w:t>
            </w:r>
          </w:p>
        </w:tc>
      </w:tr>
      <w:tr w14:paraId="3FC87A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E266AFB">
            <w:pPr>
              <w:spacing w:line="500" w:lineRule="exact"/>
              <w:rPr>
                <w:rFonts w:ascii="Times New Roman" w:hAnsi="Times New Roman"/>
              </w:rPr>
            </w:pPr>
          </w:p>
        </w:tc>
        <w:tc>
          <w:tcPr>
            <w:tcW w:w="972" w:type="dxa"/>
            <w:vMerge w:val="continue"/>
            <w:tcBorders>
              <w:right w:val="single" w:color="auto" w:sz="4" w:space="0"/>
            </w:tcBorders>
            <w:noWrap w:val="0"/>
            <w:vAlign w:val="center"/>
          </w:tcPr>
          <w:p w14:paraId="340A6790">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584E7DE8">
            <w:pPr>
              <w:spacing w:line="500" w:lineRule="exact"/>
              <w:jc w:val="center"/>
              <w:rPr>
                <w:rFonts w:ascii="Times New Roman" w:hAnsi="Times New Roman"/>
              </w:rPr>
            </w:pPr>
            <w:r>
              <w:rPr>
                <w:rFonts w:ascii="Times New Roman" w:hAnsi="Times New Roman"/>
              </w:rPr>
              <w:t>投标文件格式</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6F9B768B">
            <w:pPr>
              <w:spacing w:line="500" w:lineRule="exact"/>
              <w:rPr>
                <w:rFonts w:ascii="Times New Roman" w:hAnsi="Times New Roman"/>
              </w:rPr>
            </w:pPr>
            <w:r>
              <w:rPr>
                <w:rFonts w:ascii="Times New Roman" w:hAnsi="Times New Roman"/>
              </w:rPr>
              <w:t>符合第六章“投标文件格式”的规定，关键字迹清晰可辨</w:t>
            </w:r>
          </w:p>
        </w:tc>
      </w:tr>
      <w:tr w14:paraId="4948E3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21A5195">
            <w:pPr>
              <w:spacing w:line="500" w:lineRule="exact"/>
              <w:rPr>
                <w:rFonts w:ascii="Times New Roman" w:hAnsi="Times New Roman"/>
              </w:rPr>
            </w:pPr>
          </w:p>
        </w:tc>
        <w:tc>
          <w:tcPr>
            <w:tcW w:w="972" w:type="dxa"/>
            <w:vMerge w:val="continue"/>
            <w:tcBorders>
              <w:right w:val="single" w:color="auto" w:sz="4" w:space="0"/>
            </w:tcBorders>
            <w:noWrap w:val="0"/>
            <w:vAlign w:val="center"/>
          </w:tcPr>
          <w:p w14:paraId="39D39971">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07A381B5">
            <w:pPr>
              <w:spacing w:line="500" w:lineRule="exact"/>
              <w:jc w:val="center"/>
              <w:rPr>
                <w:rFonts w:ascii="Times New Roman" w:hAnsi="Times New Roman"/>
              </w:rPr>
            </w:pPr>
            <w:r>
              <w:rPr>
                <w:rFonts w:ascii="Times New Roman" w:hAnsi="Times New Roman"/>
                <w:kern w:val="0"/>
                <w:szCs w:val="21"/>
              </w:rPr>
              <w:t>签字盖章</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5642B1BD">
            <w:pPr>
              <w:spacing w:line="500" w:lineRule="exact"/>
              <w:rPr>
                <w:rFonts w:ascii="Times New Roman" w:hAnsi="Times New Roman"/>
              </w:rPr>
            </w:pPr>
            <w:r>
              <w:rPr>
                <w:rFonts w:ascii="Times New Roman" w:hAnsi="Times New Roman"/>
              </w:rPr>
              <w:t>符合第二章“投标人须知”第3.7.3项规定</w:t>
            </w:r>
          </w:p>
        </w:tc>
      </w:tr>
      <w:tr w14:paraId="33BB27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5D91C920">
            <w:pPr>
              <w:spacing w:line="500" w:lineRule="exact"/>
              <w:rPr>
                <w:rFonts w:ascii="Times New Roman" w:hAnsi="Times New Roman"/>
              </w:rPr>
            </w:pPr>
          </w:p>
        </w:tc>
        <w:tc>
          <w:tcPr>
            <w:tcW w:w="972" w:type="dxa"/>
            <w:vMerge w:val="continue"/>
            <w:tcBorders>
              <w:right w:val="single" w:color="auto" w:sz="4" w:space="0"/>
            </w:tcBorders>
            <w:noWrap w:val="0"/>
            <w:vAlign w:val="center"/>
          </w:tcPr>
          <w:p w14:paraId="36D75811">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66A19BE5">
            <w:pPr>
              <w:spacing w:line="500" w:lineRule="exact"/>
              <w:jc w:val="center"/>
              <w:rPr>
                <w:rFonts w:ascii="Times New Roman" w:hAnsi="Times New Roman"/>
              </w:rPr>
            </w:pPr>
            <w:r>
              <w:rPr>
                <w:rFonts w:ascii="Times New Roman" w:hAnsi="Times New Roman"/>
              </w:rPr>
              <w:t>联合体投标人</w:t>
            </w:r>
            <w:r>
              <w:rPr>
                <w:rFonts w:ascii="Times New Roman" w:hAnsi="Times New Roman"/>
                <w:i/>
                <w:iCs/>
                <w:color w:val="000000"/>
              </w:rPr>
              <w:t>（</w:t>
            </w:r>
            <w:r>
              <w:rPr>
                <w:rFonts w:ascii="Times New Roman" w:hAnsi="Times New Roman"/>
                <w:i/>
                <w:iCs/>
                <w:color w:val="FF0000"/>
              </w:rPr>
              <w:t>本招标项目不适用</w:t>
            </w:r>
            <w:r>
              <w:rPr>
                <w:rFonts w:ascii="Times New Roman" w:hAnsi="Times New Roman"/>
                <w:i/>
                <w:iCs/>
                <w:color w:val="000000"/>
              </w:rPr>
              <w:t>）</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518155B4">
            <w:pPr>
              <w:spacing w:line="500" w:lineRule="exact"/>
              <w:rPr>
                <w:rFonts w:ascii="Times New Roman" w:hAnsi="Times New Roman"/>
              </w:rPr>
            </w:pPr>
            <w:r>
              <w:rPr>
                <w:rFonts w:ascii="Times New Roman" w:hAnsi="Times New Roman"/>
              </w:rPr>
              <w:t>提交符合招标文件要求的联合体协议书，明确各方承担连带责任，并明确联合体牵头人</w:t>
            </w:r>
          </w:p>
        </w:tc>
      </w:tr>
      <w:tr w14:paraId="63B74F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13863F45">
            <w:pPr>
              <w:spacing w:line="500" w:lineRule="exact"/>
              <w:rPr>
                <w:rFonts w:ascii="Times New Roman" w:hAnsi="Times New Roman"/>
              </w:rPr>
            </w:pPr>
          </w:p>
        </w:tc>
        <w:tc>
          <w:tcPr>
            <w:tcW w:w="972" w:type="dxa"/>
            <w:vMerge w:val="continue"/>
            <w:tcBorders>
              <w:right w:val="single" w:color="auto" w:sz="4" w:space="0"/>
            </w:tcBorders>
            <w:noWrap w:val="0"/>
            <w:vAlign w:val="center"/>
          </w:tcPr>
          <w:p w14:paraId="6DAD9220">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04659E36">
            <w:pPr>
              <w:spacing w:line="500" w:lineRule="exact"/>
              <w:jc w:val="center"/>
              <w:rPr>
                <w:rFonts w:ascii="Times New Roman" w:hAnsi="Times New Roman"/>
              </w:rPr>
            </w:pPr>
            <w:r>
              <w:rPr>
                <w:rFonts w:ascii="Times New Roman" w:hAnsi="Times New Roman"/>
              </w:rPr>
              <w:t>备选投标方案</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517DCD38">
            <w:pPr>
              <w:spacing w:line="500" w:lineRule="exact"/>
              <w:rPr>
                <w:rFonts w:ascii="Times New Roman" w:hAnsi="Times New Roman"/>
              </w:rPr>
            </w:pPr>
            <w:r>
              <w:rPr>
                <w:rFonts w:ascii="Times New Roman" w:hAnsi="Times New Roman"/>
              </w:rPr>
              <w:t>除招标文件明确允许备选投标方案外，投标人不得提交备选投标方案</w:t>
            </w:r>
          </w:p>
        </w:tc>
      </w:tr>
      <w:tr w14:paraId="06E3A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61AC88AB">
            <w:pPr>
              <w:spacing w:line="500" w:lineRule="exact"/>
              <w:rPr>
                <w:rFonts w:ascii="Times New Roman" w:hAnsi="Times New Roman"/>
              </w:rPr>
            </w:pPr>
          </w:p>
        </w:tc>
        <w:tc>
          <w:tcPr>
            <w:tcW w:w="972" w:type="dxa"/>
            <w:vMerge w:val="continue"/>
            <w:tcBorders>
              <w:right w:val="single" w:color="auto" w:sz="4" w:space="0"/>
            </w:tcBorders>
            <w:noWrap w:val="0"/>
            <w:vAlign w:val="center"/>
          </w:tcPr>
          <w:p w14:paraId="0B281361">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032B6B09">
            <w:pPr>
              <w:spacing w:line="500" w:lineRule="exact"/>
              <w:jc w:val="center"/>
              <w:rPr>
                <w:rFonts w:ascii="Times New Roman" w:hAnsi="Times New Roman"/>
                <w:kern w:val="0"/>
                <w:szCs w:val="21"/>
              </w:rPr>
            </w:pPr>
            <w:r>
              <w:rPr>
                <w:rFonts w:ascii="Times New Roman" w:hAnsi="Times New Roman"/>
                <w:kern w:val="0"/>
                <w:szCs w:val="21"/>
              </w:rPr>
              <w:t>未出现投标报价</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32BA562B">
            <w:pPr>
              <w:spacing w:line="500" w:lineRule="exact"/>
              <w:rPr>
                <w:rFonts w:ascii="Times New Roman" w:hAnsi="Times New Roman"/>
              </w:rPr>
            </w:pPr>
            <w:r>
              <w:rPr>
                <w:rFonts w:ascii="Times New Roman" w:hAnsi="Times New Roman"/>
                <w:kern w:val="0"/>
                <w:szCs w:val="21"/>
              </w:rPr>
              <w:t>商务及技术文件中未出现有关投标报价的内容</w:t>
            </w:r>
          </w:p>
        </w:tc>
      </w:tr>
      <w:tr w14:paraId="7888F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bottom w:val="single" w:color="auto" w:sz="4" w:space="0"/>
              <w:right w:val="single" w:color="auto" w:sz="4" w:space="0"/>
            </w:tcBorders>
            <w:noWrap w:val="0"/>
            <w:vAlign w:val="center"/>
          </w:tcPr>
          <w:p w14:paraId="18601FF2">
            <w:pPr>
              <w:spacing w:line="500" w:lineRule="exact"/>
              <w:jc w:val="center"/>
              <w:rPr>
                <w:rFonts w:ascii="Times New Roman" w:hAnsi="Times New Roman"/>
              </w:rPr>
            </w:pPr>
            <w:r>
              <w:rPr>
                <w:rFonts w:ascii="Times New Roman" w:hAnsi="Times New Roman"/>
              </w:rPr>
              <w:t>2.1.2</w:t>
            </w:r>
          </w:p>
        </w:tc>
        <w:tc>
          <w:tcPr>
            <w:tcW w:w="972" w:type="dxa"/>
            <w:vMerge w:val="restart"/>
            <w:tcBorders>
              <w:top w:val="single" w:color="auto" w:sz="4" w:space="0"/>
              <w:left w:val="single" w:color="auto" w:sz="4" w:space="0"/>
              <w:bottom w:val="single" w:color="auto" w:sz="4" w:space="0"/>
              <w:right w:val="single" w:color="auto" w:sz="4" w:space="0"/>
            </w:tcBorders>
            <w:noWrap w:val="0"/>
            <w:vAlign w:val="center"/>
          </w:tcPr>
          <w:p w14:paraId="72673881">
            <w:pPr>
              <w:spacing w:line="500" w:lineRule="exact"/>
              <w:jc w:val="center"/>
              <w:rPr>
                <w:rFonts w:ascii="Times New Roman" w:hAnsi="Times New Roman"/>
              </w:rPr>
            </w:pPr>
            <w:r>
              <w:rPr>
                <w:rFonts w:ascii="Times New Roman" w:hAnsi="Times New Roman"/>
              </w:rPr>
              <w:t>资格评审标准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4F6A3B8F">
            <w:pPr>
              <w:spacing w:line="500" w:lineRule="exact"/>
              <w:jc w:val="center"/>
              <w:rPr>
                <w:rFonts w:ascii="Times New Roman" w:hAnsi="Times New Roman"/>
              </w:rPr>
            </w:pPr>
            <w:r>
              <w:rPr>
                <w:rFonts w:ascii="Times New Roman" w:hAnsi="Times New Roman"/>
                <w:kern w:val="0"/>
                <w:szCs w:val="21"/>
              </w:rPr>
              <w:t>营业执照</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3FD7D4A8">
            <w:pPr>
              <w:spacing w:line="500" w:lineRule="exact"/>
              <w:rPr>
                <w:rFonts w:ascii="Times New Roman" w:hAnsi="Times New Roman"/>
              </w:rPr>
            </w:pPr>
            <w:r>
              <w:rPr>
                <w:rFonts w:ascii="Times New Roman" w:hAnsi="Times New Roman"/>
                <w:kern w:val="0"/>
                <w:szCs w:val="21"/>
              </w:rPr>
              <w:t>具备有效的营业执照</w:t>
            </w:r>
            <w:r>
              <w:rPr>
                <w:rFonts w:ascii="Times New Roman" w:hAnsi="Times New Roman"/>
                <w:szCs w:val="21"/>
              </w:rPr>
              <w:t>/事业单位法人证书</w:t>
            </w:r>
            <w:r>
              <w:rPr>
                <w:rFonts w:ascii="Times New Roman" w:hAnsi="Times New Roman"/>
                <w:kern w:val="0"/>
                <w:szCs w:val="21"/>
              </w:rPr>
              <w:t>，如为联合体投标，联合体各方均须提供</w:t>
            </w:r>
          </w:p>
        </w:tc>
      </w:tr>
      <w:tr w14:paraId="4BC702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149AE949">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3306EB8A">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5CBDE134">
            <w:pPr>
              <w:spacing w:line="500" w:lineRule="exact"/>
              <w:jc w:val="center"/>
              <w:rPr>
                <w:rFonts w:ascii="Times New Roman" w:hAnsi="Times New Roman"/>
              </w:rPr>
            </w:pPr>
            <w:r>
              <w:rPr>
                <w:rFonts w:ascii="Times New Roman" w:hAnsi="Times New Roman"/>
              </w:rPr>
              <w:t>资质等级</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105B8305">
            <w:pPr>
              <w:spacing w:line="500" w:lineRule="exact"/>
              <w:rPr>
                <w:rFonts w:ascii="Times New Roman" w:hAnsi="Times New Roman"/>
              </w:rPr>
            </w:pPr>
            <w:r>
              <w:rPr>
                <w:rFonts w:ascii="Times New Roman" w:hAnsi="Times New Roman"/>
              </w:rPr>
              <w:t>符合第二章“投标人须知”第1.4.1项规定</w:t>
            </w:r>
          </w:p>
        </w:tc>
      </w:tr>
      <w:tr w14:paraId="3901A9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69D8090A">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51C73B17">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1B638894">
            <w:pPr>
              <w:spacing w:line="500" w:lineRule="exact"/>
              <w:jc w:val="center"/>
              <w:rPr>
                <w:rFonts w:ascii="Times New Roman" w:hAnsi="Times New Roman"/>
              </w:rPr>
            </w:pPr>
            <w:r>
              <w:rPr>
                <w:rFonts w:ascii="Times New Roman" w:hAnsi="Times New Roman"/>
              </w:rPr>
              <w:t>业绩要求</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28EDF149">
            <w:pPr>
              <w:spacing w:line="500" w:lineRule="exact"/>
              <w:rPr>
                <w:rFonts w:ascii="Times New Roman" w:hAnsi="Times New Roman"/>
              </w:rPr>
            </w:pPr>
            <w:r>
              <w:rPr>
                <w:rFonts w:ascii="Times New Roman" w:hAnsi="Times New Roman"/>
              </w:rPr>
              <w:t>符合第二章“投标人须知”第1.4.1项规定</w:t>
            </w:r>
          </w:p>
        </w:tc>
      </w:tr>
      <w:tr w14:paraId="2AB754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56CCC536">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2C0EC53C">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44B6AADC">
            <w:pPr>
              <w:spacing w:line="500" w:lineRule="exact"/>
              <w:jc w:val="center"/>
              <w:rPr>
                <w:rFonts w:ascii="Times New Roman" w:hAnsi="Times New Roman"/>
              </w:rPr>
            </w:pPr>
            <w:r>
              <w:rPr>
                <w:rFonts w:ascii="Times New Roman" w:hAnsi="Times New Roman"/>
              </w:rPr>
              <w:t>信誉要求</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6839DA56">
            <w:pPr>
              <w:spacing w:line="500" w:lineRule="exact"/>
              <w:rPr>
                <w:rFonts w:ascii="Times New Roman" w:hAnsi="Times New Roman"/>
              </w:rPr>
            </w:pPr>
            <w:r>
              <w:rPr>
                <w:rFonts w:ascii="Times New Roman" w:hAnsi="Times New Roman"/>
              </w:rPr>
              <w:t>符合第二章“投标人须知”第1.4.1项规定。</w:t>
            </w:r>
            <w:r>
              <w:rPr>
                <w:rFonts w:ascii="Times New Roman" w:hAnsi="Times New Roman"/>
                <w:b/>
                <w:bCs/>
                <w:color w:val="FF0000"/>
              </w:rPr>
              <w:t>投标人在投标函中承诺，不需要提供相关证明</w:t>
            </w:r>
          </w:p>
        </w:tc>
      </w:tr>
      <w:tr w14:paraId="5CF62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3A2931FD">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2284E693">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59EF37C8">
            <w:pPr>
              <w:pStyle w:val="14"/>
              <w:spacing w:line="500" w:lineRule="exact"/>
              <w:ind w:firstLine="840" w:firstLineChars="400"/>
            </w:pPr>
            <w:r>
              <w:t>项目负责人</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46463B20">
            <w:pPr>
              <w:spacing w:line="500" w:lineRule="exact"/>
              <w:rPr>
                <w:rFonts w:ascii="Times New Roman" w:hAnsi="Times New Roman"/>
              </w:rPr>
            </w:pPr>
            <w:r>
              <w:rPr>
                <w:rFonts w:ascii="Times New Roman" w:hAnsi="Times New Roman"/>
              </w:rPr>
              <w:t>符合第二章“投标人须知”第1.4.1项规定</w:t>
            </w:r>
          </w:p>
        </w:tc>
      </w:tr>
      <w:tr w14:paraId="2FD16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7A5A2FB8">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1696ACA2">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1A349C63">
            <w:pPr>
              <w:spacing w:line="500" w:lineRule="exact"/>
              <w:jc w:val="center"/>
              <w:rPr>
                <w:rFonts w:ascii="Times New Roman" w:hAnsi="Times New Roman"/>
              </w:rPr>
            </w:pPr>
            <w:r>
              <w:rPr>
                <w:rFonts w:ascii="Times New Roman" w:hAnsi="Times New Roman"/>
              </w:rPr>
              <w:t>其他主要人员</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27422F10">
            <w:pPr>
              <w:spacing w:line="500" w:lineRule="exact"/>
              <w:rPr>
                <w:rFonts w:ascii="Times New Roman" w:hAnsi="Times New Roman"/>
              </w:rPr>
            </w:pPr>
            <w:r>
              <w:rPr>
                <w:rFonts w:ascii="Times New Roman" w:hAnsi="Times New Roman"/>
              </w:rPr>
              <w:t>符合第二章“投标人须知”第1.4.1项规定</w:t>
            </w:r>
          </w:p>
        </w:tc>
      </w:tr>
      <w:tr w14:paraId="52F1B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35CFD612">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6E4F323E">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7967AA91">
            <w:pPr>
              <w:spacing w:line="500" w:lineRule="exact"/>
              <w:jc w:val="center"/>
              <w:rPr>
                <w:rFonts w:ascii="Times New Roman" w:hAnsi="Times New Roman"/>
              </w:rPr>
            </w:pPr>
            <w:r>
              <w:rPr>
                <w:rFonts w:ascii="Times New Roman" w:hAnsi="Times New Roman"/>
              </w:rPr>
              <w:t>联合体投标人</w:t>
            </w:r>
            <w:r>
              <w:rPr>
                <w:rFonts w:ascii="Times New Roman" w:hAnsi="Times New Roman"/>
                <w:i/>
                <w:iCs/>
                <w:color w:val="000000"/>
              </w:rPr>
              <w:t>（</w:t>
            </w:r>
            <w:r>
              <w:rPr>
                <w:rFonts w:ascii="Times New Roman" w:hAnsi="Times New Roman"/>
                <w:i/>
                <w:iCs/>
                <w:color w:val="FF0000"/>
              </w:rPr>
              <w:t>本招标项目不适用</w:t>
            </w:r>
            <w:r>
              <w:rPr>
                <w:rFonts w:ascii="Times New Roman" w:hAnsi="Times New Roman"/>
                <w:i/>
                <w:iCs/>
                <w:color w:val="000000"/>
              </w:rPr>
              <w:t>）</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50E98140">
            <w:pPr>
              <w:spacing w:line="500" w:lineRule="exact"/>
              <w:rPr>
                <w:rFonts w:ascii="Times New Roman" w:hAnsi="Times New Roman"/>
              </w:rPr>
            </w:pPr>
            <w:r>
              <w:rPr>
                <w:rFonts w:ascii="Times New Roman" w:hAnsi="Times New Roman"/>
              </w:rPr>
              <w:t>符合第二章“投标人须知”第1.4.2项规定</w:t>
            </w:r>
          </w:p>
        </w:tc>
      </w:tr>
      <w:tr w14:paraId="74838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6D22FA06">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56894630">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03AE9EE3">
            <w:pPr>
              <w:spacing w:line="500" w:lineRule="exact"/>
              <w:jc w:val="center"/>
              <w:rPr>
                <w:rFonts w:ascii="Times New Roman" w:hAnsi="Times New Roman"/>
              </w:rPr>
            </w:pPr>
            <w:r>
              <w:rPr>
                <w:rFonts w:ascii="Times New Roman" w:hAnsi="Times New Roman"/>
              </w:rPr>
              <w:t>不存在禁止投标的情形</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34E24854">
            <w:pPr>
              <w:spacing w:line="500" w:lineRule="exact"/>
              <w:rPr>
                <w:rFonts w:ascii="Times New Roman" w:hAnsi="Times New Roman"/>
              </w:rPr>
            </w:pPr>
            <w:r>
              <w:rPr>
                <w:rFonts w:ascii="Times New Roman" w:hAnsi="Times New Roman"/>
              </w:rPr>
              <w:t>不存在第二章“投标人须知”第1.4.3项或第1.4.4项规定的任何一种情形。</w:t>
            </w:r>
            <w:r>
              <w:rPr>
                <w:rFonts w:ascii="Times New Roman" w:hAnsi="Times New Roman"/>
                <w:b/>
                <w:bCs/>
                <w:color w:val="FF0000"/>
              </w:rPr>
              <w:t>投标人在投标函中承诺，不需要提供相关证明</w:t>
            </w:r>
          </w:p>
        </w:tc>
      </w:tr>
      <w:tr w14:paraId="29AD92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14:paraId="30ED1495">
            <w:pPr>
              <w:spacing w:line="500" w:lineRule="exact"/>
              <w:jc w:val="center"/>
              <w:rPr>
                <w:rFonts w:ascii="Times New Roman" w:hAnsi="Times New Roman"/>
              </w:rPr>
            </w:pPr>
            <w:r>
              <w:rPr>
                <w:rFonts w:ascii="Times New Roman" w:hAnsi="Times New Roman"/>
              </w:rPr>
              <w:t>2.1.3</w:t>
            </w:r>
          </w:p>
        </w:tc>
        <w:tc>
          <w:tcPr>
            <w:tcW w:w="972" w:type="dxa"/>
            <w:vMerge w:val="restart"/>
            <w:tcBorders>
              <w:top w:val="single" w:color="auto" w:sz="4" w:space="0"/>
              <w:left w:val="single" w:color="auto" w:sz="4" w:space="0"/>
              <w:right w:val="single" w:color="auto" w:sz="4" w:space="0"/>
            </w:tcBorders>
            <w:noWrap w:val="0"/>
            <w:vAlign w:val="center"/>
          </w:tcPr>
          <w:p w14:paraId="23223768">
            <w:pPr>
              <w:spacing w:line="500" w:lineRule="exact"/>
              <w:jc w:val="center"/>
              <w:rPr>
                <w:rFonts w:ascii="Times New Roman" w:hAnsi="Times New Roman"/>
              </w:rPr>
            </w:pPr>
            <w:r>
              <w:rPr>
                <w:rFonts w:ascii="Times New Roman" w:hAnsi="Times New Roman"/>
              </w:rPr>
              <w:t>响应性评审标准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193CE5BC">
            <w:pPr>
              <w:spacing w:line="500" w:lineRule="exact"/>
              <w:jc w:val="center"/>
              <w:rPr>
                <w:rFonts w:ascii="Times New Roman" w:hAnsi="Times New Roman"/>
              </w:rPr>
            </w:pPr>
            <w:r>
              <w:rPr>
                <w:rFonts w:ascii="Times New Roman" w:hAnsi="Times New Roman"/>
              </w:rPr>
              <w:t>服务期限</w:t>
            </w:r>
          </w:p>
        </w:tc>
        <w:tc>
          <w:tcPr>
            <w:tcW w:w="4485" w:type="dxa"/>
            <w:tcBorders>
              <w:top w:val="single" w:color="auto" w:sz="4" w:space="0"/>
              <w:left w:val="single" w:color="auto" w:sz="4" w:space="0"/>
              <w:bottom w:val="single" w:color="auto" w:sz="4" w:space="0"/>
            </w:tcBorders>
            <w:noWrap w:val="0"/>
            <w:vAlign w:val="center"/>
          </w:tcPr>
          <w:p w14:paraId="6E7C42C7">
            <w:pPr>
              <w:spacing w:line="500" w:lineRule="exact"/>
              <w:rPr>
                <w:rFonts w:ascii="Times New Roman" w:hAnsi="Times New Roman"/>
              </w:rPr>
            </w:pPr>
            <w:r>
              <w:rPr>
                <w:rFonts w:ascii="Times New Roman" w:hAnsi="Times New Roman"/>
              </w:rPr>
              <w:t>符合第二章“投标人须知”第1.3.2项规定</w:t>
            </w:r>
          </w:p>
        </w:tc>
      </w:tr>
      <w:tr w14:paraId="3DC651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364884B5">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67A8AF95">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7AC7CF0F">
            <w:pPr>
              <w:spacing w:line="500" w:lineRule="exact"/>
              <w:jc w:val="center"/>
              <w:rPr>
                <w:rFonts w:ascii="Times New Roman" w:hAnsi="Times New Roman"/>
              </w:rPr>
            </w:pPr>
            <w:r>
              <w:rPr>
                <w:rFonts w:ascii="Times New Roman" w:hAnsi="Times New Roman"/>
              </w:rPr>
              <w:t>质量要求</w:t>
            </w:r>
          </w:p>
        </w:tc>
        <w:tc>
          <w:tcPr>
            <w:tcW w:w="4485" w:type="dxa"/>
            <w:tcBorders>
              <w:top w:val="single" w:color="auto" w:sz="4" w:space="0"/>
              <w:left w:val="single" w:color="auto" w:sz="4" w:space="0"/>
              <w:bottom w:val="single" w:color="auto" w:sz="4" w:space="0"/>
            </w:tcBorders>
            <w:noWrap w:val="0"/>
            <w:vAlign w:val="center"/>
          </w:tcPr>
          <w:p w14:paraId="4D0111E3">
            <w:pPr>
              <w:spacing w:line="500" w:lineRule="exact"/>
              <w:jc w:val="left"/>
              <w:rPr>
                <w:rFonts w:ascii="Times New Roman" w:hAnsi="Times New Roman"/>
              </w:rPr>
            </w:pPr>
            <w:r>
              <w:rPr>
                <w:rFonts w:ascii="Times New Roman" w:hAnsi="Times New Roman"/>
              </w:rPr>
              <w:t>符合第二章“投标人须知”第1.3.3项规定</w:t>
            </w:r>
          </w:p>
        </w:tc>
      </w:tr>
      <w:tr w14:paraId="0236DD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EDC8843">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5BF5A452">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top"/>
          </w:tcPr>
          <w:p w14:paraId="0F8C443C">
            <w:pPr>
              <w:spacing w:line="500" w:lineRule="exact"/>
              <w:jc w:val="center"/>
              <w:rPr>
                <w:rFonts w:ascii="Times New Roman" w:hAnsi="Times New Roman"/>
              </w:rPr>
            </w:pPr>
            <w:r>
              <w:rPr>
                <w:rFonts w:ascii="Times New Roman" w:hAnsi="Times New Roman"/>
              </w:rPr>
              <w:t>投标有效期</w:t>
            </w:r>
          </w:p>
        </w:tc>
        <w:tc>
          <w:tcPr>
            <w:tcW w:w="4485" w:type="dxa"/>
            <w:tcBorders>
              <w:top w:val="single" w:color="auto" w:sz="4" w:space="0"/>
              <w:left w:val="single" w:color="auto" w:sz="4" w:space="0"/>
              <w:bottom w:val="single" w:color="auto" w:sz="4" w:space="0"/>
            </w:tcBorders>
            <w:noWrap w:val="0"/>
            <w:vAlign w:val="top"/>
          </w:tcPr>
          <w:p w14:paraId="07038C90">
            <w:pPr>
              <w:spacing w:line="500" w:lineRule="exact"/>
              <w:jc w:val="left"/>
              <w:rPr>
                <w:rFonts w:ascii="Times New Roman" w:hAnsi="Times New Roman"/>
              </w:rPr>
            </w:pPr>
            <w:r>
              <w:rPr>
                <w:rFonts w:ascii="Times New Roman" w:hAnsi="Times New Roman"/>
              </w:rPr>
              <w:t>符合第二章“投标人须知”第3.3.1项规定</w:t>
            </w:r>
          </w:p>
        </w:tc>
      </w:tr>
      <w:tr w14:paraId="6747C3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24A7B885">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3917A2EF">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top"/>
          </w:tcPr>
          <w:p w14:paraId="2AE72459">
            <w:pPr>
              <w:spacing w:line="500" w:lineRule="exact"/>
              <w:jc w:val="center"/>
              <w:rPr>
                <w:rFonts w:ascii="Times New Roman" w:hAnsi="Times New Roman"/>
              </w:rPr>
            </w:pPr>
            <w:r>
              <w:rPr>
                <w:rFonts w:ascii="Times New Roman" w:hAnsi="Times New Roman"/>
              </w:rPr>
              <w:t>投标保证金</w:t>
            </w:r>
          </w:p>
        </w:tc>
        <w:tc>
          <w:tcPr>
            <w:tcW w:w="4485" w:type="dxa"/>
            <w:tcBorders>
              <w:top w:val="single" w:color="auto" w:sz="4" w:space="0"/>
              <w:left w:val="single" w:color="auto" w:sz="4" w:space="0"/>
              <w:bottom w:val="single" w:color="auto" w:sz="4" w:space="0"/>
            </w:tcBorders>
            <w:noWrap w:val="0"/>
            <w:vAlign w:val="top"/>
          </w:tcPr>
          <w:p w14:paraId="5B57F82F">
            <w:pPr>
              <w:spacing w:line="500" w:lineRule="exact"/>
              <w:jc w:val="left"/>
              <w:rPr>
                <w:rFonts w:ascii="Times New Roman" w:hAnsi="Times New Roman"/>
              </w:rPr>
            </w:pPr>
            <w:r>
              <w:rPr>
                <w:rFonts w:ascii="Times New Roman" w:hAnsi="Times New Roman"/>
              </w:rPr>
              <w:t>符合第二章“投标人须知”第3.4.1项规定</w:t>
            </w:r>
          </w:p>
        </w:tc>
      </w:tr>
      <w:tr w14:paraId="1E32E5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43D95DCA">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43ACCDA2">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42D3CFE7">
            <w:pPr>
              <w:spacing w:line="440" w:lineRule="exact"/>
              <w:jc w:val="center"/>
              <w:rPr>
                <w:rFonts w:ascii="Times New Roman" w:hAnsi="Times New Roman"/>
              </w:rPr>
            </w:pPr>
            <w:r>
              <w:rPr>
                <w:rFonts w:hint="eastAsia" w:ascii="Times New Roman" w:hAnsi="Times New Roman"/>
              </w:rPr>
              <w:t>权利义务</w:t>
            </w:r>
          </w:p>
        </w:tc>
        <w:tc>
          <w:tcPr>
            <w:tcW w:w="4485" w:type="dxa"/>
            <w:tcBorders>
              <w:top w:val="single" w:color="auto" w:sz="4" w:space="0"/>
              <w:left w:val="single" w:color="auto" w:sz="4" w:space="0"/>
              <w:bottom w:val="single" w:color="auto" w:sz="4" w:space="0"/>
            </w:tcBorders>
            <w:noWrap w:val="0"/>
            <w:vAlign w:val="center"/>
          </w:tcPr>
          <w:p w14:paraId="73490064">
            <w:pPr>
              <w:spacing w:line="440" w:lineRule="exact"/>
              <w:rPr>
                <w:rFonts w:ascii="Times New Roman" w:hAnsi="Times New Roman"/>
              </w:rPr>
            </w:pPr>
            <w:r>
              <w:rPr>
                <w:rFonts w:hint="eastAsia" w:ascii="Times New Roman" w:hAnsi="Times New Roman"/>
              </w:rPr>
              <w:t>符合第二章“投标人须知”第1.11.2项规定</w:t>
            </w:r>
          </w:p>
        </w:tc>
      </w:tr>
      <w:tr w14:paraId="546B5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52904BF1">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3CE3A90B">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18DBF585">
            <w:pPr>
              <w:spacing w:line="500" w:lineRule="exact"/>
              <w:jc w:val="center"/>
              <w:rPr>
                <w:rFonts w:ascii="Times New Roman" w:hAnsi="Times New Roman"/>
              </w:rPr>
            </w:pPr>
            <w:r>
              <w:rPr>
                <w:rFonts w:ascii="Times New Roman" w:hAnsi="Times New Roman"/>
              </w:rPr>
              <w:t>投标人承诺</w:t>
            </w:r>
          </w:p>
        </w:tc>
        <w:tc>
          <w:tcPr>
            <w:tcW w:w="4485" w:type="dxa"/>
            <w:tcBorders>
              <w:top w:val="single" w:color="auto" w:sz="4" w:space="0"/>
              <w:left w:val="single" w:color="auto" w:sz="4" w:space="0"/>
              <w:bottom w:val="single" w:color="auto" w:sz="4" w:space="0"/>
            </w:tcBorders>
            <w:noWrap w:val="0"/>
            <w:vAlign w:val="center"/>
          </w:tcPr>
          <w:p w14:paraId="296FDFBD">
            <w:pPr>
              <w:spacing w:line="500" w:lineRule="exact"/>
              <w:rPr>
                <w:rFonts w:ascii="Times New Roman" w:hAnsi="Times New Roman"/>
              </w:rPr>
            </w:pPr>
            <w:r>
              <w:rPr>
                <w:rFonts w:ascii="Times New Roman" w:hAnsi="Times New Roman"/>
              </w:rPr>
              <w:t>符合第二章“投标人须知”第1.4.1项规定</w:t>
            </w:r>
          </w:p>
        </w:tc>
      </w:tr>
      <w:tr w14:paraId="47C13E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57FAF018">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24856147">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2387099E">
            <w:pPr>
              <w:spacing w:line="500" w:lineRule="exact"/>
              <w:jc w:val="center"/>
              <w:rPr>
                <w:rFonts w:ascii="Times New Roman" w:hAnsi="Times New Roman"/>
                <w:color w:val="FF0000"/>
              </w:rPr>
            </w:pPr>
            <w:r>
              <w:rPr>
                <w:rFonts w:ascii="Times New Roman" w:hAnsi="Times New Roman"/>
              </w:rPr>
              <w:t>服务方案</w:t>
            </w:r>
          </w:p>
        </w:tc>
        <w:tc>
          <w:tcPr>
            <w:tcW w:w="4485" w:type="dxa"/>
            <w:tcBorders>
              <w:top w:val="single" w:color="auto" w:sz="4" w:space="0"/>
              <w:left w:val="single" w:color="auto" w:sz="4" w:space="0"/>
              <w:bottom w:val="single" w:color="auto" w:sz="4" w:space="0"/>
            </w:tcBorders>
            <w:noWrap w:val="0"/>
            <w:vAlign w:val="top"/>
          </w:tcPr>
          <w:p w14:paraId="1383D624">
            <w:pPr>
              <w:spacing w:line="500" w:lineRule="exact"/>
              <w:rPr>
                <w:rFonts w:ascii="Times New Roman" w:hAnsi="Times New Roman"/>
              </w:rPr>
            </w:pPr>
            <w:r>
              <w:rPr>
                <w:rFonts w:ascii="Times New Roman" w:hAnsi="Times New Roman"/>
              </w:rPr>
              <w:t>符合第五章“</w:t>
            </w:r>
            <w:r>
              <w:rPr>
                <w:rFonts w:hint="eastAsia" w:ascii="Times New Roman" w:hAnsi="Times New Roman"/>
              </w:rPr>
              <w:t>招标人</w:t>
            </w:r>
            <w:r>
              <w:rPr>
                <w:rFonts w:ascii="Times New Roman" w:hAnsi="Times New Roman"/>
              </w:rPr>
              <w:t>要求”中的实质性要求和条件</w:t>
            </w:r>
          </w:p>
        </w:tc>
      </w:tr>
      <w:tr w14:paraId="03CE71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14:paraId="49502B7D">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noWrap w:val="0"/>
            <w:vAlign w:val="center"/>
          </w:tcPr>
          <w:p w14:paraId="11144988">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6A08F901">
            <w:pPr>
              <w:spacing w:line="440" w:lineRule="exact"/>
              <w:jc w:val="center"/>
              <w:rPr>
                <w:kern w:val="0"/>
                <w:szCs w:val="21"/>
              </w:rPr>
            </w:pPr>
            <w:r>
              <w:rPr>
                <w:rFonts w:hint="eastAsia"/>
                <w:kern w:val="0"/>
                <w:szCs w:val="21"/>
              </w:rPr>
              <w:t>偏差</w:t>
            </w:r>
          </w:p>
        </w:tc>
        <w:tc>
          <w:tcPr>
            <w:tcW w:w="4485" w:type="dxa"/>
            <w:tcBorders>
              <w:top w:val="single" w:color="auto" w:sz="4" w:space="0"/>
              <w:left w:val="single" w:color="auto" w:sz="4" w:space="0"/>
              <w:bottom w:val="single" w:color="auto" w:sz="4" w:space="0"/>
            </w:tcBorders>
            <w:noWrap w:val="0"/>
            <w:vAlign w:val="center"/>
          </w:tcPr>
          <w:p w14:paraId="59EC4A18">
            <w:pPr>
              <w:spacing w:line="440" w:lineRule="exact"/>
              <w:rPr>
                <w:kern w:val="0"/>
                <w:szCs w:val="21"/>
              </w:rPr>
            </w:pPr>
            <w:r>
              <w:rPr>
                <w:rFonts w:ascii="Times New Roman" w:hAnsi="Times New Roman"/>
                <w:kern w:val="0"/>
                <w:szCs w:val="21"/>
              </w:rPr>
              <w:t>符合第二章“投标人须知”第1.11.1项规定，</w:t>
            </w:r>
            <w:r>
              <w:rPr>
                <w:rFonts w:ascii="Times New Roman" w:hAnsi="Times New Roman"/>
                <w:szCs w:val="21"/>
              </w:rPr>
              <w:t>投标文件中没有招标人不能接受的条件</w:t>
            </w:r>
          </w:p>
        </w:tc>
      </w:tr>
      <w:tr w14:paraId="49217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14:paraId="0444DC56">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noWrap w:val="0"/>
            <w:vAlign w:val="center"/>
          </w:tcPr>
          <w:p w14:paraId="53E88292">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7123F88A">
            <w:pPr>
              <w:spacing w:line="500" w:lineRule="exact"/>
              <w:jc w:val="center"/>
              <w:rPr>
                <w:rFonts w:ascii="Times New Roman" w:hAnsi="Times New Roman"/>
                <w:kern w:val="0"/>
                <w:szCs w:val="21"/>
              </w:rPr>
            </w:pPr>
            <w:r>
              <w:rPr>
                <w:rFonts w:ascii="Times New Roman" w:hAnsi="Times New Roman"/>
                <w:kern w:val="0"/>
                <w:szCs w:val="21"/>
              </w:rPr>
              <w:t>其他实质性要求</w:t>
            </w:r>
          </w:p>
        </w:tc>
        <w:tc>
          <w:tcPr>
            <w:tcW w:w="4485" w:type="dxa"/>
            <w:tcBorders>
              <w:top w:val="single" w:color="auto" w:sz="4" w:space="0"/>
              <w:left w:val="single" w:color="auto" w:sz="4" w:space="0"/>
              <w:bottom w:val="single" w:color="auto" w:sz="4" w:space="0"/>
            </w:tcBorders>
            <w:noWrap w:val="0"/>
            <w:vAlign w:val="center"/>
          </w:tcPr>
          <w:p w14:paraId="5D09C6B7">
            <w:pPr>
              <w:spacing w:line="500" w:lineRule="exact"/>
              <w:rPr>
                <w:rFonts w:ascii="Times New Roman" w:hAnsi="Times New Roman"/>
                <w:kern w:val="0"/>
                <w:szCs w:val="21"/>
              </w:rPr>
            </w:pPr>
            <w:r>
              <w:rPr>
                <w:rFonts w:ascii="Times New Roman" w:hAnsi="Times New Roman"/>
                <w:kern w:val="0"/>
                <w:szCs w:val="21"/>
              </w:rPr>
              <w:t>投标文件对招标文件的其他实质性要求和条件作出响应</w:t>
            </w:r>
          </w:p>
        </w:tc>
      </w:tr>
    </w:tbl>
    <w:p w14:paraId="205F3FED">
      <w:pPr>
        <w:jc w:val="center"/>
        <w:rPr>
          <w:rFonts w:ascii="Times New Roman" w:hAnsi="Times New Roman" w:eastAsia="黑体"/>
          <w:sz w:val="24"/>
          <w:szCs w:val="24"/>
        </w:rPr>
      </w:pPr>
    </w:p>
    <w:p w14:paraId="2418E397">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报价文件初步评审标准</w:t>
      </w:r>
    </w:p>
    <w:tbl>
      <w:tblPr>
        <w:tblStyle w:val="43"/>
        <w:tblW w:w="9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14:paraId="29E02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right w:val="single" w:color="auto" w:sz="4" w:space="0"/>
            </w:tcBorders>
            <w:noWrap w:val="0"/>
            <w:vAlign w:val="center"/>
          </w:tcPr>
          <w:p w14:paraId="5FF3571D">
            <w:pPr>
              <w:spacing w:line="500" w:lineRule="exact"/>
              <w:jc w:val="center"/>
              <w:rPr>
                <w:rFonts w:ascii="Times New Roman" w:hAnsi="Times New Roman"/>
                <w:b/>
              </w:rPr>
            </w:pPr>
            <w:r>
              <w:rPr>
                <w:rFonts w:ascii="Times New Roman" w:hAnsi="Times New Roman"/>
                <w:b/>
              </w:rPr>
              <w:t>条款号</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35551175">
            <w:pPr>
              <w:spacing w:line="500" w:lineRule="exact"/>
              <w:jc w:val="center"/>
              <w:rPr>
                <w:rFonts w:ascii="Times New Roman" w:hAnsi="Times New Roman"/>
                <w:b/>
              </w:rPr>
            </w:pPr>
            <w:r>
              <w:rPr>
                <w:rFonts w:ascii="Times New Roman" w:hAnsi="Times New Roman"/>
                <w:b/>
              </w:rPr>
              <w:t>评审因素</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6C81CDED">
            <w:pPr>
              <w:spacing w:line="500" w:lineRule="exact"/>
              <w:jc w:val="center"/>
              <w:rPr>
                <w:rFonts w:ascii="Times New Roman" w:hAnsi="Times New Roman"/>
                <w:b/>
              </w:rPr>
            </w:pPr>
            <w:r>
              <w:rPr>
                <w:rFonts w:ascii="Times New Roman" w:hAnsi="Times New Roman"/>
                <w:b/>
              </w:rPr>
              <w:t>评审标准</w:t>
            </w:r>
          </w:p>
        </w:tc>
      </w:tr>
      <w:tr w14:paraId="60F5A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noWrap w:val="0"/>
            <w:vAlign w:val="center"/>
          </w:tcPr>
          <w:p w14:paraId="52E0EEEE">
            <w:pPr>
              <w:spacing w:line="500" w:lineRule="exact"/>
              <w:jc w:val="center"/>
              <w:rPr>
                <w:rFonts w:ascii="Times New Roman" w:hAnsi="Times New Roman"/>
              </w:rPr>
            </w:pPr>
            <w:r>
              <w:rPr>
                <w:rFonts w:ascii="Times New Roman" w:hAnsi="Times New Roman"/>
              </w:rPr>
              <w:t>2.1.1</w:t>
            </w:r>
          </w:p>
        </w:tc>
        <w:tc>
          <w:tcPr>
            <w:tcW w:w="1124" w:type="dxa"/>
            <w:vMerge w:val="restart"/>
            <w:tcBorders>
              <w:top w:val="single" w:color="auto" w:sz="4" w:space="0"/>
              <w:right w:val="single" w:color="auto" w:sz="4" w:space="0"/>
            </w:tcBorders>
            <w:noWrap w:val="0"/>
            <w:vAlign w:val="center"/>
          </w:tcPr>
          <w:p w14:paraId="16C1A07E">
            <w:pPr>
              <w:spacing w:line="500" w:lineRule="exact"/>
              <w:jc w:val="center"/>
              <w:rPr>
                <w:rFonts w:ascii="Times New Roman" w:hAnsi="Times New Roman"/>
              </w:rPr>
            </w:pPr>
            <w:r>
              <w:rPr>
                <w:rFonts w:ascii="Times New Roman" w:hAnsi="Times New Roman"/>
              </w:rPr>
              <w:t>形式评审标准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34663618">
            <w:pPr>
              <w:spacing w:line="500" w:lineRule="exact"/>
              <w:jc w:val="center"/>
              <w:rPr>
                <w:rFonts w:ascii="Times New Roman" w:hAnsi="Times New Roman"/>
              </w:rPr>
            </w:pPr>
            <w:r>
              <w:rPr>
                <w:rFonts w:ascii="Times New Roman" w:hAnsi="Times New Roman"/>
              </w:rPr>
              <w:t>投标人名称</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035A0730">
            <w:pPr>
              <w:spacing w:line="500" w:lineRule="exact"/>
              <w:rPr>
                <w:rFonts w:hint="eastAsia" w:ascii="Times New Roman" w:hAnsi="Times New Roman"/>
              </w:rPr>
            </w:pPr>
            <w:r>
              <w:rPr>
                <w:rFonts w:ascii="Times New Roman" w:hAnsi="Times New Roman"/>
              </w:rPr>
              <w:t>与营业执照</w:t>
            </w:r>
            <w:r>
              <w:rPr>
                <w:rFonts w:ascii="Times New Roman" w:hAnsi="Times New Roman"/>
                <w:color w:val="FF0000"/>
                <w:szCs w:val="21"/>
              </w:rPr>
              <w:t>/事业单位法人证书</w:t>
            </w:r>
            <w:r>
              <w:rPr>
                <w:rFonts w:ascii="Times New Roman" w:hAnsi="Times New Roman"/>
              </w:rPr>
              <w:t>、资质证书一致</w:t>
            </w:r>
            <w:r>
              <w:rPr>
                <w:rFonts w:hint="eastAsia" w:ascii="Times New Roman" w:hAnsi="Times New Roman"/>
              </w:rPr>
              <w:t>。</w:t>
            </w:r>
          </w:p>
          <w:p w14:paraId="5905FAAE">
            <w:pPr>
              <w:spacing w:line="500" w:lineRule="exact"/>
              <w:rPr>
                <w:rFonts w:ascii="Times New Roman" w:hAnsi="Times New Roman"/>
              </w:rPr>
            </w:pPr>
            <w:r>
              <w:rPr>
                <w:rFonts w:ascii="Times New Roman" w:hAnsi="Times New Roman"/>
              </w:rPr>
              <w:t>名称变更的，应当提供证书颁发等单位提供的变更说明</w:t>
            </w:r>
          </w:p>
        </w:tc>
      </w:tr>
      <w:tr w14:paraId="470C9B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05ACCE1A">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10039B7B">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6FED1005">
            <w:pPr>
              <w:spacing w:line="500" w:lineRule="exact"/>
              <w:jc w:val="center"/>
              <w:rPr>
                <w:rFonts w:ascii="Times New Roman" w:hAnsi="Times New Roman"/>
              </w:rPr>
            </w:pPr>
            <w:r>
              <w:rPr>
                <w:rFonts w:ascii="Times New Roman" w:hAnsi="Times New Roman"/>
              </w:rPr>
              <w:t>投标文件格式</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60AF855D">
            <w:pPr>
              <w:spacing w:line="500" w:lineRule="exact"/>
              <w:rPr>
                <w:rFonts w:ascii="Times New Roman" w:hAnsi="Times New Roman"/>
              </w:rPr>
            </w:pPr>
            <w:r>
              <w:rPr>
                <w:rFonts w:ascii="Times New Roman" w:hAnsi="Times New Roman"/>
              </w:rPr>
              <w:t>符合第六章“投标文件格式”的规定，关键字迹清晰可辨</w:t>
            </w:r>
          </w:p>
        </w:tc>
      </w:tr>
      <w:tr w14:paraId="5E375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5CEFC078">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23A376E2">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4401EA26">
            <w:pPr>
              <w:spacing w:line="500" w:lineRule="exact"/>
              <w:jc w:val="center"/>
              <w:rPr>
                <w:rFonts w:ascii="Times New Roman" w:hAnsi="Times New Roman"/>
              </w:rPr>
            </w:pPr>
            <w:r>
              <w:rPr>
                <w:rFonts w:ascii="Times New Roman" w:hAnsi="Times New Roman"/>
                <w:kern w:val="0"/>
                <w:szCs w:val="21"/>
              </w:rPr>
              <w:t>签字盖章</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943AC9C">
            <w:pPr>
              <w:spacing w:line="500" w:lineRule="exact"/>
              <w:rPr>
                <w:rFonts w:ascii="Times New Roman" w:hAnsi="Times New Roman"/>
              </w:rPr>
            </w:pPr>
            <w:r>
              <w:rPr>
                <w:rFonts w:ascii="Times New Roman" w:hAnsi="Times New Roman"/>
                <w:kern w:val="0"/>
                <w:szCs w:val="21"/>
              </w:rPr>
              <w:t>符合第二章“投标人须知”第3.7.3项规定</w:t>
            </w:r>
          </w:p>
        </w:tc>
      </w:tr>
      <w:tr w14:paraId="441840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29819867">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318E8448">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594D1D57">
            <w:pPr>
              <w:spacing w:line="500" w:lineRule="exact"/>
              <w:jc w:val="center"/>
              <w:rPr>
                <w:rFonts w:ascii="Times New Roman" w:hAnsi="Times New Roman"/>
                <w:kern w:val="0"/>
                <w:szCs w:val="21"/>
              </w:rPr>
            </w:pPr>
            <w:r>
              <w:rPr>
                <w:rFonts w:ascii="Times New Roman" w:hAnsi="Times New Roman"/>
                <w:kern w:val="0"/>
                <w:szCs w:val="21"/>
              </w:rPr>
              <w:t>备选投标方案</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931FFFF">
            <w:pPr>
              <w:spacing w:line="500" w:lineRule="exact"/>
              <w:rPr>
                <w:rFonts w:ascii="Times New Roman" w:hAnsi="Times New Roman"/>
                <w:kern w:val="0"/>
                <w:szCs w:val="21"/>
              </w:rPr>
            </w:pPr>
            <w:r>
              <w:rPr>
                <w:rFonts w:ascii="Times New Roman" w:hAnsi="Times New Roman"/>
                <w:kern w:val="0"/>
                <w:szCs w:val="21"/>
              </w:rPr>
              <w:t>除招标文件明确允许备选投标方案外，投标人不得提交备选投标方案</w:t>
            </w:r>
          </w:p>
        </w:tc>
      </w:tr>
      <w:tr w14:paraId="26A1D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noWrap w:val="0"/>
            <w:vAlign w:val="center"/>
          </w:tcPr>
          <w:p w14:paraId="6823EE03">
            <w:pPr>
              <w:spacing w:line="500" w:lineRule="exact"/>
              <w:jc w:val="center"/>
              <w:rPr>
                <w:rFonts w:ascii="Times New Roman" w:hAnsi="Times New Roman"/>
              </w:rPr>
            </w:pPr>
            <w:r>
              <w:rPr>
                <w:rFonts w:ascii="Times New Roman" w:hAnsi="Times New Roman"/>
              </w:rPr>
              <w:t>2.1.3</w:t>
            </w:r>
          </w:p>
        </w:tc>
        <w:tc>
          <w:tcPr>
            <w:tcW w:w="1124" w:type="dxa"/>
            <w:vMerge w:val="restart"/>
            <w:tcBorders>
              <w:top w:val="single" w:color="auto" w:sz="4" w:space="0"/>
              <w:left w:val="single" w:color="auto" w:sz="4" w:space="0"/>
              <w:bottom w:val="single" w:color="auto" w:sz="4" w:space="0"/>
              <w:right w:val="single" w:color="auto" w:sz="4" w:space="0"/>
            </w:tcBorders>
            <w:noWrap w:val="0"/>
            <w:vAlign w:val="center"/>
          </w:tcPr>
          <w:p w14:paraId="257AA12D">
            <w:pPr>
              <w:spacing w:line="500" w:lineRule="exact"/>
              <w:jc w:val="center"/>
              <w:rPr>
                <w:rFonts w:ascii="Times New Roman" w:hAnsi="Times New Roman"/>
              </w:rPr>
            </w:pPr>
            <w:r>
              <w:rPr>
                <w:rFonts w:ascii="Times New Roman" w:hAnsi="Times New Roman"/>
              </w:rPr>
              <w:t>响应性评审标准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48820A05">
            <w:pPr>
              <w:spacing w:line="500" w:lineRule="exact"/>
              <w:jc w:val="center"/>
              <w:rPr>
                <w:rFonts w:ascii="Times New Roman" w:hAnsi="Times New Roman"/>
              </w:rPr>
            </w:pPr>
            <w:r>
              <w:rPr>
                <w:rFonts w:ascii="Times New Roman" w:hAnsi="Times New Roman"/>
              </w:rPr>
              <w:t>投标内容</w:t>
            </w:r>
          </w:p>
        </w:tc>
        <w:tc>
          <w:tcPr>
            <w:tcW w:w="4680" w:type="dxa"/>
            <w:tcBorders>
              <w:top w:val="single" w:color="auto" w:sz="4" w:space="0"/>
              <w:left w:val="single" w:color="auto" w:sz="4" w:space="0"/>
              <w:bottom w:val="single" w:color="auto" w:sz="4" w:space="0"/>
            </w:tcBorders>
            <w:noWrap w:val="0"/>
            <w:vAlign w:val="center"/>
          </w:tcPr>
          <w:p w14:paraId="60D370AF">
            <w:pPr>
              <w:spacing w:line="500" w:lineRule="exact"/>
              <w:rPr>
                <w:rFonts w:ascii="Times New Roman" w:hAnsi="Times New Roman"/>
              </w:rPr>
            </w:pPr>
            <w:r>
              <w:rPr>
                <w:rFonts w:ascii="Times New Roman" w:hAnsi="Times New Roman"/>
              </w:rPr>
              <w:t>符合第二章“投标人须知”第1.3.1项规定</w:t>
            </w:r>
          </w:p>
        </w:tc>
      </w:tr>
      <w:tr w14:paraId="2A31F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14:paraId="0CCC0F2C">
            <w:pPr>
              <w:spacing w:line="500" w:lineRule="exact"/>
              <w:jc w:val="center"/>
              <w:rPr>
                <w:rFonts w:ascii="Times New Roman" w:hAnsi="Times New Roman"/>
                <w:highlight w:val="none"/>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14:paraId="3314BA56">
            <w:pPr>
              <w:spacing w:line="500" w:lineRule="exact"/>
              <w:jc w:val="center"/>
              <w:rPr>
                <w:rFonts w:ascii="Times New Roman" w:hAnsi="Times New Roman"/>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53C61D78">
            <w:pPr>
              <w:spacing w:line="500" w:lineRule="exact"/>
              <w:jc w:val="center"/>
              <w:rPr>
                <w:rFonts w:ascii="Times New Roman" w:hAnsi="Times New Roman"/>
                <w:highlight w:val="none"/>
              </w:rPr>
            </w:pPr>
            <w:r>
              <w:rPr>
                <w:rFonts w:ascii="Times New Roman" w:hAnsi="Times New Roman"/>
                <w:highlight w:val="none"/>
              </w:rPr>
              <w:t>投标报价</w:t>
            </w:r>
          </w:p>
        </w:tc>
        <w:tc>
          <w:tcPr>
            <w:tcW w:w="4680" w:type="dxa"/>
            <w:tcBorders>
              <w:top w:val="single" w:color="auto" w:sz="4" w:space="0"/>
              <w:left w:val="single" w:color="auto" w:sz="4" w:space="0"/>
              <w:bottom w:val="single" w:color="auto" w:sz="4" w:space="0"/>
            </w:tcBorders>
            <w:noWrap w:val="0"/>
            <w:vAlign w:val="center"/>
          </w:tcPr>
          <w:p w14:paraId="2189E52F">
            <w:pPr>
              <w:widowControl/>
              <w:spacing w:line="500" w:lineRule="exact"/>
              <w:jc w:val="left"/>
              <w:rPr>
                <w:rFonts w:ascii="Times New Roman" w:hAnsi="Times New Roman"/>
                <w:kern w:val="0"/>
                <w:szCs w:val="21"/>
                <w:highlight w:val="none"/>
              </w:rPr>
            </w:pPr>
            <w:r>
              <w:rPr>
                <w:rFonts w:ascii="Times New Roman" w:hAnsi="Times New Roman"/>
                <w:kern w:val="0"/>
                <w:szCs w:val="21"/>
                <w:highlight w:val="none"/>
              </w:rPr>
              <w:t>（1）投标报价未超过招标文件设定的最高投标限价（如有）；</w:t>
            </w:r>
          </w:p>
          <w:p w14:paraId="4A086C7F">
            <w:pPr>
              <w:widowControl/>
              <w:spacing w:line="500" w:lineRule="exact"/>
              <w:jc w:val="left"/>
              <w:rPr>
                <w:rFonts w:ascii="Times New Roman" w:hAnsi="Times New Roman"/>
                <w:kern w:val="0"/>
                <w:szCs w:val="21"/>
                <w:highlight w:val="none"/>
              </w:rPr>
            </w:pPr>
            <w:r>
              <w:rPr>
                <w:rFonts w:ascii="Times New Roman" w:hAnsi="Times New Roman"/>
                <w:kern w:val="0"/>
                <w:szCs w:val="21"/>
                <w:highlight w:val="none"/>
              </w:rPr>
              <w:t>（2）投标报价的大写数值能确定具体数值，未出现数量级错误、报价金额单位错误；</w:t>
            </w:r>
          </w:p>
          <w:p w14:paraId="254018E2">
            <w:pPr>
              <w:widowControl/>
              <w:spacing w:line="500" w:lineRule="exact"/>
              <w:jc w:val="left"/>
              <w:rPr>
                <w:rFonts w:ascii="Times New Roman" w:hAnsi="Times New Roman"/>
                <w:highlight w:val="none"/>
              </w:rPr>
            </w:pPr>
            <w:r>
              <w:rPr>
                <w:rFonts w:ascii="Times New Roman" w:hAnsi="Times New Roman"/>
                <w:kern w:val="0"/>
                <w:szCs w:val="21"/>
                <w:highlight w:val="none"/>
              </w:rPr>
              <w:t>（3）同一投标人未递交两个以上不同的投标报价，但招标文件要求提交备选投标的除外；</w:t>
            </w:r>
          </w:p>
        </w:tc>
      </w:tr>
      <w:tr w14:paraId="1C5C9D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14:paraId="6C1F7AB8">
            <w:pPr>
              <w:spacing w:line="500" w:lineRule="exact"/>
              <w:jc w:val="center"/>
              <w:rPr>
                <w:rFonts w:ascii="Times New Roman" w:hAnsi="Times New Roman"/>
                <w:highlight w:val="none"/>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14:paraId="6FD3EBAD">
            <w:pPr>
              <w:spacing w:line="500" w:lineRule="exact"/>
              <w:jc w:val="center"/>
              <w:rPr>
                <w:rFonts w:ascii="Times New Roman" w:hAnsi="Times New Roman"/>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48854E06">
            <w:pPr>
              <w:spacing w:line="500" w:lineRule="exact"/>
              <w:jc w:val="center"/>
              <w:rPr>
                <w:rFonts w:ascii="Times New Roman" w:hAnsi="Times New Roman"/>
                <w:highlight w:val="none"/>
              </w:rPr>
            </w:pPr>
            <w:r>
              <w:rPr>
                <w:rFonts w:ascii="Times New Roman" w:hAnsi="Times New Roman"/>
                <w:highlight w:val="none"/>
              </w:rPr>
              <w:t>其它情形</w:t>
            </w:r>
          </w:p>
        </w:tc>
        <w:tc>
          <w:tcPr>
            <w:tcW w:w="4680" w:type="dxa"/>
            <w:tcBorders>
              <w:top w:val="single" w:color="auto" w:sz="4" w:space="0"/>
              <w:left w:val="single" w:color="auto" w:sz="4" w:space="0"/>
              <w:bottom w:val="single" w:color="auto" w:sz="4" w:space="0"/>
            </w:tcBorders>
            <w:noWrap w:val="0"/>
            <w:vAlign w:val="center"/>
          </w:tcPr>
          <w:p w14:paraId="65A1A291">
            <w:pPr>
              <w:widowControl/>
              <w:spacing w:line="500" w:lineRule="exact"/>
              <w:jc w:val="left"/>
              <w:rPr>
                <w:rFonts w:ascii="Times New Roman" w:hAnsi="Times New Roman"/>
                <w:highlight w:val="none"/>
              </w:rPr>
            </w:pPr>
            <w:r>
              <w:rPr>
                <w:rFonts w:ascii="Times New Roman" w:hAnsi="Times New Roman"/>
                <w:highlight w:val="none"/>
              </w:rPr>
              <w:t>（1）投标文件中不得存在招标人不能接受的其它实质性条件；</w:t>
            </w:r>
          </w:p>
          <w:p w14:paraId="13422662">
            <w:pPr>
              <w:spacing w:line="500" w:lineRule="exact"/>
              <w:jc w:val="left"/>
              <w:rPr>
                <w:rFonts w:ascii="Times New Roman" w:hAnsi="Times New Roman"/>
                <w:highlight w:val="none"/>
              </w:rPr>
            </w:pPr>
            <w:r>
              <w:rPr>
                <w:rFonts w:ascii="Times New Roman" w:hAnsi="Times New Roman"/>
                <w:highlight w:val="none"/>
              </w:rPr>
              <w:t>（2）法律、法规规定的其它情形。</w:t>
            </w:r>
          </w:p>
        </w:tc>
      </w:tr>
    </w:tbl>
    <w:p w14:paraId="0C619772">
      <w:pPr>
        <w:jc w:val="center"/>
        <w:rPr>
          <w:rFonts w:ascii="Times New Roman" w:hAnsi="Times New Roman" w:eastAsia="黑体"/>
          <w:sz w:val="24"/>
          <w:szCs w:val="24"/>
          <w:highlight w:val="none"/>
        </w:rPr>
      </w:pPr>
    </w:p>
    <w:p w14:paraId="77BBBE56">
      <w:pPr>
        <w:keepNext/>
        <w:keepLines/>
        <w:spacing w:after="120" w:afterLines="50" w:line="500" w:lineRule="exact"/>
        <w:jc w:val="center"/>
        <w:outlineLvl w:val="2"/>
        <w:rPr>
          <w:rFonts w:ascii="Times New Roman" w:hAnsi="Times New Roman" w:eastAsia="黑体"/>
          <w:bCs/>
          <w:sz w:val="28"/>
          <w:szCs w:val="28"/>
          <w:highlight w:val="none"/>
        </w:rPr>
        <w:sectPr>
          <w:footerReference r:id="rId7" w:type="default"/>
          <w:footnotePr>
            <w:numFmt w:val="decimalEnclosedCircleChinese"/>
            <w:numRestart w:val="eachPage"/>
          </w:footnotePr>
          <w:pgSz w:w="12240" w:h="15840"/>
          <w:pgMar w:top="1440" w:right="1800" w:bottom="1440" w:left="1800" w:header="850" w:footer="720" w:gutter="0"/>
          <w:pgNumType w:fmt="decimal" w:start="1"/>
          <w:cols w:space="720" w:num="1"/>
          <w:docGrid w:linePitch="286" w:charSpace="0"/>
        </w:sectPr>
      </w:pPr>
    </w:p>
    <w:p w14:paraId="5A6A4B8D">
      <w:pPr>
        <w:keepNext/>
        <w:keepLines/>
        <w:spacing w:after="120" w:afterLines="50" w:line="500" w:lineRule="exact"/>
        <w:jc w:val="center"/>
        <w:outlineLvl w:val="2"/>
        <w:rPr>
          <w:rFonts w:ascii="Times New Roman" w:hAnsi="Times New Roman" w:eastAsia="黑体"/>
          <w:bCs/>
          <w:sz w:val="28"/>
          <w:szCs w:val="28"/>
          <w:highlight w:val="none"/>
        </w:rPr>
      </w:pPr>
      <w:r>
        <w:rPr>
          <w:rFonts w:ascii="Times New Roman" w:hAnsi="Times New Roman" w:eastAsia="黑体"/>
          <w:bCs/>
          <w:sz w:val="28"/>
          <w:szCs w:val="28"/>
          <w:highlight w:val="none"/>
        </w:rPr>
        <w:t>商务、技术及报价文件详细评审标准</w:t>
      </w:r>
    </w:p>
    <w:tbl>
      <w:tblPr>
        <w:tblStyle w:val="43"/>
        <w:tblW w:w="9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712"/>
        <w:gridCol w:w="1057"/>
        <w:gridCol w:w="5954"/>
        <w:gridCol w:w="850"/>
      </w:tblGrid>
      <w:tr w14:paraId="31D7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67" w:type="dxa"/>
            <w:gridSpan w:val="2"/>
            <w:tcBorders>
              <w:top w:val="single" w:color="auto" w:sz="4" w:space="0"/>
              <w:left w:val="single" w:color="auto" w:sz="4" w:space="0"/>
              <w:bottom w:val="single" w:color="auto" w:sz="4" w:space="0"/>
              <w:right w:val="single" w:color="auto" w:sz="4" w:space="0"/>
            </w:tcBorders>
            <w:noWrap w:val="0"/>
            <w:vAlign w:val="center"/>
          </w:tcPr>
          <w:p w14:paraId="4A08E745">
            <w:pPr>
              <w:spacing w:line="500" w:lineRule="atLeast"/>
              <w:jc w:val="center"/>
              <w:rPr>
                <w:rFonts w:ascii="Times New Roman" w:hAnsi="Times New Roman"/>
                <w:b/>
                <w:bCs/>
                <w:sz w:val="24"/>
                <w:highlight w:val="none"/>
              </w:rPr>
            </w:pPr>
            <w:r>
              <w:rPr>
                <w:rFonts w:hint="eastAsia" w:ascii="Times New Roman" w:hAnsi="Times New Roman"/>
                <w:b/>
                <w:bCs/>
                <w:sz w:val="24"/>
                <w:highlight w:val="none"/>
                <w:lang w:val="en-US" w:eastAsia="zh-CN"/>
              </w:rPr>
              <w:t>条款号</w:t>
            </w:r>
          </w:p>
        </w:tc>
        <w:tc>
          <w:tcPr>
            <w:tcW w:w="1057" w:type="dxa"/>
            <w:tcBorders>
              <w:top w:val="single" w:color="auto" w:sz="4" w:space="0"/>
              <w:left w:val="single" w:color="auto" w:sz="4" w:space="0"/>
              <w:bottom w:val="single" w:color="auto" w:sz="4" w:space="0"/>
              <w:right w:val="single" w:color="auto" w:sz="4" w:space="0"/>
            </w:tcBorders>
            <w:noWrap w:val="0"/>
            <w:vAlign w:val="center"/>
          </w:tcPr>
          <w:p w14:paraId="1B552DBD">
            <w:pPr>
              <w:spacing w:line="500" w:lineRule="atLeast"/>
              <w:jc w:val="center"/>
              <w:rPr>
                <w:rFonts w:ascii="Times New Roman" w:hAnsi="Times New Roman"/>
                <w:b/>
                <w:bCs/>
                <w:sz w:val="24"/>
                <w:highlight w:val="none"/>
              </w:rPr>
            </w:pPr>
            <w:r>
              <w:rPr>
                <w:rFonts w:ascii="Times New Roman" w:hAnsi="Times New Roman"/>
                <w:b/>
                <w:bCs/>
                <w:sz w:val="24"/>
                <w:highlight w:val="none"/>
              </w:rPr>
              <w:t>评分</w:t>
            </w:r>
            <w:r>
              <w:rPr>
                <w:rFonts w:hint="eastAsia" w:ascii="Times New Roman" w:hAnsi="Times New Roman"/>
                <w:b/>
                <w:bCs/>
                <w:sz w:val="24"/>
                <w:highlight w:val="none"/>
                <w:lang w:val="en-US" w:eastAsia="zh-CN"/>
              </w:rPr>
              <w:t>因素</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51F7AEC5">
            <w:pPr>
              <w:spacing w:line="500" w:lineRule="atLeast"/>
              <w:jc w:val="center"/>
              <w:rPr>
                <w:rFonts w:ascii="Times New Roman" w:hAnsi="Times New Roman"/>
                <w:b/>
                <w:bCs/>
                <w:sz w:val="24"/>
                <w:highlight w:val="none"/>
              </w:rPr>
            </w:pPr>
            <w:r>
              <w:rPr>
                <w:rFonts w:ascii="Times New Roman" w:hAnsi="Times New Roman"/>
                <w:b/>
                <w:bCs/>
                <w:sz w:val="24"/>
                <w:highlight w:val="none"/>
              </w:rPr>
              <w:t>评分标准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C84C719">
            <w:pPr>
              <w:spacing w:line="500" w:lineRule="atLeast"/>
              <w:jc w:val="center"/>
              <w:rPr>
                <w:rFonts w:ascii="Times New Roman" w:hAnsi="Times New Roman"/>
                <w:b/>
                <w:bCs/>
                <w:sz w:val="24"/>
                <w:highlight w:val="none"/>
              </w:rPr>
            </w:pPr>
            <w:r>
              <w:rPr>
                <w:rFonts w:ascii="Times New Roman" w:hAnsi="Times New Roman"/>
                <w:b/>
                <w:bCs/>
                <w:sz w:val="24"/>
                <w:highlight w:val="none"/>
              </w:rPr>
              <w:t>分值范围</w:t>
            </w:r>
          </w:p>
        </w:tc>
      </w:tr>
      <w:tr w14:paraId="152D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55" w:type="dxa"/>
            <w:vMerge w:val="restart"/>
            <w:tcBorders>
              <w:top w:val="single" w:color="auto" w:sz="4" w:space="0"/>
              <w:left w:val="single" w:color="auto" w:sz="4" w:space="0"/>
              <w:right w:val="single" w:color="auto" w:sz="4" w:space="0"/>
            </w:tcBorders>
            <w:noWrap w:val="0"/>
            <w:vAlign w:val="center"/>
          </w:tcPr>
          <w:p w14:paraId="558A52DE">
            <w:pPr>
              <w:spacing w:line="500" w:lineRule="atLeast"/>
              <w:jc w:val="center"/>
              <w:rPr>
                <w:rFonts w:ascii="Times New Roman" w:hAnsi="Times New Roman"/>
                <w:b/>
                <w:bCs/>
                <w:sz w:val="24"/>
                <w:highlight w:val="none"/>
              </w:rPr>
            </w:pPr>
            <w:r>
              <w:rPr>
                <w:rFonts w:hint="eastAsia" w:ascii="Times New Roman" w:hAnsi="Times New Roman"/>
                <w:b w:val="0"/>
                <w:bCs w:val="0"/>
                <w:sz w:val="24"/>
                <w:highlight w:val="none"/>
                <w:lang w:val="en-US" w:eastAsia="zh-CN"/>
              </w:rPr>
              <w:t>2.2.3（1）</w:t>
            </w:r>
          </w:p>
        </w:tc>
        <w:tc>
          <w:tcPr>
            <w:tcW w:w="712" w:type="dxa"/>
            <w:vMerge w:val="restart"/>
            <w:tcBorders>
              <w:top w:val="single" w:color="auto" w:sz="4" w:space="0"/>
              <w:left w:val="single" w:color="auto" w:sz="4" w:space="0"/>
              <w:right w:val="single" w:color="auto" w:sz="4" w:space="0"/>
            </w:tcBorders>
            <w:noWrap w:val="0"/>
            <w:vAlign w:val="center"/>
          </w:tcPr>
          <w:p w14:paraId="7712883B">
            <w:pPr>
              <w:spacing w:line="500" w:lineRule="atLeast"/>
              <w:jc w:val="center"/>
              <w:rPr>
                <w:rFonts w:hint="eastAsia" w:ascii="Times New Roman" w:hAnsi="Times New Roman"/>
                <w:sz w:val="24"/>
                <w:highlight w:val="none"/>
              </w:rPr>
            </w:pPr>
            <w:r>
              <w:rPr>
                <w:rFonts w:hint="eastAsia" w:ascii="Times New Roman" w:hAnsi="Times New Roman"/>
                <w:sz w:val="24"/>
                <w:highlight w:val="none"/>
              </w:rPr>
              <w:t>商务评分标准</w:t>
            </w:r>
          </w:p>
        </w:tc>
        <w:tc>
          <w:tcPr>
            <w:tcW w:w="1057" w:type="dxa"/>
            <w:tcBorders>
              <w:top w:val="single" w:color="auto" w:sz="4" w:space="0"/>
              <w:left w:val="single" w:color="auto" w:sz="4" w:space="0"/>
              <w:right w:val="single" w:color="auto" w:sz="4" w:space="0"/>
            </w:tcBorders>
            <w:noWrap w:val="0"/>
            <w:vAlign w:val="center"/>
          </w:tcPr>
          <w:p w14:paraId="01225FE5">
            <w:pPr>
              <w:spacing w:line="500" w:lineRule="atLeast"/>
              <w:jc w:val="center"/>
              <w:rPr>
                <w:rFonts w:ascii="Times New Roman" w:hAnsi="Times New Roman"/>
                <w:szCs w:val="21"/>
                <w:highlight w:val="none"/>
              </w:rPr>
            </w:pPr>
            <w:r>
              <w:rPr>
                <w:rFonts w:ascii="Times New Roman" w:hAnsi="Times New Roman"/>
                <w:szCs w:val="21"/>
                <w:highlight w:val="none"/>
              </w:rPr>
              <w:t>投标人资信、认证</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563A0209">
            <w:pPr>
              <w:numPr>
                <w:ilvl w:val="0"/>
                <w:numId w:val="0"/>
              </w:numPr>
              <w:spacing w:line="440" w:lineRule="exac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 xml:space="preserve">投标人具有经中国国家认证认可监督管理委员会认证机构颁发有效的质量管理体系认证、环境管理体系认证、职业健康安全管理体系认证的，每个得 2分，满分 6分。 </w:t>
            </w:r>
          </w:p>
          <w:p w14:paraId="00B5A508">
            <w:pPr>
              <w:spacing w:line="500" w:lineRule="atLeast"/>
              <w:jc w:val="left"/>
              <w:rPr>
                <w:rFonts w:ascii="Times New Roman" w:hAnsi="Times New Roman"/>
                <w:szCs w:val="21"/>
                <w:highlight w:val="none"/>
              </w:rPr>
            </w:pPr>
            <w:r>
              <w:rPr>
                <w:rFonts w:hint="eastAsia" w:ascii="Times New Roman" w:hAnsi="Times New Roman" w:eastAsia="宋体" w:cs="Times New Roman"/>
                <w:b/>
                <w:bCs/>
                <w:kern w:val="2"/>
                <w:sz w:val="21"/>
                <w:szCs w:val="21"/>
                <w:highlight w:val="none"/>
                <w:lang w:val="en-US" w:eastAsia="zh-CN" w:bidi="ar-SA"/>
              </w:rPr>
              <w:t>注：投标文件中提供证书扫描件作为评审依据，证书中应能体现发证机构已获认监委认证或能体现该证书可在认监委网站查询，否则须同时在投标文件中提供在认监委网站对证书发证机构的查询截图作为评审依据。同一类认证证书仅记取一次分值。</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9C2EF05">
            <w:pPr>
              <w:spacing w:line="500" w:lineRule="atLeast"/>
              <w:jc w:val="center"/>
              <w:rPr>
                <w:rFonts w:ascii="Times New Roman" w:hAnsi="Times New Roman"/>
                <w:szCs w:val="21"/>
                <w:highlight w:val="none"/>
              </w:rPr>
            </w:pPr>
            <w:r>
              <w:rPr>
                <w:rFonts w:ascii="Times New Roman" w:hAnsi="Times New Roman"/>
                <w:szCs w:val="21"/>
                <w:highlight w:val="none"/>
              </w:rPr>
              <w:t>6分</w:t>
            </w:r>
          </w:p>
        </w:tc>
      </w:tr>
      <w:tr w14:paraId="7D46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55" w:type="dxa"/>
            <w:vMerge w:val="continue"/>
            <w:tcBorders>
              <w:left w:val="single" w:color="auto" w:sz="4" w:space="0"/>
              <w:right w:val="single" w:color="auto" w:sz="4" w:space="0"/>
            </w:tcBorders>
            <w:noWrap w:val="0"/>
            <w:vAlign w:val="center"/>
          </w:tcPr>
          <w:p w14:paraId="4910A62E">
            <w:pPr>
              <w:spacing w:line="500" w:lineRule="atLeast"/>
              <w:jc w:val="center"/>
              <w:rPr>
                <w:rFonts w:ascii="Times New Roman" w:hAnsi="Times New Roman"/>
                <w:b/>
                <w:bCs/>
                <w:sz w:val="24"/>
                <w:highlight w:val="none"/>
              </w:rPr>
            </w:pPr>
          </w:p>
        </w:tc>
        <w:tc>
          <w:tcPr>
            <w:tcW w:w="712" w:type="dxa"/>
            <w:vMerge w:val="continue"/>
            <w:tcBorders>
              <w:left w:val="single" w:color="auto" w:sz="4" w:space="0"/>
              <w:right w:val="single" w:color="auto" w:sz="4" w:space="0"/>
            </w:tcBorders>
            <w:noWrap w:val="0"/>
            <w:vAlign w:val="center"/>
          </w:tcPr>
          <w:p w14:paraId="5AC1D93A">
            <w:pPr>
              <w:spacing w:line="500" w:lineRule="atLeast"/>
              <w:jc w:val="center"/>
              <w:rPr>
                <w:rFonts w:ascii="Times New Roman" w:hAnsi="Times New Roman"/>
                <w:b/>
                <w:bCs/>
                <w:sz w:val="24"/>
                <w:highlight w:val="none"/>
              </w:rPr>
            </w:pPr>
          </w:p>
        </w:tc>
        <w:tc>
          <w:tcPr>
            <w:tcW w:w="1057" w:type="dxa"/>
            <w:tcBorders>
              <w:top w:val="single" w:color="auto" w:sz="4" w:space="0"/>
              <w:left w:val="single" w:color="auto" w:sz="4" w:space="0"/>
              <w:right w:val="single" w:color="auto" w:sz="4" w:space="0"/>
            </w:tcBorders>
            <w:noWrap w:val="0"/>
            <w:vAlign w:val="center"/>
          </w:tcPr>
          <w:p w14:paraId="345940E5">
            <w:pPr>
              <w:spacing w:line="500" w:lineRule="atLeast"/>
              <w:jc w:val="center"/>
              <w:rPr>
                <w:rFonts w:ascii="Times New Roman" w:hAnsi="Times New Roman"/>
                <w:szCs w:val="21"/>
                <w:highlight w:val="none"/>
              </w:rPr>
            </w:pPr>
            <w:r>
              <w:rPr>
                <w:rFonts w:ascii="Times New Roman" w:hAnsi="Times New Roman"/>
                <w:szCs w:val="21"/>
                <w:highlight w:val="none"/>
              </w:rPr>
              <w:t>拟委任人员资格</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38C08275">
            <w:pPr>
              <w:numPr>
                <w:ilvl w:val="0"/>
                <w:numId w:val="4"/>
              </w:numPr>
              <w:spacing w:line="440" w:lineRule="exac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拟派项目负责人具备</w:t>
            </w:r>
            <w:r>
              <w:rPr>
                <w:rFonts w:hint="eastAsia" w:ascii="Times New Roman" w:hAnsi="Times New Roman" w:eastAsia="宋体" w:cs="Times New Roman"/>
                <w:kern w:val="2"/>
                <w:sz w:val="21"/>
                <w:szCs w:val="21"/>
                <w:highlight w:val="none"/>
                <w:u w:val="single"/>
                <w:lang w:val="en-US" w:eastAsia="zh-CN" w:bidi="ar-SA"/>
              </w:rPr>
              <w:t>一级注册消防工程师</w:t>
            </w:r>
            <w:r>
              <w:rPr>
                <w:rFonts w:hint="eastAsia" w:ascii="Times New Roman" w:hAnsi="Times New Roman" w:eastAsia="宋体" w:cs="Times New Roman"/>
                <w:kern w:val="2"/>
                <w:sz w:val="21"/>
                <w:szCs w:val="21"/>
                <w:highlight w:val="none"/>
                <w:lang w:val="en-US" w:eastAsia="zh-CN" w:bidi="ar-SA"/>
              </w:rPr>
              <w:t>执业资格的，得2分；拟派项目负责人</w:t>
            </w:r>
            <w:r>
              <w:rPr>
                <w:rFonts w:hint="eastAsia" w:ascii="Times New Roman" w:hAnsi="Times New Roman" w:eastAsia="宋体" w:cs="Times New Roman"/>
                <w:color w:val="auto"/>
                <w:kern w:val="2"/>
                <w:sz w:val="21"/>
                <w:szCs w:val="21"/>
                <w:highlight w:val="none"/>
                <w:lang w:val="en-US" w:eastAsia="zh-CN" w:bidi="ar-SA"/>
              </w:rPr>
              <w:t>同时具有</w:t>
            </w:r>
            <w:r>
              <w:rPr>
                <w:rFonts w:hint="eastAsia" w:ascii="Times New Roman" w:hAnsi="Times New Roman" w:eastAsia="宋体" w:cs="Times New Roman"/>
                <w:color w:val="auto"/>
                <w:kern w:val="2"/>
                <w:sz w:val="21"/>
                <w:szCs w:val="21"/>
                <w:highlight w:val="none"/>
                <w:u w:val="single"/>
                <w:lang w:val="en-US" w:eastAsia="zh-CN" w:bidi="ar-SA"/>
              </w:rPr>
              <w:t>机电工程专业一级建造师证书</w:t>
            </w:r>
            <w:r>
              <w:rPr>
                <w:rFonts w:hint="eastAsia" w:ascii="Times New Roman" w:hAnsi="Times New Roman" w:eastAsia="宋体" w:cs="Times New Roman"/>
                <w:color w:val="auto"/>
                <w:kern w:val="2"/>
                <w:sz w:val="21"/>
                <w:szCs w:val="21"/>
                <w:highlight w:val="none"/>
                <w:lang w:val="en-US" w:eastAsia="zh-CN" w:bidi="ar-SA"/>
              </w:rPr>
              <w:t>资格的，得2分；本项满分4分</w:t>
            </w:r>
          </w:p>
          <w:p w14:paraId="0C341C4C">
            <w:pPr>
              <w:numPr>
                <w:ilvl w:val="0"/>
                <w:numId w:val="4"/>
              </w:numPr>
              <w:spacing w:line="440" w:lineRule="exac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拟派项目技术负责人具备</w:t>
            </w:r>
            <w:r>
              <w:rPr>
                <w:rFonts w:hint="eastAsia" w:ascii="Times New Roman" w:hAnsi="Times New Roman" w:eastAsia="宋体" w:cs="Times New Roman"/>
                <w:color w:val="auto"/>
                <w:kern w:val="2"/>
                <w:sz w:val="21"/>
                <w:szCs w:val="21"/>
                <w:highlight w:val="none"/>
                <w:u w:val="single"/>
                <w:lang w:val="en-US" w:eastAsia="zh-CN" w:bidi="ar-SA"/>
              </w:rPr>
              <w:t>一级注册消防工程师</w:t>
            </w:r>
            <w:r>
              <w:rPr>
                <w:rFonts w:hint="eastAsia" w:ascii="Times New Roman" w:hAnsi="Times New Roman" w:eastAsia="宋体" w:cs="Times New Roman"/>
                <w:color w:val="auto"/>
                <w:kern w:val="2"/>
                <w:sz w:val="21"/>
                <w:szCs w:val="21"/>
                <w:highlight w:val="none"/>
                <w:lang w:val="en-US" w:eastAsia="zh-CN" w:bidi="ar-SA"/>
              </w:rPr>
              <w:t>执业资格，得2分；拟派项目技术负责人同时具有</w:t>
            </w:r>
            <w:r>
              <w:rPr>
                <w:rFonts w:hint="eastAsia" w:ascii="Times New Roman" w:hAnsi="Times New Roman" w:eastAsia="宋体" w:cs="Times New Roman"/>
                <w:color w:val="auto"/>
                <w:kern w:val="2"/>
                <w:sz w:val="21"/>
                <w:szCs w:val="21"/>
                <w:highlight w:val="none"/>
                <w:u w:val="single"/>
                <w:lang w:val="en-US" w:eastAsia="zh-CN" w:bidi="ar-SA"/>
              </w:rPr>
              <w:t>机电工程专业一级建造师证书</w:t>
            </w:r>
            <w:r>
              <w:rPr>
                <w:rFonts w:hint="eastAsia" w:ascii="Times New Roman" w:hAnsi="Times New Roman" w:eastAsia="宋体" w:cs="Times New Roman"/>
                <w:color w:val="auto"/>
                <w:kern w:val="2"/>
                <w:sz w:val="21"/>
                <w:szCs w:val="21"/>
                <w:highlight w:val="none"/>
                <w:lang w:val="en-US" w:eastAsia="zh-CN" w:bidi="ar-SA"/>
              </w:rPr>
              <w:t>资格的，得2分；本项满分4分。</w:t>
            </w:r>
          </w:p>
          <w:p w14:paraId="5C4C2F14">
            <w:pPr>
              <w:spacing w:line="440" w:lineRule="exact"/>
              <w:rPr>
                <w:rFonts w:hint="eastAsia" w:ascii="Times New Roman" w:hAnsi="Times New Roman" w:eastAsia="宋体" w:cs="Times New Roman"/>
                <w:b/>
                <w:bCs/>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注：1.投标文件中提供上述人员的证书扫描件，同时提供上述人员社保证明材料。社保证明材料要求如下：投标文件中须提供投标人所属社保机构出具的上述人员自</w:t>
            </w:r>
            <w:r>
              <w:rPr>
                <w:rFonts w:ascii="Times New Roman" w:hAnsi="Times New Roman" w:eastAsia="宋体" w:cs="Times New Roman"/>
                <w:b/>
                <w:bCs/>
                <w:kern w:val="2"/>
                <w:sz w:val="21"/>
                <w:szCs w:val="21"/>
                <w:highlight w:val="none"/>
                <w:lang w:val="en-US" w:eastAsia="zh-CN" w:bidi="ar-SA"/>
              </w:rPr>
              <w:t>20</w:t>
            </w:r>
            <w:r>
              <w:rPr>
                <w:rFonts w:hint="eastAsia" w:ascii="Times New Roman" w:hAnsi="Times New Roman" w:eastAsia="宋体" w:cs="Times New Roman"/>
                <w:b/>
                <w:bCs/>
                <w:kern w:val="2"/>
                <w:sz w:val="21"/>
                <w:szCs w:val="21"/>
                <w:highlight w:val="none"/>
                <w:lang w:val="en-US" w:eastAsia="zh-CN" w:bidi="ar-SA"/>
              </w:rPr>
              <w:t>25年</w:t>
            </w:r>
            <w:r>
              <w:rPr>
                <w:rFonts w:hint="eastAsia" w:ascii="Times New Roman" w:hAnsi="Times New Roman" w:cs="Times New Roman"/>
                <w:b/>
                <w:bCs/>
                <w:kern w:val="2"/>
                <w:sz w:val="21"/>
                <w:szCs w:val="21"/>
                <w:highlight w:val="none"/>
                <w:lang w:val="en-US" w:eastAsia="zh-CN" w:bidi="ar-SA"/>
              </w:rPr>
              <w:t>1</w:t>
            </w:r>
            <w:r>
              <w:rPr>
                <w:rFonts w:hint="eastAsia" w:ascii="Times New Roman" w:hAnsi="Times New Roman" w:eastAsia="宋体" w:cs="Times New Roman"/>
                <w:b/>
                <w:bCs/>
                <w:kern w:val="2"/>
                <w:sz w:val="21"/>
                <w:szCs w:val="21"/>
                <w:highlight w:val="none"/>
                <w:lang w:val="en-US" w:eastAsia="zh-CN" w:bidi="ar-SA"/>
              </w:rPr>
              <w:t>月1日以来任意连续三个月社保缴费证明（或其他能够证明上述人员参加社保的有效证明）材料，上述人员的社会保险的缴纳单位应当是投标人或者投标人不具备独立法人资格的分支机构（社保缴费证明或社保的有效证明材料至少含养老保险）。</w:t>
            </w:r>
          </w:p>
          <w:p w14:paraId="0DFCE426">
            <w:pPr>
              <w:spacing w:line="500" w:lineRule="atLeast"/>
              <w:jc w:val="left"/>
              <w:rPr>
                <w:rFonts w:ascii="Times New Roman" w:hAnsi="Times New Roman"/>
                <w:szCs w:val="21"/>
                <w:highlight w:val="none"/>
              </w:rPr>
            </w:pPr>
            <w:r>
              <w:rPr>
                <w:rFonts w:hint="eastAsia" w:ascii="Times New Roman" w:hAnsi="Times New Roman" w:eastAsia="宋体" w:cs="Times New Roman"/>
                <w:b/>
                <w:bCs/>
                <w:kern w:val="2"/>
                <w:sz w:val="21"/>
                <w:szCs w:val="21"/>
                <w:highlight w:val="none"/>
                <w:lang w:val="en-US" w:eastAsia="zh-CN" w:bidi="ar-SA"/>
              </w:rPr>
              <w:t>2.采用一级注册建筑师投标的应符合《全国注册建筑师管理委员会关于开展使用一级注册建筑师电子注册证书工作的通知》（注建〔2021〕2号）规定，投标文件提供的一级注册建筑师证书应在个人签名处手写本人签名，未手写签名或与签名图像笔迹不一致的，该电子证书无效。</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D9FBCA7">
            <w:pPr>
              <w:spacing w:line="500" w:lineRule="atLeast"/>
              <w:jc w:val="center"/>
              <w:rPr>
                <w:rFonts w:ascii="Times New Roman" w:hAnsi="Times New Roman"/>
                <w:szCs w:val="21"/>
                <w:highlight w:val="none"/>
              </w:rPr>
            </w:pPr>
            <w:r>
              <w:rPr>
                <w:rFonts w:ascii="Times New Roman" w:hAnsi="Times New Roman"/>
                <w:szCs w:val="21"/>
                <w:highlight w:val="none"/>
              </w:rPr>
              <w:t>8分</w:t>
            </w:r>
          </w:p>
        </w:tc>
      </w:tr>
      <w:tr w14:paraId="1CE9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2" w:hRule="atLeast"/>
          <w:jc w:val="center"/>
        </w:trPr>
        <w:tc>
          <w:tcPr>
            <w:tcW w:w="755" w:type="dxa"/>
            <w:vMerge w:val="continue"/>
            <w:tcBorders>
              <w:left w:val="single" w:color="auto" w:sz="4" w:space="0"/>
              <w:right w:val="single" w:color="auto" w:sz="4" w:space="0"/>
            </w:tcBorders>
            <w:noWrap w:val="0"/>
            <w:vAlign w:val="center"/>
          </w:tcPr>
          <w:p w14:paraId="4BC75784">
            <w:pPr>
              <w:spacing w:line="500" w:lineRule="atLeast"/>
              <w:jc w:val="center"/>
              <w:rPr>
                <w:rFonts w:ascii="Times New Roman" w:hAnsi="Times New Roman"/>
                <w:b/>
                <w:bCs/>
                <w:sz w:val="24"/>
              </w:rPr>
            </w:pPr>
          </w:p>
        </w:tc>
        <w:tc>
          <w:tcPr>
            <w:tcW w:w="712" w:type="dxa"/>
            <w:vMerge w:val="continue"/>
            <w:tcBorders>
              <w:left w:val="single" w:color="auto" w:sz="4" w:space="0"/>
              <w:right w:val="single" w:color="auto" w:sz="4" w:space="0"/>
            </w:tcBorders>
            <w:noWrap w:val="0"/>
            <w:vAlign w:val="center"/>
          </w:tcPr>
          <w:p w14:paraId="4A03624D">
            <w:pPr>
              <w:spacing w:line="500" w:lineRule="atLeast"/>
              <w:jc w:val="center"/>
              <w:rPr>
                <w:rFonts w:ascii="Times New Roman" w:hAnsi="Times New Roman"/>
                <w:b/>
                <w:bCs/>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70166789">
            <w:pPr>
              <w:spacing w:line="500" w:lineRule="atLeast"/>
              <w:jc w:val="center"/>
              <w:rPr>
                <w:rFonts w:ascii="Times New Roman" w:hAnsi="Times New Roman"/>
                <w:szCs w:val="21"/>
              </w:rPr>
            </w:pPr>
            <w:r>
              <w:rPr>
                <w:rFonts w:ascii="Times New Roman" w:hAnsi="Times New Roman"/>
                <w:szCs w:val="21"/>
              </w:rPr>
              <w:t>投标人业绩</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65B897CA">
            <w:pPr>
              <w:pStyle w:val="113"/>
              <w:pageBreakBefore w:val="0"/>
              <w:widowControl/>
              <w:kinsoku/>
              <w:wordWrap/>
              <w:overflowPunct/>
              <w:topLinePunct w:val="0"/>
              <w:bidi w:val="0"/>
              <w:spacing w:before="26" w:beforeAutospacing="0" w:line="500" w:lineRule="exac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1、20</w:t>
            </w:r>
            <w:r>
              <w:rPr>
                <w:rFonts w:hint="eastAsia" w:ascii="Times New Roman" w:hAnsi="Times New Roman" w:cs="Times New Roman"/>
                <w:kern w:val="2"/>
                <w:sz w:val="21"/>
                <w:szCs w:val="21"/>
                <w:highlight w:val="none"/>
                <w:lang w:val="en-US" w:eastAsia="zh-CN" w:bidi="ar-SA"/>
              </w:rPr>
              <w:t>21</w:t>
            </w:r>
            <w:r>
              <w:rPr>
                <w:rFonts w:hint="eastAsia" w:ascii="Times New Roman" w:hAnsi="Times New Roman" w:eastAsia="宋体" w:cs="Times New Roman"/>
                <w:kern w:val="2"/>
                <w:sz w:val="21"/>
                <w:szCs w:val="21"/>
                <w:highlight w:val="none"/>
                <w:lang w:val="en-US" w:eastAsia="zh-CN" w:bidi="ar-SA"/>
              </w:rPr>
              <w:t>年</w:t>
            </w:r>
            <w:r>
              <w:rPr>
                <w:rFonts w:hint="eastAsia" w:ascii="Times New Roman" w:hAnsi="Times New Roman"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月1日至今（以合同签订时间为准）投标人具有</w:t>
            </w:r>
            <w:r>
              <w:rPr>
                <w:rFonts w:hint="eastAsia" w:ascii="Times New Roman" w:hAnsi="Times New Roman" w:eastAsia="宋体" w:cs="Times New Roman"/>
                <w:kern w:val="2"/>
                <w:sz w:val="21"/>
                <w:szCs w:val="21"/>
                <w:highlight w:val="none"/>
                <w:u w:val="single"/>
                <w:lang w:val="en-US" w:eastAsia="zh-CN" w:bidi="ar-SA"/>
              </w:rPr>
              <w:t>单项合同金额</w:t>
            </w:r>
            <w:r>
              <w:rPr>
                <w:rFonts w:hint="eastAsia" w:ascii="Times New Roman" w:hAnsi="Times New Roman" w:cs="Times New Roman"/>
                <w:kern w:val="2"/>
                <w:sz w:val="21"/>
                <w:szCs w:val="21"/>
                <w:highlight w:val="none"/>
                <w:u w:val="single"/>
                <w:lang w:val="en-US" w:eastAsia="zh-CN" w:bidi="ar-SA"/>
              </w:rPr>
              <w:t>4.9</w:t>
            </w:r>
            <w:r>
              <w:rPr>
                <w:rFonts w:hint="eastAsia" w:ascii="Times New Roman" w:hAnsi="Times New Roman" w:eastAsia="宋体" w:cs="Times New Roman"/>
                <w:kern w:val="2"/>
                <w:sz w:val="21"/>
                <w:szCs w:val="21"/>
                <w:highlight w:val="none"/>
                <w:u w:val="single"/>
                <w:lang w:val="en-US" w:eastAsia="zh-CN" w:bidi="ar-SA"/>
              </w:rPr>
              <w:t>万元/年</w:t>
            </w:r>
            <w:r>
              <w:rPr>
                <w:rFonts w:hint="eastAsia" w:ascii="Times New Roman" w:hAnsi="Times New Roman" w:cs="Times New Roman"/>
                <w:kern w:val="2"/>
                <w:sz w:val="21"/>
                <w:szCs w:val="21"/>
                <w:highlight w:val="none"/>
                <w:u w:val="single"/>
                <w:lang w:val="en-US" w:eastAsia="zh-CN" w:bidi="ar-SA"/>
              </w:rPr>
              <w:t>及</w:t>
            </w:r>
            <w:r>
              <w:rPr>
                <w:rFonts w:hint="eastAsia" w:ascii="Times New Roman" w:hAnsi="Times New Roman" w:eastAsia="宋体" w:cs="Times New Roman"/>
                <w:kern w:val="2"/>
                <w:sz w:val="21"/>
                <w:szCs w:val="21"/>
                <w:highlight w:val="none"/>
                <w:u w:val="single"/>
                <w:lang w:val="en-US" w:eastAsia="zh-CN" w:bidi="ar-SA"/>
              </w:rPr>
              <w:t>以上或维保面积不低于5万平方米的公共建筑消防系统维保</w:t>
            </w:r>
            <w:r>
              <w:rPr>
                <w:rFonts w:hint="eastAsia" w:ascii="Times New Roman" w:hAnsi="Times New Roman" w:eastAsia="宋体" w:cs="Times New Roman"/>
                <w:kern w:val="2"/>
                <w:sz w:val="21"/>
                <w:szCs w:val="21"/>
                <w:highlight w:val="none"/>
                <w:lang w:val="en-US" w:eastAsia="zh-CN" w:bidi="ar-SA"/>
              </w:rPr>
              <w:t>业绩的（不含工矿企业消防维保类似业绩，服务内容须包含管网式气体灭火系统维保或消防</w:t>
            </w:r>
            <w:r>
              <w:rPr>
                <w:rFonts w:hint="eastAsia" w:ascii="Times New Roman" w:hAnsi="Times New Roman" w:cs="Times New Roman"/>
                <w:kern w:val="2"/>
                <w:sz w:val="21"/>
                <w:szCs w:val="21"/>
                <w:highlight w:val="none"/>
                <w:lang w:val="en-US" w:eastAsia="zh-CN" w:bidi="ar-SA"/>
              </w:rPr>
              <w:t>水系统</w:t>
            </w:r>
            <w:r>
              <w:rPr>
                <w:rFonts w:hint="eastAsia" w:ascii="Times New Roman" w:hAnsi="Times New Roman" w:eastAsia="宋体" w:cs="Times New Roman"/>
                <w:kern w:val="2"/>
                <w:sz w:val="21"/>
                <w:szCs w:val="21"/>
                <w:highlight w:val="none"/>
                <w:lang w:val="en-US" w:eastAsia="zh-CN" w:bidi="ar-SA"/>
              </w:rPr>
              <w:t>维保），每提供一份业绩得</w:t>
            </w:r>
            <w:r>
              <w:rPr>
                <w:rFonts w:hint="eastAsia" w:ascii="Times New Roman" w:hAnsi="Times New Roman" w:cs="Times New Roman"/>
                <w:kern w:val="2"/>
                <w:sz w:val="21"/>
                <w:szCs w:val="21"/>
                <w:highlight w:val="none"/>
                <w:lang w:val="en-US" w:eastAsia="zh-CN" w:bidi="ar-SA"/>
              </w:rPr>
              <w:t>3</w:t>
            </w:r>
            <w:r>
              <w:rPr>
                <w:rFonts w:hint="eastAsia" w:ascii="Times New Roman" w:hAnsi="Times New Roman" w:eastAsia="宋体" w:cs="Times New Roman"/>
                <w:kern w:val="2"/>
                <w:sz w:val="21"/>
                <w:szCs w:val="21"/>
                <w:highlight w:val="none"/>
                <w:lang w:val="en-US" w:eastAsia="zh-CN" w:bidi="ar-SA"/>
              </w:rPr>
              <w:t>分，满分</w:t>
            </w:r>
            <w:r>
              <w:rPr>
                <w:rFonts w:hint="eastAsia" w:ascii="Times New Roman" w:hAnsi="Times New Roman" w:cs="Times New Roman"/>
                <w:kern w:val="2"/>
                <w:sz w:val="21"/>
                <w:szCs w:val="21"/>
                <w:highlight w:val="none"/>
                <w:lang w:val="en-US" w:eastAsia="zh-CN" w:bidi="ar-SA"/>
              </w:rPr>
              <w:t>12</w:t>
            </w:r>
            <w:r>
              <w:rPr>
                <w:rFonts w:hint="eastAsia" w:ascii="Times New Roman" w:hAnsi="Times New Roman" w:eastAsia="宋体" w:cs="Times New Roman"/>
                <w:kern w:val="2"/>
                <w:sz w:val="21"/>
                <w:szCs w:val="21"/>
                <w:highlight w:val="none"/>
                <w:lang w:val="en-US" w:eastAsia="zh-CN" w:bidi="ar-SA"/>
              </w:rPr>
              <w:t>分。</w:t>
            </w:r>
          </w:p>
          <w:p w14:paraId="24E48CE4">
            <w:pPr>
              <w:spacing w:line="500" w:lineRule="exact"/>
              <w:rPr>
                <w:rFonts w:ascii="Times New Roman" w:hAnsi="Times New Roman"/>
                <w:b/>
                <w:bCs/>
                <w:szCs w:val="21"/>
                <w:highlight w:val="none"/>
              </w:rPr>
            </w:pPr>
            <w:r>
              <w:rPr>
                <w:rFonts w:hint="eastAsia" w:ascii="Times New Roman" w:hAnsi="Times New Roman" w:eastAsia="宋体" w:cs="Times New Roman"/>
                <w:b/>
                <w:bCs/>
                <w:kern w:val="2"/>
                <w:sz w:val="21"/>
                <w:szCs w:val="21"/>
                <w:highlight w:val="none"/>
                <w:lang w:val="en-US" w:eastAsia="zh-CN" w:bidi="ar-SA"/>
              </w:rPr>
              <w:t>备注：1.</w:t>
            </w:r>
            <w:r>
              <w:rPr>
                <w:rFonts w:ascii="Times New Roman" w:hAnsi="Times New Roman"/>
                <w:b/>
                <w:bCs/>
                <w:szCs w:val="21"/>
                <w:highlight w:val="none"/>
              </w:rPr>
              <w:t>上述要求的业绩须为:已完成的业绩</w:t>
            </w:r>
            <w:r>
              <w:rPr>
                <w:rFonts w:hint="eastAsia" w:ascii="Times New Roman" w:hAnsi="Times New Roman"/>
                <w:b/>
                <w:bCs/>
                <w:szCs w:val="21"/>
                <w:highlight w:val="none"/>
                <w:lang w:eastAsia="zh-CN"/>
              </w:rPr>
              <w:t>，</w:t>
            </w:r>
            <w:r>
              <w:rPr>
                <w:rFonts w:ascii="Times New Roman" w:hAnsi="Times New Roman"/>
                <w:b/>
                <w:bCs/>
                <w:szCs w:val="21"/>
                <w:highlight w:val="none"/>
              </w:rPr>
              <w:t>投标文件中须同时提供以下业绩证明材料：</w:t>
            </w:r>
          </w:p>
          <w:p w14:paraId="0350F97D">
            <w:pPr>
              <w:spacing w:line="500" w:lineRule="exact"/>
              <w:rPr>
                <w:rFonts w:ascii="Times New Roman" w:hAnsi="Times New Roman"/>
                <w:b/>
                <w:bCs/>
                <w:szCs w:val="21"/>
                <w:highlight w:val="none"/>
              </w:rPr>
            </w:pPr>
            <w:r>
              <w:rPr>
                <w:rFonts w:ascii="Times New Roman" w:hAnsi="Times New Roman"/>
                <w:b/>
                <w:bCs/>
                <w:szCs w:val="21"/>
                <w:highlight w:val="none"/>
              </w:rPr>
              <w:t>（1）业绩合同扫描件；</w:t>
            </w:r>
          </w:p>
          <w:p w14:paraId="2818E240">
            <w:pPr>
              <w:spacing w:line="500" w:lineRule="exact"/>
              <w:rPr>
                <w:rFonts w:ascii="Times New Roman" w:hAnsi="Times New Roman"/>
                <w:b/>
                <w:bCs/>
                <w:szCs w:val="21"/>
                <w:highlight w:val="none"/>
              </w:rPr>
            </w:pPr>
            <w:r>
              <w:rPr>
                <w:rFonts w:ascii="Times New Roman" w:hAnsi="Times New Roman"/>
                <w:b/>
                <w:bCs/>
                <w:szCs w:val="21"/>
                <w:highlight w:val="none"/>
              </w:rPr>
              <w:t>（2）与该业绩对应的项目已完成的证明材料（如验收报告或业主（或合同甲方）证明）。</w:t>
            </w:r>
          </w:p>
          <w:p w14:paraId="64AAF22A">
            <w:pPr>
              <w:spacing w:line="500" w:lineRule="exact"/>
              <w:rPr>
                <w:rFonts w:hint="eastAsia" w:ascii="Times New Roman" w:hAnsi="Times New Roman" w:eastAsia="宋体" w:cs="Times New Roman"/>
                <w:b/>
                <w:bCs/>
                <w:szCs w:val="21"/>
                <w:highlight w:val="none"/>
                <w:lang w:val="en-US" w:eastAsia="zh-CN"/>
              </w:rPr>
            </w:pPr>
            <w:r>
              <w:rPr>
                <w:rFonts w:hint="eastAsia" w:ascii="Times New Roman" w:hAnsi="Times New Roman"/>
                <w:b/>
                <w:bCs/>
                <w:szCs w:val="21"/>
                <w:highlight w:val="none"/>
                <w:lang w:eastAsia="zh-CN"/>
              </w:rPr>
              <w:t>（</w:t>
            </w:r>
            <w:r>
              <w:rPr>
                <w:rFonts w:hint="eastAsia" w:ascii="Times New Roman" w:hAnsi="Times New Roman"/>
                <w:b/>
                <w:bCs/>
                <w:szCs w:val="21"/>
                <w:highlight w:val="none"/>
                <w:lang w:val="en-US" w:eastAsia="zh-CN"/>
              </w:rPr>
              <w:t>3</w:t>
            </w:r>
            <w:r>
              <w:rPr>
                <w:rFonts w:hint="eastAsia" w:ascii="Times New Roman" w:hAnsi="Times New Roman"/>
                <w:b/>
                <w:bCs/>
                <w:szCs w:val="21"/>
                <w:highlight w:val="none"/>
                <w:lang w:eastAsia="zh-CN"/>
              </w:rPr>
              <w:t>）</w:t>
            </w:r>
            <w:r>
              <w:rPr>
                <w:rFonts w:hint="eastAsia" w:ascii="Times New Roman" w:hAnsi="Times New Roman"/>
                <w:b/>
                <w:bCs/>
                <w:szCs w:val="21"/>
                <w:highlight w:val="none"/>
                <w:lang w:val="en-US" w:eastAsia="zh-CN"/>
              </w:rPr>
              <w:t>其他具体要求详见</w:t>
            </w:r>
            <w:r>
              <w:rPr>
                <w:rFonts w:ascii="Times New Roman" w:hAnsi="Times New Roman" w:eastAsia="宋体" w:cs="Times New Roman"/>
                <w:b/>
                <w:bCs/>
                <w:szCs w:val="21"/>
                <w:highlight w:val="none"/>
              </w:rPr>
              <w:t>附录2</w:t>
            </w:r>
            <w:r>
              <w:rPr>
                <w:rFonts w:hint="eastAsia" w:ascii="Times New Roman" w:hAnsi="Times New Roman" w:eastAsia="宋体" w:cs="Times New Roman"/>
                <w:b/>
                <w:bCs/>
                <w:szCs w:val="21"/>
                <w:highlight w:val="none"/>
                <w:lang w:eastAsia="zh-CN"/>
              </w:rPr>
              <w:t>：</w:t>
            </w:r>
            <w:r>
              <w:rPr>
                <w:rFonts w:hint="eastAsia" w:ascii="Times New Roman" w:hAnsi="Times New Roman" w:eastAsia="宋体" w:cs="Times New Roman"/>
                <w:b/>
                <w:bCs/>
                <w:szCs w:val="21"/>
                <w:highlight w:val="none"/>
                <w:lang w:val="en-US" w:eastAsia="zh-CN"/>
              </w:rPr>
              <w:t>资格审查条件备注要求。</w:t>
            </w:r>
          </w:p>
          <w:p w14:paraId="448B614D">
            <w:pPr>
              <w:spacing w:line="500" w:lineRule="exact"/>
              <w:rPr>
                <w:rFonts w:hint="default" w:ascii="Times New Roman" w:hAnsi="Times New Roman" w:eastAsia="宋体" w:cs="Times New Roman"/>
                <w:b/>
                <w:bCs/>
                <w:szCs w:val="21"/>
                <w:highlight w:val="none"/>
                <w:lang w:val="en-US" w:eastAsia="zh-CN"/>
              </w:rPr>
            </w:pPr>
            <w:r>
              <w:rPr>
                <w:rFonts w:hint="eastAsia" w:ascii="Times New Roman" w:hAnsi="Times New Roman" w:eastAsia="宋体" w:cs="Times New Roman"/>
                <w:b/>
                <w:bCs/>
                <w:szCs w:val="21"/>
                <w:highlight w:val="none"/>
                <w:lang w:val="en-US" w:eastAsia="zh-CN"/>
              </w:rPr>
              <w:t>（4）资格审查业绩不得做为投标人业绩使用。</w:t>
            </w:r>
          </w:p>
          <w:p w14:paraId="0693B986">
            <w:pPr>
              <w:spacing w:line="440" w:lineRule="exact"/>
              <w:rPr>
                <w:highlight w:val="none"/>
              </w:rPr>
            </w:pPr>
            <w:r>
              <w:rPr>
                <w:rFonts w:hint="eastAsia" w:ascii="Times New Roman" w:hAnsi="Times New Roman" w:eastAsia="宋体" w:cs="Times New Roman"/>
                <w:b/>
                <w:bCs/>
                <w:kern w:val="2"/>
                <w:sz w:val="21"/>
                <w:szCs w:val="21"/>
                <w:highlight w:val="none"/>
                <w:lang w:val="en-US" w:eastAsia="zh-CN" w:bidi="ar-SA"/>
              </w:rPr>
              <w:t>2.本招标项目投标人业绩（详细评审）数量：4个。</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23204D6">
            <w:pPr>
              <w:spacing w:line="500" w:lineRule="atLeast"/>
              <w:jc w:val="center"/>
              <w:rPr>
                <w:rFonts w:ascii="Times New Roman" w:hAnsi="Times New Roman"/>
                <w:szCs w:val="21"/>
                <w:highlight w:val="none"/>
              </w:rPr>
            </w:pPr>
            <w:r>
              <w:rPr>
                <w:rFonts w:hint="eastAsia" w:ascii="Times New Roman" w:hAnsi="Times New Roman"/>
                <w:szCs w:val="21"/>
                <w:highlight w:val="none"/>
                <w:lang w:val="en-US" w:eastAsia="zh-CN"/>
              </w:rPr>
              <w:t>12</w:t>
            </w:r>
            <w:r>
              <w:rPr>
                <w:rFonts w:ascii="Times New Roman" w:hAnsi="Times New Roman"/>
                <w:szCs w:val="21"/>
                <w:highlight w:val="none"/>
              </w:rPr>
              <w:t>分</w:t>
            </w:r>
          </w:p>
        </w:tc>
      </w:tr>
      <w:tr w14:paraId="79C2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vMerge w:val="continue"/>
            <w:tcBorders>
              <w:left w:val="single" w:color="auto" w:sz="4" w:space="0"/>
              <w:right w:val="single" w:color="auto" w:sz="4" w:space="0"/>
            </w:tcBorders>
            <w:noWrap w:val="0"/>
            <w:vAlign w:val="center"/>
          </w:tcPr>
          <w:p w14:paraId="465368A5">
            <w:pPr>
              <w:spacing w:line="500" w:lineRule="atLeast"/>
              <w:jc w:val="center"/>
              <w:rPr>
                <w:rFonts w:ascii="Times New Roman" w:hAnsi="Times New Roman"/>
                <w:b/>
                <w:bCs/>
                <w:sz w:val="24"/>
              </w:rPr>
            </w:pPr>
          </w:p>
        </w:tc>
        <w:tc>
          <w:tcPr>
            <w:tcW w:w="712" w:type="dxa"/>
            <w:vMerge w:val="continue"/>
            <w:tcBorders>
              <w:left w:val="single" w:color="auto" w:sz="4" w:space="0"/>
              <w:right w:val="single" w:color="auto" w:sz="4" w:space="0"/>
            </w:tcBorders>
            <w:noWrap w:val="0"/>
            <w:vAlign w:val="center"/>
          </w:tcPr>
          <w:p w14:paraId="65FA21DB">
            <w:pPr>
              <w:spacing w:line="500" w:lineRule="atLeast"/>
              <w:jc w:val="center"/>
              <w:rPr>
                <w:rFonts w:ascii="Times New Roman" w:hAnsi="Times New Roman"/>
                <w:b/>
                <w:bCs/>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1F8FC3B9">
            <w:pPr>
              <w:spacing w:line="500" w:lineRule="atLeast"/>
              <w:jc w:val="center"/>
              <w:rPr>
                <w:rFonts w:ascii="Times New Roman" w:hAnsi="Times New Roman"/>
                <w:szCs w:val="21"/>
              </w:rPr>
            </w:pPr>
            <w:r>
              <w:rPr>
                <w:rFonts w:ascii="Times New Roman" w:hAnsi="Times New Roman"/>
                <w:szCs w:val="21"/>
              </w:rPr>
              <w:t>人员业绩</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56165AE1">
            <w:pPr>
              <w:pStyle w:val="113"/>
              <w:pageBreakBefore w:val="0"/>
              <w:widowControl/>
              <w:kinsoku/>
              <w:wordWrap/>
              <w:overflowPunct/>
              <w:topLinePunct w:val="0"/>
              <w:bidi w:val="0"/>
              <w:spacing w:before="26" w:beforeAutospacing="0" w:line="500" w:lineRule="exac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投标人拟派项目负责人必须要有20</w:t>
            </w:r>
            <w:r>
              <w:rPr>
                <w:rFonts w:hint="eastAsia" w:ascii="Times New Roman" w:hAnsi="Times New Roman" w:cs="Times New Roman"/>
                <w:kern w:val="2"/>
                <w:sz w:val="21"/>
                <w:szCs w:val="21"/>
                <w:highlight w:val="none"/>
                <w:lang w:val="en-US" w:eastAsia="zh-CN" w:bidi="ar-SA"/>
              </w:rPr>
              <w:t>21</w:t>
            </w:r>
            <w:r>
              <w:rPr>
                <w:rFonts w:hint="eastAsia" w:ascii="Times New Roman" w:hAnsi="Times New Roman" w:eastAsia="宋体" w:cs="Times New Roman"/>
                <w:kern w:val="2"/>
                <w:sz w:val="21"/>
                <w:szCs w:val="21"/>
                <w:highlight w:val="none"/>
                <w:lang w:val="en-US" w:eastAsia="zh-CN" w:bidi="ar-SA"/>
              </w:rPr>
              <w:t>年</w:t>
            </w:r>
            <w:r>
              <w:rPr>
                <w:rFonts w:hint="eastAsia" w:ascii="Times New Roman" w:hAnsi="Times New Roman"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月1日至今（以合同签订时间为准）具有</w:t>
            </w:r>
            <w:r>
              <w:rPr>
                <w:rFonts w:hint="eastAsia" w:ascii="Times New Roman" w:hAnsi="Times New Roman" w:eastAsia="宋体" w:cs="Times New Roman"/>
                <w:kern w:val="2"/>
                <w:sz w:val="21"/>
                <w:szCs w:val="21"/>
                <w:highlight w:val="none"/>
                <w:u w:val="single"/>
                <w:lang w:val="en-US" w:eastAsia="zh-CN" w:bidi="ar-SA"/>
              </w:rPr>
              <w:t>单项合同金额</w:t>
            </w:r>
            <w:r>
              <w:rPr>
                <w:rFonts w:hint="eastAsia" w:ascii="Times New Roman" w:hAnsi="Times New Roman" w:cs="Times New Roman"/>
                <w:kern w:val="2"/>
                <w:sz w:val="21"/>
                <w:szCs w:val="21"/>
                <w:highlight w:val="none"/>
                <w:u w:val="single"/>
                <w:lang w:val="en-US" w:eastAsia="zh-CN" w:bidi="ar-SA"/>
              </w:rPr>
              <w:t>4.9</w:t>
            </w:r>
            <w:r>
              <w:rPr>
                <w:rFonts w:hint="eastAsia" w:ascii="Times New Roman" w:hAnsi="Times New Roman" w:eastAsia="宋体" w:cs="Times New Roman"/>
                <w:kern w:val="2"/>
                <w:sz w:val="21"/>
                <w:szCs w:val="21"/>
                <w:highlight w:val="none"/>
                <w:u w:val="single"/>
                <w:lang w:val="en-US" w:eastAsia="zh-CN" w:bidi="ar-SA"/>
              </w:rPr>
              <w:t>万元/年以上</w:t>
            </w:r>
            <w:r>
              <w:rPr>
                <w:rFonts w:hint="eastAsia" w:ascii="Times New Roman" w:hAnsi="Times New Roman" w:cs="Times New Roman"/>
                <w:kern w:val="2"/>
                <w:sz w:val="21"/>
                <w:szCs w:val="21"/>
                <w:highlight w:val="none"/>
                <w:u w:val="single"/>
                <w:lang w:val="en-US" w:eastAsia="zh-CN" w:bidi="ar-SA"/>
              </w:rPr>
              <w:t>或</w:t>
            </w:r>
            <w:r>
              <w:rPr>
                <w:rFonts w:hint="eastAsia" w:ascii="Times New Roman" w:hAnsi="Times New Roman" w:eastAsia="宋体" w:cs="Times New Roman"/>
                <w:kern w:val="2"/>
                <w:sz w:val="21"/>
                <w:szCs w:val="21"/>
                <w:highlight w:val="none"/>
                <w:u w:val="single"/>
                <w:lang w:val="en-US" w:eastAsia="zh-CN" w:bidi="ar-SA"/>
              </w:rPr>
              <w:t>维保面积不低于5万平方米的公共建筑消防系统维保</w:t>
            </w:r>
            <w:r>
              <w:rPr>
                <w:rFonts w:hint="eastAsia" w:ascii="Times New Roman" w:hAnsi="Times New Roman" w:eastAsia="宋体" w:cs="Times New Roman"/>
                <w:kern w:val="2"/>
                <w:sz w:val="21"/>
                <w:szCs w:val="21"/>
                <w:highlight w:val="none"/>
                <w:lang w:val="en-US" w:eastAsia="zh-CN" w:bidi="ar-SA"/>
              </w:rPr>
              <w:t>业绩的（不含工矿企业消防维保类似业绩，服务内容须包含管网式气体灭火系统维保或消防水</w:t>
            </w:r>
            <w:r>
              <w:rPr>
                <w:rFonts w:hint="eastAsia" w:ascii="Times New Roman" w:hAnsi="Times New Roman" w:cs="Times New Roman"/>
                <w:kern w:val="2"/>
                <w:sz w:val="21"/>
                <w:szCs w:val="21"/>
                <w:highlight w:val="none"/>
                <w:lang w:val="en-US" w:eastAsia="zh-CN" w:bidi="ar-SA"/>
              </w:rPr>
              <w:t>系统</w:t>
            </w:r>
            <w:r>
              <w:rPr>
                <w:rFonts w:hint="eastAsia" w:ascii="Times New Roman" w:hAnsi="Times New Roman" w:eastAsia="宋体" w:cs="Times New Roman"/>
                <w:kern w:val="2"/>
                <w:sz w:val="21"/>
                <w:szCs w:val="21"/>
                <w:highlight w:val="none"/>
                <w:lang w:val="en-US" w:eastAsia="zh-CN" w:bidi="ar-SA"/>
              </w:rPr>
              <w:t>维保）业绩，提供一份得</w:t>
            </w:r>
            <w:r>
              <w:rPr>
                <w:rFonts w:hint="eastAsia" w:ascii="Times New Roman" w:hAnsi="Times New Roman" w:cs="Times New Roman"/>
                <w:kern w:val="2"/>
                <w:sz w:val="21"/>
                <w:szCs w:val="21"/>
                <w:highlight w:val="none"/>
                <w:lang w:val="en-US" w:eastAsia="zh-CN" w:bidi="ar-SA"/>
              </w:rPr>
              <w:t>3</w:t>
            </w:r>
            <w:r>
              <w:rPr>
                <w:rFonts w:hint="eastAsia" w:ascii="Times New Roman" w:hAnsi="Times New Roman" w:eastAsia="宋体" w:cs="Times New Roman"/>
                <w:kern w:val="2"/>
                <w:sz w:val="21"/>
                <w:szCs w:val="21"/>
                <w:highlight w:val="none"/>
                <w:lang w:val="en-US" w:eastAsia="zh-CN" w:bidi="ar-SA"/>
              </w:rPr>
              <w:t>分，满分</w:t>
            </w:r>
            <w:r>
              <w:rPr>
                <w:rFonts w:hint="eastAsia" w:ascii="Times New Roman" w:hAnsi="Times New Roman" w:cs="Times New Roman"/>
                <w:kern w:val="2"/>
                <w:sz w:val="21"/>
                <w:szCs w:val="21"/>
                <w:highlight w:val="none"/>
                <w:lang w:val="en-US" w:eastAsia="zh-CN" w:bidi="ar-SA"/>
              </w:rPr>
              <w:t>12</w:t>
            </w:r>
            <w:r>
              <w:rPr>
                <w:rFonts w:hint="eastAsia" w:ascii="Times New Roman" w:hAnsi="Times New Roman" w:eastAsia="宋体" w:cs="Times New Roman"/>
                <w:kern w:val="2"/>
                <w:sz w:val="21"/>
                <w:szCs w:val="21"/>
                <w:highlight w:val="none"/>
                <w:lang w:val="en-US" w:eastAsia="zh-CN" w:bidi="ar-SA"/>
              </w:rPr>
              <w:t>分。</w:t>
            </w:r>
          </w:p>
          <w:p w14:paraId="0A17B1F9">
            <w:pPr>
              <w:pStyle w:val="113"/>
              <w:pageBreakBefore w:val="0"/>
              <w:widowControl/>
              <w:kinsoku/>
              <w:wordWrap/>
              <w:overflowPunct/>
              <w:topLinePunct w:val="0"/>
              <w:bidi w:val="0"/>
              <w:spacing w:before="26" w:beforeAutospacing="0" w:line="500" w:lineRule="exact"/>
              <w:rPr>
                <w:rFonts w:hint="eastAsia" w:ascii="Times New Roman" w:hAnsi="Times New Roman" w:eastAsia="宋体" w:cs="Times New Roman"/>
                <w:b/>
                <w:bCs/>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备注：</w:t>
            </w:r>
            <w:r>
              <w:rPr>
                <w:rFonts w:hint="eastAsia" w:ascii="Times New Roman" w:hAnsi="Times New Roman" w:cs="Times New Roman"/>
                <w:b/>
                <w:bCs/>
                <w:kern w:val="2"/>
                <w:sz w:val="21"/>
                <w:szCs w:val="21"/>
                <w:highlight w:val="none"/>
                <w:lang w:val="en-US" w:eastAsia="zh-CN" w:bidi="ar-SA"/>
              </w:rPr>
              <w:t>1</w:t>
            </w:r>
            <w:r>
              <w:rPr>
                <w:rFonts w:hint="eastAsia" w:ascii="Times New Roman" w:hAnsi="Times New Roman" w:eastAsia="宋体" w:cs="Times New Roman"/>
                <w:b/>
                <w:bCs/>
                <w:kern w:val="2"/>
                <w:sz w:val="21"/>
                <w:szCs w:val="21"/>
                <w:highlight w:val="none"/>
                <w:lang w:val="en-US" w:eastAsia="zh-CN" w:bidi="ar-SA"/>
              </w:rPr>
              <w:t>.投标文件中提供符合投标人须知前附表附录2要求的业绩证明材料扫描件。</w:t>
            </w:r>
          </w:p>
          <w:p w14:paraId="6C737DA3">
            <w:pPr>
              <w:spacing w:line="440" w:lineRule="exact"/>
              <w:rPr>
                <w:rFonts w:hint="eastAsia" w:ascii="Times New Roman" w:hAnsi="Times New Roman" w:eastAsia="宋体" w:cs="Times New Roman"/>
                <w:b/>
                <w:bCs/>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3.本招标项目拟派项目负责人业绩（详细评审）数量：</w:t>
            </w:r>
            <w:r>
              <w:rPr>
                <w:rFonts w:hint="eastAsia" w:ascii="Times New Roman" w:hAnsi="Times New Roman" w:cs="Times New Roman"/>
                <w:b/>
                <w:bCs/>
                <w:kern w:val="2"/>
                <w:sz w:val="21"/>
                <w:szCs w:val="21"/>
                <w:highlight w:val="none"/>
                <w:lang w:val="en-US" w:eastAsia="zh-CN" w:bidi="ar-SA"/>
              </w:rPr>
              <w:t>4</w:t>
            </w:r>
            <w:r>
              <w:rPr>
                <w:rFonts w:hint="eastAsia" w:ascii="Times New Roman" w:hAnsi="Times New Roman" w:eastAsia="宋体" w:cs="Times New Roman"/>
                <w:b/>
                <w:bCs/>
                <w:kern w:val="2"/>
                <w:sz w:val="21"/>
                <w:szCs w:val="21"/>
                <w:highlight w:val="none"/>
                <w:lang w:val="en-US" w:eastAsia="zh-CN" w:bidi="ar-SA"/>
              </w:rPr>
              <w:t>个。</w:t>
            </w:r>
          </w:p>
          <w:p w14:paraId="3F06AF2B">
            <w:pPr>
              <w:spacing w:line="500" w:lineRule="atLeast"/>
              <w:jc w:val="left"/>
              <w:rPr>
                <w:rFonts w:ascii="Times New Roman" w:hAnsi="Times New Roman"/>
                <w:b/>
                <w:bCs/>
                <w:szCs w:val="21"/>
                <w:highlight w:val="none"/>
              </w:rPr>
            </w:pPr>
            <w:r>
              <w:rPr>
                <w:rFonts w:hint="eastAsia" w:ascii="Times New Roman" w:hAnsi="Times New Roman" w:cs="Times New Roman"/>
                <w:b/>
                <w:bCs/>
                <w:kern w:val="2"/>
                <w:sz w:val="21"/>
                <w:szCs w:val="21"/>
                <w:highlight w:val="none"/>
                <w:lang w:val="en-US" w:eastAsia="zh-CN" w:bidi="ar-SA"/>
              </w:rPr>
              <w:t>4.</w:t>
            </w:r>
            <w:r>
              <w:rPr>
                <w:rFonts w:hint="eastAsia" w:ascii="Times New Roman" w:hAnsi="Times New Roman" w:eastAsia="宋体" w:cs="Times New Roman"/>
                <w:b/>
                <w:bCs/>
                <w:kern w:val="2"/>
                <w:sz w:val="21"/>
                <w:szCs w:val="21"/>
                <w:highlight w:val="none"/>
                <w:lang w:val="en-US" w:eastAsia="zh-CN" w:bidi="ar-SA"/>
              </w:rPr>
              <w:t>业绩证明材料需提供合同，合同中不能反映评审所需要的信息，还须要补充提供业主证明等材料，如提供的材料无法体现评审所需信息，该业绩将不予认可；</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521AF50">
            <w:pPr>
              <w:spacing w:line="500" w:lineRule="atLeast"/>
              <w:jc w:val="center"/>
              <w:rPr>
                <w:rFonts w:ascii="Times New Roman" w:hAnsi="Times New Roman"/>
                <w:szCs w:val="21"/>
                <w:highlight w:val="none"/>
              </w:rPr>
            </w:pPr>
            <w:r>
              <w:rPr>
                <w:rFonts w:ascii="Times New Roman" w:hAnsi="Times New Roman"/>
                <w:szCs w:val="21"/>
                <w:highlight w:val="none"/>
              </w:rPr>
              <w:t>12分</w:t>
            </w:r>
          </w:p>
        </w:tc>
      </w:tr>
      <w:tr w14:paraId="2038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9" w:hRule="atLeast"/>
          <w:jc w:val="center"/>
        </w:trPr>
        <w:tc>
          <w:tcPr>
            <w:tcW w:w="755" w:type="dxa"/>
            <w:vMerge w:val="continue"/>
            <w:tcBorders>
              <w:left w:val="single" w:color="auto" w:sz="4" w:space="0"/>
              <w:right w:val="single" w:color="auto" w:sz="4" w:space="0"/>
            </w:tcBorders>
            <w:noWrap w:val="0"/>
            <w:vAlign w:val="center"/>
          </w:tcPr>
          <w:p w14:paraId="1D81BAF1">
            <w:pPr>
              <w:spacing w:line="500" w:lineRule="atLeast"/>
              <w:jc w:val="center"/>
              <w:rPr>
                <w:rFonts w:ascii="Times New Roman" w:hAnsi="Times New Roman"/>
                <w:b/>
                <w:bCs/>
                <w:sz w:val="24"/>
              </w:rPr>
            </w:pPr>
          </w:p>
        </w:tc>
        <w:tc>
          <w:tcPr>
            <w:tcW w:w="712" w:type="dxa"/>
            <w:vMerge w:val="continue"/>
            <w:tcBorders>
              <w:left w:val="single" w:color="auto" w:sz="4" w:space="0"/>
              <w:right w:val="single" w:color="auto" w:sz="4" w:space="0"/>
            </w:tcBorders>
            <w:noWrap w:val="0"/>
            <w:vAlign w:val="center"/>
          </w:tcPr>
          <w:p w14:paraId="7A9CD0E9">
            <w:pPr>
              <w:spacing w:line="500" w:lineRule="atLeast"/>
              <w:jc w:val="center"/>
              <w:rPr>
                <w:rFonts w:ascii="Times New Roman" w:hAnsi="Times New Roman"/>
                <w:b/>
                <w:bCs/>
                <w:sz w:val="24"/>
              </w:rPr>
            </w:pPr>
          </w:p>
        </w:tc>
        <w:tc>
          <w:tcPr>
            <w:tcW w:w="1057" w:type="dxa"/>
            <w:tcBorders>
              <w:top w:val="single" w:color="auto" w:sz="4" w:space="0"/>
              <w:left w:val="single" w:color="auto" w:sz="4" w:space="0"/>
              <w:right w:val="single" w:color="auto" w:sz="4" w:space="0"/>
            </w:tcBorders>
            <w:noWrap w:val="0"/>
            <w:vAlign w:val="center"/>
          </w:tcPr>
          <w:p w14:paraId="309E3C89">
            <w:pPr>
              <w:spacing w:line="500" w:lineRule="atLeast"/>
              <w:jc w:val="center"/>
              <w:rPr>
                <w:rFonts w:ascii="Times New Roman" w:hAnsi="Times New Roman"/>
                <w:szCs w:val="21"/>
                <w:highlight w:val="none"/>
              </w:rPr>
            </w:pPr>
            <w:r>
              <w:rPr>
                <w:rFonts w:hint="eastAsia" w:ascii="Times New Roman" w:hAnsi="Times New Roman"/>
                <w:szCs w:val="21"/>
                <w:highlight w:val="none"/>
                <w:lang w:val="en-US" w:eastAsia="zh-CN"/>
              </w:rPr>
              <w:t>技术人员储备</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00E1B6F9">
            <w:pPr>
              <w:pStyle w:val="113"/>
              <w:pageBreakBefore w:val="0"/>
              <w:widowControl/>
              <w:numPr>
                <w:ilvl w:val="0"/>
                <w:numId w:val="0"/>
              </w:numPr>
              <w:kinsoku/>
              <w:wordWrap/>
              <w:overflowPunct/>
              <w:topLinePunct w:val="0"/>
              <w:bidi w:val="0"/>
              <w:spacing w:before="26" w:beforeAutospacing="0" w:line="500" w:lineRule="exact"/>
              <w:ind w:right="0" w:rightChars="0"/>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本项目</w:t>
            </w:r>
            <w:r>
              <w:rPr>
                <w:rFonts w:hint="eastAsia" w:ascii="宋体" w:hAnsi="宋体" w:eastAsia="宋体" w:cs="宋体"/>
                <w:color w:val="000000"/>
                <w:sz w:val="21"/>
                <w:szCs w:val="21"/>
                <w:highlight w:val="none"/>
                <w:lang w:val="en-US" w:eastAsia="zh-CN"/>
              </w:rPr>
              <w:t>维保技术人员要求：</w:t>
            </w:r>
          </w:p>
          <w:p w14:paraId="59D2F253">
            <w:pPr>
              <w:pStyle w:val="113"/>
              <w:pageBreakBefore w:val="0"/>
              <w:widowControl/>
              <w:numPr>
                <w:ilvl w:val="0"/>
                <w:numId w:val="0"/>
              </w:numPr>
              <w:kinsoku/>
              <w:wordWrap/>
              <w:overflowPunct/>
              <w:topLinePunct w:val="0"/>
              <w:bidi w:val="0"/>
              <w:spacing w:before="26" w:beforeAutospacing="0" w:line="500" w:lineRule="exact"/>
              <w:ind w:right="0" w:rightChars="0"/>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1）派驻维保技术人员取得中级及以上消防设施操作员职业资格证书的，每提供1人，得</w:t>
            </w:r>
            <w:r>
              <w:rPr>
                <w:rFonts w:hint="eastAsia" w:cs="宋体"/>
                <w:color w:val="000000"/>
                <w:kern w:val="0"/>
                <w:sz w:val="21"/>
                <w:szCs w:val="21"/>
                <w:highlight w:val="none"/>
                <w:lang w:val="en-US" w:eastAsia="zh-CN" w:bidi="ar"/>
              </w:rPr>
              <w:t>2</w:t>
            </w:r>
            <w:r>
              <w:rPr>
                <w:rFonts w:hint="eastAsia" w:ascii="宋体" w:hAnsi="宋体" w:eastAsia="宋体" w:cs="宋体"/>
                <w:color w:val="000000"/>
                <w:kern w:val="0"/>
                <w:sz w:val="21"/>
                <w:szCs w:val="21"/>
                <w:highlight w:val="none"/>
                <w:lang w:val="en-US" w:eastAsia="zh-CN" w:bidi="ar"/>
              </w:rPr>
              <w:t>分，满分</w:t>
            </w:r>
            <w:r>
              <w:rPr>
                <w:rFonts w:hint="eastAsia" w:cs="宋体"/>
                <w:color w:val="000000"/>
                <w:kern w:val="0"/>
                <w:sz w:val="21"/>
                <w:szCs w:val="21"/>
                <w:highlight w:val="none"/>
                <w:lang w:val="en-US" w:eastAsia="zh-CN" w:bidi="ar"/>
              </w:rPr>
              <w:t>4</w:t>
            </w:r>
            <w:r>
              <w:rPr>
                <w:rFonts w:hint="eastAsia" w:ascii="宋体" w:hAnsi="宋体" w:eastAsia="宋体" w:cs="宋体"/>
                <w:color w:val="000000"/>
                <w:kern w:val="0"/>
                <w:sz w:val="21"/>
                <w:szCs w:val="21"/>
                <w:highlight w:val="none"/>
                <w:lang w:val="en-US" w:eastAsia="zh-CN" w:bidi="ar"/>
              </w:rPr>
              <w:t>分。</w:t>
            </w:r>
          </w:p>
          <w:p w14:paraId="5272BBC2">
            <w:pPr>
              <w:spacing w:line="500" w:lineRule="atLeast"/>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2）派驻维保技术人员从事本行业3年以上的（根据证书取得时间认定），每有1人，得2分，满分4分。</w:t>
            </w:r>
          </w:p>
          <w:p w14:paraId="7C20E760">
            <w:pPr>
              <w:spacing w:line="500" w:lineRule="atLeast"/>
              <w:jc w:val="left"/>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本项合计满分8分。</w:t>
            </w:r>
          </w:p>
          <w:p w14:paraId="56CE21CB">
            <w:pPr>
              <w:spacing w:line="500" w:lineRule="atLeast"/>
              <w:jc w:val="left"/>
              <w:rPr>
                <w:rFonts w:ascii="Times New Roman" w:hAnsi="Times New Roman"/>
                <w:b/>
                <w:szCs w:val="21"/>
                <w:highlight w:val="none"/>
              </w:rPr>
            </w:pPr>
            <w:r>
              <w:rPr>
                <w:rFonts w:hint="eastAsia" w:ascii="Times New Roman" w:hAnsi="Times New Roman"/>
                <w:b/>
                <w:szCs w:val="21"/>
                <w:highlight w:val="none"/>
                <w:lang w:val="en-US" w:eastAsia="zh-CN"/>
              </w:rPr>
              <w:t>备注：</w:t>
            </w:r>
            <w:r>
              <w:rPr>
                <w:rFonts w:hint="eastAsia" w:ascii="Times New Roman" w:hAnsi="Times New Roman" w:eastAsia="宋体" w:cs="Times New Roman"/>
                <w:b/>
                <w:bCs/>
                <w:kern w:val="2"/>
                <w:sz w:val="21"/>
                <w:szCs w:val="21"/>
                <w:highlight w:val="none"/>
                <w:lang w:val="en-US" w:eastAsia="zh-CN" w:bidi="ar-SA"/>
              </w:rPr>
              <w:t>1.投标文件中提供上述人员的证书扫描件，同时提供上述人员社保证明材料。社保证明材料要求如下：投标文件中须提供投标人所属社保机构出具的上述人员自</w:t>
            </w:r>
            <w:r>
              <w:rPr>
                <w:rFonts w:ascii="Times New Roman" w:hAnsi="Times New Roman" w:eastAsia="宋体" w:cs="Times New Roman"/>
                <w:b/>
                <w:bCs/>
                <w:kern w:val="2"/>
                <w:sz w:val="21"/>
                <w:szCs w:val="21"/>
                <w:highlight w:val="none"/>
                <w:lang w:val="en-US" w:eastAsia="zh-CN" w:bidi="ar-SA"/>
              </w:rPr>
              <w:t>20</w:t>
            </w:r>
            <w:r>
              <w:rPr>
                <w:rFonts w:hint="eastAsia" w:ascii="Times New Roman" w:hAnsi="Times New Roman" w:eastAsia="宋体" w:cs="Times New Roman"/>
                <w:b/>
                <w:bCs/>
                <w:kern w:val="2"/>
                <w:sz w:val="21"/>
                <w:szCs w:val="21"/>
                <w:highlight w:val="none"/>
                <w:lang w:val="en-US" w:eastAsia="zh-CN" w:bidi="ar-SA"/>
              </w:rPr>
              <w:t>25年</w:t>
            </w:r>
            <w:r>
              <w:rPr>
                <w:rFonts w:hint="eastAsia" w:ascii="Times New Roman" w:hAnsi="Times New Roman" w:cs="Times New Roman"/>
                <w:b/>
                <w:bCs/>
                <w:kern w:val="2"/>
                <w:sz w:val="21"/>
                <w:szCs w:val="21"/>
                <w:highlight w:val="none"/>
                <w:lang w:val="en-US" w:eastAsia="zh-CN" w:bidi="ar-SA"/>
              </w:rPr>
              <w:t>1</w:t>
            </w:r>
            <w:r>
              <w:rPr>
                <w:rFonts w:hint="eastAsia" w:ascii="Times New Roman" w:hAnsi="Times New Roman" w:eastAsia="宋体" w:cs="Times New Roman"/>
                <w:b/>
                <w:bCs/>
                <w:kern w:val="2"/>
                <w:sz w:val="21"/>
                <w:szCs w:val="21"/>
                <w:highlight w:val="none"/>
                <w:lang w:val="en-US" w:eastAsia="zh-CN" w:bidi="ar-SA"/>
              </w:rPr>
              <w:t>月1日以来任意连续三个月社保缴费证明（或其他能够证明上述人员参加社保的有效证明）材料，上述人员的社会保险的缴纳单位应当是投标人或者投标人不具备独立法人资格的分支机构（社保缴费证明或社保的有效证明材料至少含养老保险）。</w:t>
            </w:r>
          </w:p>
        </w:tc>
        <w:tc>
          <w:tcPr>
            <w:tcW w:w="850" w:type="dxa"/>
            <w:tcBorders>
              <w:top w:val="single" w:color="auto" w:sz="4" w:space="0"/>
              <w:left w:val="single" w:color="auto" w:sz="4" w:space="0"/>
              <w:right w:val="single" w:color="auto" w:sz="4" w:space="0"/>
            </w:tcBorders>
            <w:noWrap w:val="0"/>
            <w:vAlign w:val="center"/>
          </w:tcPr>
          <w:p w14:paraId="068E8CC6">
            <w:pPr>
              <w:spacing w:line="500" w:lineRule="atLeast"/>
              <w:jc w:val="center"/>
              <w:rPr>
                <w:rFonts w:ascii="Times New Roman" w:hAnsi="Times New Roman"/>
                <w:szCs w:val="21"/>
                <w:highlight w:val="none"/>
              </w:rPr>
            </w:pPr>
            <w:r>
              <w:rPr>
                <w:rFonts w:hint="eastAsia" w:ascii="Times New Roman" w:hAnsi="Times New Roman"/>
                <w:szCs w:val="21"/>
                <w:highlight w:val="none"/>
                <w:lang w:val="en-US" w:eastAsia="zh-CN"/>
              </w:rPr>
              <w:t>8</w:t>
            </w:r>
            <w:r>
              <w:rPr>
                <w:rFonts w:ascii="Times New Roman" w:hAnsi="Times New Roman"/>
                <w:szCs w:val="21"/>
                <w:highlight w:val="none"/>
              </w:rPr>
              <w:t>分</w:t>
            </w:r>
          </w:p>
        </w:tc>
      </w:tr>
      <w:tr w14:paraId="3DF7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755" w:type="dxa"/>
            <w:vMerge w:val="continue"/>
            <w:tcBorders>
              <w:left w:val="single" w:color="auto" w:sz="4" w:space="0"/>
              <w:right w:val="single" w:color="auto" w:sz="4" w:space="0"/>
            </w:tcBorders>
            <w:noWrap w:val="0"/>
            <w:vAlign w:val="center"/>
          </w:tcPr>
          <w:p w14:paraId="7F3F36D3">
            <w:pPr>
              <w:spacing w:line="500" w:lineRule="atLeast"/>
              <w:jc w:val="left"/>
            </w:pPr>
          </w:p>
        </w:tc>
        <w:tc>
          <w:tcPr>
            <w:tcW w:w="712" w:type="dxa"/>
            <w:vMerge w:val="continue"/>
            <w:tcBorders>
              <w:left w:val="single" w:color="auto" w:sz="4" w:space="0"/>
              <w:right w:val="single" w:color="auto" w:sz="4" w:space="0"/>
            </w:tcBorders>
            <w:noWrap w:val="0"/>
            <w:vAlign w:val="center"/>
          </w:tcPr>
          <w:p w14:paraId="050DD8F3">
            <w:pPr>
              <w:spacing w:line="500" w:lineRule="atLeast"/>
              <w:jc w:val="left"/>
            </w:pPr>
          </w:p>
        </w:tc>
        <w:tc>
          <w:tcPr>
            <w:tcW w:w="1057" w:type="dxa"/>
            <w:tcBorders>
              <w:left w:val="single" w:color="auto" w:sz="4" w:space="0"/>
              <w:bottom w:val="single" w:color="auto" w:sz="4" w:space="0"/>
              <w:right w:val="single" w:color="auto" w:sz="4" w:space="0"/>
            </w:tcBorders>
            <w:noWrap w:val="0"/>
            <w:vAlign w:val="center"/>
          </w:tcPr>
          <w:p w14:paraId="037807D7">
            <w:pPr>
              <w:spacing w:line="500" w:lineRule="atLeast"/>
              <w:jc w:val="left"/>
            </w:pPr>
            <w:r>
              <w:rPr>
                <w:rFonts w:ascii="Times New Roman" w:hAnsi="Times New Roman"/>
                <w:szCs w:val="21"/>
              </w:rPr>
              <w:t>投标人奖项、荣誉</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1CDCBB51">
            <w:pPr>
              <w:spacing w:line="500" w:lineRule="atLeast"/>
              <w:jc w:val="left"/>
              <w:rPr>
                <w:rFonts w:ascii="Times New Roman" w:hAnsi="Times New Roman"/>
                <w:szCs w:val="21"/>
                <w:highlight w:val="none"/>
              </w:rPr>
            </w:pPr>
            <w:r>
              <w:rPr>
                <w:rFonts w:ascii="Times New Roman" w:hAnsi="Times New Roman"/>
                <w:szCs w:val="21"/>
                <w:highlight w:val="none"/>
              </w:rPr>
              <w:t>投标人</w:t>
            </w:r>
            <w:r>
              <w:rPr>
                <w:rFonts w:hint="eastAsia" w:ascii="Times New Roman" w:hAnsi="Times New Roman"/>
                <w:szCs w:val="21"/>
                <w:highlight w:val="none"/>
                <w:lang w:val="en-US" w:eastAsia="zh-CN"/>
              </w:rPr>
              <w:t>具有政府有关部门或者协会颁发的企业</w:t>
            </w:r>
            <w:r>
              <w:rPr>
                <w:rFonts w:ascii="Times New Roman" w:hAnsi="Times New Roman"/>
                <w:szCs w:val="21"/>
                <w:highlight w:val="none"/>
              </w:rPr>
              <w:t>奖项、荣誉的，单个奖项、荣誉的分值不高于2分，奖项及荣誉的总数量不超过</w:t>
            </w:r>
            <w:r>
              <w:rPr>
                <w:rFonts w:hint="eastAsia" w:ascii="Times New Roman" w:hAnsi="Times New Roman"/>
                <w:szCs w:val="21"/>
                <w:highlight w:val="none"/>
                <w:lang w:val="en-US" w:eastAsia="zh-CN"/>
              </w:rPr>
              <w:t>2</w:t>
            </w:r>
            <w:r>
              <w:rPr>
                <w:rFonts w:ascii="Times New Roman" w:hAnsi="Times New Roman"/>
                <w:szCs w:val="21"/>
                <w:highlight w:val="none"/>
              </w:rPr>
              <w:t>个，总分值不超过</w:t>
            </w:r>
            <w:r>
              <w:rPr>
                <w:rFonts w:hint="eastAsia" w:ascii="Times New Roman" w:hAnsi="Times New Roman"/>
                <w:szCs w:val="21"/>
                <w:highlight w:val="none"/>
                <w:lang w:val="en-US" w:eastAsia="zh-CN"/>
              </w:rPr>
              <w:t>4</w:t>
            </w:r>
            <w:r>
              <w:rPr>
                <w:rFonts w:ascii="Times New Roman" w:hAnsi="Times New Roman"/>
                <w:szCs w:val="21"/>
                <w:highlight w:val="none"/>
              </w:rPr>
              <w:t>分。</w:t>
            </w:r>
          </w:p>
          <w:p w14:paraId="57A7C64B">
            <w:pPr>
              <w:spacing w:line="500" w:lineRule="atLeast"/>
              <w:rPr>
                <w:rFonts w:ascii="Times New Roman" w:hAnsi="Times New Roman"/>
                <w:b/>
                <w:bCs/>
                <w:szCs w:val="21"/>
                <w:highlight w:val="none"/>
              </w:rPr>
            </w:pPr>
            <w:r>
              <w:rPr>
                <w:rFonts w:ascii="Times New Roman" w:hAnsi="Times New Roman"/>
                <w:b/>
                <w:bCs/>
                <w:szCs w:val="21"/>
                <w:highlight w:val="none"/>
              </w:rPr>
              <w:t>注：</w:t>
            </w:r>
            <w:r>
              <w:rPr>
                <w:rFonts w:hint="eastAsia"/>
                <w:b/>
                <w:bCs/>
                <w:highlight w:val="none"/>
              </w:rPr>
              <w:t>时间以颁奖时间为准，如多次获奖仅计分一次并以最高表彰计；</w:t>
            </w:r>
            <w:r>
              <w:rPr>
                <w:rFonts w:ascii="Times New Roman" w:hAnsi="Times New Roman"/>
                <w:b/>
                <w:bCs/>
                <w:szCs w:val="21"/>
                <w:highlight w:val="none"/>
              </w:rPr>
              <w:t>奖项、荣誉以行政主管部门或在国内依法登记注册的行业协会（或学会）颁发的奖项、荣誉为准。投标文件中提供的奖项、荣誉证明资料应符合下列要求，否则不予认可：</w:t>
            </w:r>
          </w:p>
          <w:p w14:paraId="34B33416">
            <w:pPr>
              <w:spacing w:line="500" w:lineRule="atLeast"/>
              <w:rPr>
                <w:rFonts w:ascii="Times New Roman" w:hAnsi="Times New Roman"/>
                <w:b/>
                <w:bCs/>
                <w:szCs w:val="21"/>
                <w:highlight w:val="none"/>
              </w:rPr>
            </w:pPr>
            <w:r>
              <w:rPr>
                <w:rFonts w:ascii="Times New Roman" w:hAnsi="Times New Roman"/>
                <w:b/>
                <w:bCs/>
                <w:szCs w:val="21"/>
                <w:highlight w:val="none"/>
              </w:rPr>
              <w:t xml:space="preserve">（1）奖项、荣誉应提供颁奖单位的颁奖文件（颁奖文件不含荣誉证书、奖杯、奖牌、奖状）或颁奖单位官网文件的截图； </w:t>
            </w:r>
          </w:p>
          <w:p w14:paraId="7CD1585B">
            <w:pPr>
              <w:spacing w:line="500" w:lineRule="atLeast"/>
              <w:rPr>
                <w:rFonts w:ascii="Times New Roman" w:hAnsi="Times New Roman"/>
                <w:b/>
                <w:bCs/>
                <w:szCs w:val="21"/>
                <w:highlight w:val="none"/>
              </w:rPr>
            </w:pPr>
            <w:r>
              <w:rPr>
                <w:rFonts w:ascii="Times New Roman" w:hAnsi="Times New Roman"/>
                <w:b/>
                <w:bCs/>
                <w:szCs w:val="21"/>
                <w:highlight w:val="none"/>
              </w:rPr>
              <w:t>（2）“国内依法登记注册”以中国社会组织政务服务平台中“全国社会组织信用信息公示平台（试运行）”查询结果为准。针对国内依法登记注册的行业协会（或学会）颁发的奖项、荣誉，投标文件中须提供该协会在中国社会组织政务服务平台中“全国社会组织信用信息公示平台（试运行）”查询结果截图。</w:t>
            </w:r>
          </w:p>
          <w:p w14:paraId="4BF1C563">
            <w:pPr>
              <w:spacing w:line="500" w:lineRule="atLeast"/>
              <w:jc w:val="left"/>
              <w:rPr>
                <w:rFonts w:hint="eastAsia" w:ascii="Times New Roman" w:hAnsi="Times New Roman"/>
                <w:b/>
                <w:szCs w:val="21"/>
                <w:highlight w:val="none"/>
                <w:lang w:val="en-US" w:eastAsia="zh-CN"/>
              </w:rPr>
            </w:pPr>
            <w:r>
              <w:rPr>
                <w:rFonts w:ascii="Times New Roman" w:hAnsi="Times New Roman"/>
                <w:b/>
                <w:bCs/>
                <w:szCs w:val="21"/>
                <w:highlight w:val="none"/>
              </w:rPr>
              <w:t>（3）民政部公布的“离岸社团”、“山寨社团”或中国社会组织政务服务平台中“全国社会组织信用信息公示平台（试运行）”公示的“涉嫌非法社会组织”颁发的荣誉、奖励均无效。</w:t>
            </w:r>
          </w:p>
        </w:tc>
        <w:tc>
          <w:tcPr>
            <w:tcW w:w="850" w:type="dxa"/>
            <w:tcBorders>
              <w:left w:val="single" w:color="auto" w:sz="4" w:space="0"/>
              <w:bottom w:val="single" w:color="auto" w:sz="4" w:space="0"/>
              <w:right w:val="single" w:color="auto" w:sz="4" w:space="0"/>
            </w:tcBorders>
            <w:noWrap w:val="0"/>
            <w:vAlign w:val="center"/>
          </w:tcPr>
          <w:p w14:paraId="468E0FEF">
            <w:pPr>
              <w:spacing w:line="500" w:lineRule="atLeast"/>
              <w:jc w:val="left"/>
              <w:rPr>
                <w:rFonts w:hint="default" w:ascii="Times New Roman" w:hAnsi="Times New Roman"/>
                <w:b/>
                <w:szCs w:val="21"/>
                <w:highlight w:val="none"/>
                <w:lang w:val="en-US" w:eastAsia="zh-CN"/>
              </w:rPr>
            </w:pPr>
            <w:r>
              <w:rPr>
                <w:rFonts w:hint="eastAsia" w:ascii="Times New Roman" w:hAnsi="Times New Roman"/>
                <w:b/>
                <w:szCs w:val="21"/>
                <w:highlight w:val="none"/>
                <w:lang w:val="en-US" w:eastAsia="zh-CN"/>
              </w:rPr>
              <w:t>4分</w:t>
            </w:r>
          </w:p>
        </w:tc>
      </w:tr>
      <w:tr w14:paraId="6BE2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vMerge w:val="restart"/>
            <w:tcBorders>
              <w:top w:val="single" w:color="auto" w:sz="4" w:space="0"/>
              <w:left w:val="single" w:color="auto" w:sz="4" w:space="0"/>
              <w:right w:val="single" w:color="auto" w:sz="4" w:space="0"/>
            </w:tcBorders>
            <w:noWrap w:val="0"/>
            <w:vAlign w:val="center"/>
          </w:tcPr>
          <w:p w14:paraId="051A2D3F">
            <w:pPr>
              <w:spacing w:line="500" w:lineRule="atLeast"/>
              <w:jc w:val="center"/>
              <w:rPr>
                <w:rFonts w:hint="eastAsia" w:ascii="Times New Roman" w:hAnsi="Times New Roman"/>
                <w:b/>
                <w:bCs/>
                <w:sz w:val="24"/>
              </w:rPr>
            </w:pPr>
            <w:r>
              <w:rPr>
                <w:rFonts w:hint="eastAsia" w:ascii="Times New Roman" w:hAnsi="Times New Roman"/>
                <w:b w:val="0"/>
                <w:bCs w:val="0"/>
                <w:sz w:val="24"/>
                <w:lang w:val="en-US" w:eastAsia="zh-CN"/>
              </w:rPr>
              <w:t>2.2.3（2）</w:t>
            </w:r>
          </w:p>
        </w:tc>
        <w:tc>
          <w:tcPr>
            <w:tcW w:w="712" w:type="dxa"/>
            <w:vMerge w:val="restart"/>
            <w:tcBorders>
              <w:top w:val="single" w:color="auto" w:sz="4" w:space="0"/>
              <w:left w:val="single" w:color="auto" w:sz="4" w:space="0"/>
              <w:right w:val="single" w:color="auto" w:sz="4" w:space="0"/>
            </w:tcBorders>
            <w:noWrap w:val="0"/>
            <w:vAlign w:val="center"/>
          </w:tcPr>
          <w:p w14:paraId="05E9B919">
            <w:pPr>
              <w:spacing w:line="500" w:lineRule="atLeast"/>
              <w:jc w:val="center"/>
              <w:rPr>
                <w:rFonts w:hint="eastAsia" w:ascii="Times New Roman" w:hAnsi="Times New Roman"/>
                <w:sz w:val="24"/>
              </w:rPr>
            </w:pPr>
            <w:r>
              <w:rPr>
                <w:rFonts w:hint="eastAsia" w:ascii="Times New Roman" w:hAnsi="Times New Roman"/>
                <w:sz w:val="24"/>
              </w:rPr>
              <w:t>技术评分标准</w:t>
            </w:r>
          </w:p>
        </w:tc>
        <w:tc>
          <w:tcPr>
            <w:tcW w:w="1057" w:type="dxa"/>
            <w:tcBorders>
              <w:top w:val="single" w:color="auto" w:sz="4" w:space="0"/>
              <w:left w:val="single" w:color="auto" w:sz="4" w:space="0"/>
              <w:bottom w:val="single" w:color="auto" w:sz="4" w:space="0"/>
              <w:right w:val="single" w:color="auto" w:sz="4" w:space="0"/>
            </w:tcBorders>
            <w:noWrap w:val="0"/>
            <w:vAlign w:val="center"/>
          </w:tcPr>
          <w:p w14:paraId="5A46898D">
            <w:pPr>
              <w:spacing w:line="500" w:lineRule="atLeast"/>
              <w:jc w:val="center"/>
              <w:rPr>
                <w:rFonts w:ascii="Times New Roman" w:hAnsi="Times New Roman"/>
                <w:szCs w:val="21"/>
              </w:rPr>
            </w:pPr>
            <w:r>
              <w:rPr>
                <w:rFonts w:hint="eastAsia" w:ascii="宋体" w:hAnsi="宋体" w:eastAsia="宋体" w:cs="宋体"/>
                <w:color w:val="000000"/>
                <w:kern w:val="2"/>
                <w:sz w:val="21"/>
                <w:szCs w:val="21"/>
                <w:lang w:val="en-US" w:eastAsia="zh-CN" w:bidi="ar"/>
              </w:rPr>
              <w:t>消防维保服务</w:t>
            </w:r>
            <w:r>
              <w:rPr>
                <w:rFonts w:hint="eastAsia" w:ascii="宋体" w:hAnsi="宋体" w:eastAsia="宋体" w:cs="宋体"/>
                <w:color w:val="000000"/>
                <w:kern w:val="2"/>
                <w:sz w:val="21"/>
                <w:szCs w:val="21"/>
                <w:highlight w:val="none"/>
                <w:lang w:val="en-US" w:eastAsia="zh-CN" w:bidi="ar"/>
              </w:rPr>
              <w:t>方案</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25ABF8AA">
            <w:pPr>
              <w:spacing w:line="500" w:lineRule="atLeast"/>
              <w:jc w:val="left"/>
              <w:rPr>
                <w:rFonts w:ascii="Times New Roman" w:hAnsi="Times New Roman" w:eastAsia="宋体" w:cs="Times New Roman"/>
                <w:szCs w:val="21"/>
              </w:rPr>
            </w:pPr>
            <w:r>
              <w:rPr>
                <w:rFonts w:hint="eastAsia" w:ascii="Times New Roman" w:hAnsi="Times New Roman" w:eastAsia="宋体" w:cs="Times New Roman"/>
                <w:szCs w:val="21"/>
                <w:lang w:val="en-US" w:eastAsia="zh-CN"/>
              </w:rPr>
              <w:t>根据投标人提交的消防维保服务方案的合理型和可操作性综合评分。方案科学合理，操作性强的，具有针对性的，得 7≤</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0</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分；方案较科学合理，具有一定的操作性，得 4＜</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 xml:space="preserve">＜7分；方案基本符合磋商文件要求，得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≤4</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 xml:space="preserve">分，未提供的不得分。 </w:t>
            </w:r>
          </w:p>
          <w:p w14:paraId="1BD5065F">
            <w:pPr>
              <w:spacing w:line="500" w:lineRule="atLeast"/>
              <w:jc w:val="left"/>
              <w:rPr>
                <w:rFonts w:ascii="Times New Roman" w:hAnsi="Times New Roman"/>
                <w:b/>
                <w:szCs w:val="21"/>
              </w:rPr>
            </w:pPr>
            <w:r>
              <w:rPr>
                <w:rFonts w:hint="eastAsia" w:ascii="Times New Roman" w:hAnsi="Times New Roman" w:eastAsia="宋体" w:cs="Times New Roman"/>
                <w:b/>
                <w:bCs/>
                <w:szCs w:val="21"/>
                <w:lang w:val="en-US" w:eastAsia="zh-CN"/>
              </w:rPr>
              <w:t>注：服务方案总页数不超过30页，“F”为本项得分。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1464835">
            <w:pPr>
              <w:spacing w:line="500" w:lineRule="atLeast"/>
              <w:jc w:val="center"/>
              <w:rPr>
                <w:rFonts w:ascii="Times New Roman" w:hAnsi="Times New Roman"/>
                <w:szCs w:val="21"/>
              </w:rPr>
            </w:pPr>
            <w:r>
              <w:rPr>
                <w:rFonts w:ascii="Times New Roman" w:hAnsi="Times New Roman"/>
                <w:szCs w:val="21"/>
              </w:rPr>
              <w:t>10分</w:t>
            </w:r>
          </w:p>
        </w:tc>
      </w:tr>
      <w:tr w14:paraId="0B8B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vMerge w:val="continue"/>
            <w:tcBorders>
              <w:left w:val="single" w:color="auto" w:sz="4" w:space="0"/>
              <w:right w:val="single" w:color="auto" w:sz="4" w:space="0"/>
            </w:tcBorders>
            <w:noWrap w:val="0"/>
            <w:vAlign w:val="center"/>
          </w:tcPr>
          <w:p w14:paraId="0BCF3F0A">
            <w:pPr>
              <w:spacing w:line="500" w:lineRule="atLeast"/>
              <w:jc w:val="center"/>
              <w:rPr>
                <w:rFonts w:hint="eastAsia" w:ascii="Times New Roman" w:hAnsi="Times New Roman"/>
                <w:b w:val="0"/>
                <w:bCs w:val="0"/>
                <w:sz w:val="24"/>
                <w:lang w:val="en-US" w:eastAsia="zh-CN"/>
              </w:rPr>
            </w:pPr>
          </w:p>
        </w:tc>
        <w:tc>
          <w:tcPr>
            <w:tcW w:w="712" w:type="dxa"/>
            <w:vMerge w:val="continue"/>
            <w:tcBorders>
              <w:left w:val="single" w:color="auto" w:sz="4" w:space="0"/>
              <w:right w:val="single" w:color="auto" w:sz="4" w:space="0"/>
            </w:tcBorders>
            <w:noWrap w:val="0"/>
            <w:vAlign w:val="center"/>
          </w:tcPr>
          <w:p w14:paraId="7743917C">
            <w:pPr>
              <w:spacing w:line="500" w:lineRule="atLeast"/>
              <w:jc w:val="center"/>
              <w:rPr>
                <w:rFonts w:hint="eastAsia" w:ascii="Times New Roman" w:hAnsi="Times New Roman"/>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5398C453">
            <w:pPr>
              <w:spacing w:line="500" w:lineRule="atLeast"/>
              <w:jc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消防维保</w:t>
            </w:r>
            <w:r>
              <w:rPr>
                <w:rFonts w:hint="eastAsia" w:ascii="宋体" w:hAnsi="宋体" w:eastAsia="宋体" w:cs="宋体"/>
                <w:color w:val="000000"/>
                <w:kern w:val="2"/>
                <w:sz w:val="21"/>
                <w:szCs w:val="21"/>
                <w:highlight w:val="none"/>
                <w:lang w:val="en-US" w:eastAsia="zh-CN" w:bidi="ar"/>
              </w:rPr>
              <w:t>应急预案</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476ECF8F">
            <w:pPr>
              <w:spacing w:line="500" w:lineRule="atLeast"/>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根据投标人提交的消防维保服务方案中的应急预案内容的合理型和可操作性综合评分。方案科学合理，操作性强的，具有针对性的，得 7＜</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0</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分；方案较科学合理，具有一定的操作性，得 4＜</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 xml:space="preserve">≤7分；方案基本符合磋商文件要求，得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≤4</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 xml:space="preserve">分，未提供的不得分。 </w:t>
            </w:r>
          </w:p>
          <w:p w14:paraId="267CBEB9">
            <w:pPr>
              <w:spacing w:line="500" w:lineRule="atLeast"/>
              <w:jc w:val="left"/>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注：“F”为本项得分。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F0C976">
            <w:pPr>
              <w:spacing w:line="500" w:lineRule="atLeast"/>
              <w:jc w:val="center"/>
              <w:rPr>
                <w:rFonts w:ascii="Times New Roman" w:hAnsi="Times New Roman"/>
                <w:szCs w:val="21"/>
              </w:rPr>
            </w:pPr>
            <w:r>
              <w:rPr>
                <w:rFonts w:ascii="Times New Roman" w:hAnsi="Times New Roman"/>
                <w:szCs w:val="21"/>
              </w:rPr>
              <w:t>10分</w:t>
            </w:r>
          </w:p>
        </w:tc>
      </w:tr>
      <w:tr w14:paraId="2F3B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755" w:type="dxa"/>
            <w:vMerge w:val="continue"/>
            <w:tcBorders>
              <w:left w:val="single" w:color="auto" w:sz="4" w:space="0"/>
              <w:right w:val="single" w:color="auto" w:sz="4" w:space="0"/>
            </w:tcBorders>
            <w:noWrap w:val="0"/>
            <w:vAlign w:val="center"/>
          </w:tcPr>
          <w:p w14:paraId="45EA6E22">
            <w:pPr>
              <w:spacing w:line="500" w:lineRule="atLeast"/>
              <w:jc w:val="center"/>
              <w:rPr>
                <w:rFonts w:hint="eastAsia" w:ascii="Times New Roman" w:hAnsi="Times New Roman"/>
                <w:b w:val="0"/>
                <w:bCs w:val="0"/>
                <w:sz w:val="24"/>
                <w:lang w:val="en-US" w:eastAsia="zh-CN"/>
              </w:rPr>
            </w:pPr>
          </w:p>
        </w:tc>
        <w:tc>
          <w:tcPr>
            <w:tcW w:w="712" w:type="dxa"/>
            <w:vMerge w:val="continue"/>
            <w:tcBorders>
              <w:left w:val="single" w:color="auto" w:sz="4" w:space="0"/>
              <w:right w:val="single" w:color="auto" w:sz="4" w:space="0"/>
            </w:tcBorders>
            <w:noWrap w:val="0"/>
            <w:vAlign w:val="center"/>
          </w:tcPr>
          <w:p w14:paraId="2A1CEB56">
            <w:pPr>
              <w:spacing w:line="500" w:lineRule="atLeast"/>
              <w:jc w:val="center"/>
              <w:rPr>
                <w:rFonts w:hint="eastAsia" w:ascii="Times New Roman" w:hAnsi="Times New Roman"/>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27E64FBF">
            <w:pPr>
              <w:spacing w:line="500" w:lineRule="atLeast"/>
              <w:jc w:val="center"/>
              <w:rPr>
                <w:rFonts w:hint="eastAsia" w:ascii="宋体" w:hAnsi="宋体" w:eastAsia="宋体" w:cs="宋体"/>
                <w:color w:val="000000"/>
                <w:kern w:val="2"/>
                <w:sz w:val="21"/>
                <w:szCs w:val="21"/>
                <w:lang w:val="en-US" w:eastAsia="zh-CN" w:bidi="ar"/>
              </w:rPr>
            </w:pPr>
            <w:r>
              <w:rPr>
                <w:rFonts w:hint="eastAsia" w:ascii="Times New Roman" w:hAnsi="Times New Roman"/>
                <w:color w:val="auto"/>
                <w:highlight w:val="none"/>
                <w:lang w:val="en-US" w:eastAsia="zh-CN"/>
              </w:rPr>
              <w:t>人员培训方案</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3A852B1B">
            <w:pPr>
              <w:spacing w:line="500" w:lineRule="atLeast"/>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根据投标人提交的服务方案中针对本项目维护人员培训服务提出的合理的培训方案综合评分。方案科学合理，操作性强，易于理解和人员使用的，得 7≤</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10 </w:t>
            </w:r>
            <w:r>
              <w:rPr>
                <w:rFonts w:hint="eastAsia" w:ascii="Times New Roman" w:hAnsi="Times New Roman" w:eastAsia="宋体" w:cs="Times New Roman"/>
                <w:szCs w:val="21"/>
                <w:lang w:val="en-US" w:eastAsia="zh-CN"/>
              </w:rPr>
              <w:t xml:space="preserve">分；方案较科学合理，具有一定的操作性，得 </w:t>
            </w:r>
            <w:r>
              <w:rPr>
                <w:rFonts w:hint="default" w:ascii="Times New Roman" w:hAnsi="Times New Roman" w:eastAsia="宋体" w:cs="Times New Roman"/>
                <w:szCs w:val="21"/>
                <w:lang w:val="en-US" w:eastAsia="zh-CN"/>
              </w:rPr>
              <w:t>4</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7 </w:t>
            </w:r>
            <w:r>
              <w:rPr>
                <w:rFonts w:hint="eastAsia" w:ascii="Times New Roman" w:hAnsi="Times New Roman" w:eastAsia="宋体" w:cs="Times New Roman"/>
                <w:szCs w:val="21"/>
                <w:lang w:val="en-US" w:eastAsia="zh-CN"/>
              </w:rPr>
              <w:t xml:space="preserve">分；方案基本符合招标文件要求，得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4 </w:t>
            </w:r>
            <w:r>
              <w:rPr>
                <w:rFonts w:hint="eastAsia" w:ascii="Times New Roman" w:hAnsi="Times New Roman" w:eastAsia="宋体" w:cs="Times New Roman"/>
                <w:szCs w:val="21"/>
                <w:lang w:val="en-US" w:eastAsia="zh-CN"/>
              </w:rPr>
              <w:t xml:space="preserve">分，未提供的不得分。 </w:t>
            </w:r>
          </w:p>
          <w:p w14:paraId="626AEDD8">
            <w:pPr>
              <w:spacing w:line="500" w:lineRule="atLeast"/>
              <w:jc w:val="left"/>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注：“F”为本项得分。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CB5C632">
            <w:pPr>
              <w:spacing w:line="500" w:lineRule="atLeast"/>
              <w:jc w:val="center"/>
              <w:rPr>
                <w:rFonts w:ascii="Times New Roman" w:hAnsi="Times New Roman"/>
                <w:szCs w:val="21"/>
              </w:rPr>
            </w:pPr>
            <w:r>
              <w:rPr>
                <w:rFonts w:ascii="Times New Roman" w:hAnsi="Times New Roman"/>
                <w:szCs w:val="21"/>
              </w:rPr>
              <w:t>10分</w:t>
            </w:r>
          </w:p>
        </w:tc>
      </w:tr>
      <w:tr w14:paraId="44B6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vMerge w:val="continue"/>
            <w:tcBorders>
              <w:left w:val="single" w:color="auto" w:sz="4" w:space="0"/>
              <w:right w:val="single" w:color="auto" w:sz="4" w:space="0"/>
            </w:tcBorders>
            <w:noWrap w:val="0"/>
            <w:vAlign w:val="center"/>
          </w:tcPr>
          <w:p w14:paraId="4CB6AFAB">
            <w:pPr>
              <w:spacing w:line="500" w:lineRule="atLeast"/>
              <w:jc w:val="center"/>
              <w:rPr>
                <w:rFonts w:ascii="Times New Roman" w:hAnsi="Times New Roman"/>
                <w:b/>
                <w:bCs/>
                <w:sz w:val="24"/>
              </w:rPr>
            </w:pPr>
          </w:p>
        </w:tc>
        <w:tc>
          <w:tcPr>
            <w:tcW w:w="712" w:type="dxa"/>
            <w:vMerge w:val="continue"/>
            <w:tcBorders>
              <w:left w:val="single" w:color="auto" w:sz="4" w:space="0"/>
              <w:right w:val="single" w:color="auto" w:sz="4" w:space="0"/>
            </w:tcBorders>
            <w:noWrap w:val="0"/>
            <w:vAlign w:val="center"/>
          </w:tcPr>
          <w:p w14:paraId="35947495">
            <w:pPr>
              <w:spacing w:line="500" w:lineRule="atLeast"/>
              <w:jc w:val="center"/>
              <w:rPr>
                <w:rFonts w:ascii="Times New Roman" w:hAnsi="Times New Roman"/>
                <w:b/>
                <w:bCs/>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7D807B77">
            <w:pPr>
              <w:spacing w:line="500" w:lineRule="atLeast"/>
              <w:jc w:val="center"/>
              <w:rPr>
                <w:rFonts w:ascii="Times New Roman" w:hAnsi="Times New Roman"/>
                <w:szCs w:val="21"/>
              </w:rPr>
            </w:pPr>
            <w:r>
              <w:rPr>
                <w:rFonts w:ascii="Times New Roman" w:hAnsi="Times New Roman"/>
              </w:rPr>
              <w:t>便利化服务方案</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3BA48033">
            <w:pPr>
              <w:spacing w:line="500" w:lineRule="atLeast"/>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根据投标人提交的服务方案中</w:t>
            </w:r>
            <w:r>
              <w:rPr>
                <w:rFonts w:ascii="Times New Roman" w:hAnsi="Times New Roman"/>
                <w:szCs w:val="21"/>
              </w:rPr>
              <w:t>便利化服务方案进行评分的，总分值不超过10分。对便利化服务方案的完善性、可操作性、响应及时性以及便利化服务人员的技术能力等方面进行综合评审。</w:t>
            </w:r>
            <w:r>
              <w:rPr>
                <w:rFonts w:hint="eastAsia" w:ascii="Times New Roman" w:hAnsi="Times New Roman" w:eastAsia="宋体" w:cs="Times New Roman"/>
                <w:szCs w:val="21"/>
                <w:lang w:val="en-US" w:eastAsia="zh-CN"/>
              </w:rPr>
              <w:t>案科学合理，操作性强，易于理解和人员使用的，得 7≤</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10 </w:t>
            </w:r>
            <w:r>
              <w:rPr>
                <w:rFonts w:hint="eastAsia" w:ascii="Times New Roman" w:hAnsi="Times New Roman" w:eastAsia="宋体" w:cs="Times New Roman"/>
                <w:szCs w:val="21"/>
                <w:lang w:val="en-US" w:eastAsia="zh-CN"/>
              </w:rPr>
              <w:t xml:space="preserve">分；方案较科学合理，具有一定的操作性，得 </w:t>
            </w:r>
            <w:r>
              <w:rPr>
                <w:rFonts w:hint="default" w:ascii="Times New Roman" w:hAnsi="Times New Roman" w:eastAsia="宋体" w:cs="Times New Roman"/>
                <w:szCs w:val="21"/>
                <w:lang w:val="en-US" w:eastAsia="zh-CN"/>
              </w:rPr>
              <w:t>4</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7 </w:t>
            </w:r>
            <w:r>
              <w:rPr>
                <w:rFonts w:hint="eastAsia" w:ascii="Times New Roman" w:hAnsi="Times New Roman" w:eastAsia="宋体" w:cs="Times New Roman"/>
                <w:szCs w:val="21"/>
                <w:lang w:val="en-US" w:eastAsia="zh-CN"/>
              </w:rPr>
              <w:t xml:space="preserve">分；方案基本符合招标文件要求，得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4 </w:t>
            </w:r>
            <w:r>
              <w:rPr>
                <w:rFonts w:hint="eastAsia" w:ascii="Times New Roman" w:hAnsi="Times New Roman" w:eastAsia="宋体" w:cs="Times New Roman"/>
                <w:szCs w:val="21"/>
                <w:lang w:val="en-US" w:eastAsia="zh-CN"/>
              </w:rPr>
              <w:t>分，未提供的不得分。</w:t>
            </w:r>
          </w:p>
          <w:p w14:paraId="5D704D2E">
            <w:pPr>
              <w:spacing w:line="500" w:lineRule="atLeast"/>
              <w:jc w:val="left"/>
              <w:rPr>
                <w:rFonts w:ascii="Times New Roman" w:hAnsi="Times New Roman"/>
                <w:b/>
                <w:szCs w:val="21"/>
              </w:rPr>
            </w:pPr>
            <w:r>
              <w:rPr>
                <w:rFonts w:hint="eastAsia" w:ascii="Times New Roman" w:hAnsi="Times New Roman" w:eastAsia="宋体" w:cs="Times New Roman"/>
                <w:b/>
                <w:bCs/>
                <w:szCs w:val="21"/>
                <w:lang w:val="en-US" w:eastAsia="zh-CN"/>
              </w:rPr>
              <w:t>注：“F”为本项得分。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1798783">
            <w:pPr>
              <w:spacing w:line="500" w:lineRule="atLeast"/>
              <w:jc w:val="center"/>
              <w:rPr>
                <w:rFonts w:ascii="Times New Roman" w:hAnsi="Times New Roman"/>
                <w:szCs w:val="21"/>
              </w:rPr>
            </w:pPr>
            <w:r>
              <w:rPr>
                <w:rFonts w:ascii="Times New Roman" w:hAnsi="Times New Roman"/>
                <w:szCs w:val="21"/>
              </w:rPr>
              <w:t>10分</w:t>
            </w:r>
          </w:p>
        </w:tc>
      </w:tr>
      <w:tr w14:paraId="05FB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tcBorders>
              <w:left w:val="single" w:color="auto" w:sz="4" w:space="0"/>
              <w:right w:val="single" w:color="auto" w:sz="4" w:space="0"/>
            </w:tcBorders>
            <w:noWrap w:val="0"/>
            <w:vAlign w:val="center"/>
          </w:tcPr>
          <w:p w14:paraId="1EED4677">
            <w:pPr>
              <w:spacing w:line="500" w:lineRule="atLeast"/>
              <w:jc w:val="center"/>
              <w:rPr>
                <w:rFonts w:ascii="Times New Roman" w:hAnsi="Times New Roman"/>
                <w:b/>
                <w:bCs/>
                <w:sz w:val="24"/>
              </w:rPr>
            </w:pPr>
            <w:r>
              <w:rPr>
                <w:rFonts w:hint="eastAsia" w:ascii="Times New Roman" w:hAnsi="Times New Roman"/>
                <w:b w:val="0"/>
                <w:bCs w:val="0"/>
                <w:sz w:val="24"/>
                <w:lang w:val="en-US" w:eastAsia="zh-CN"/>
              </w:rPr>
              <w:t>2.2.3（3）</w:t>
            </w:r>
          </w:p>
        </w:tc>
        <w:tc>
          <w:tcPr>
            <w:tcW w:w="712" w:type="dxa"/>
            <w:tcBorders>
              <w:left w:val="single" w:color="auto" w:sz="4" w:space="0"/>
              <w:right w:val="single" w:color="auto" w:sz="4" w:space="0"/>
            </w:tcBorders>
            <w:noWrap w:val="0"/>
            <w:vAlign w:val="center"/>
          </w:tcPr>
          <w:p w14:paraId="26E404C5">
            <w:pPr>
              <w:spacing w:line="500" w:lineRule="atLeast"/>
              <w:jc w:val="center"/>
              <w:rPr>
                <w:rFonts w:hint="eastAsia" w:ascii="Times New Roman" w:hAnsi="Times New Roman"/>
                <w:sz w:val="24"/>
              </w:rPr>
            </w:pPr>
            <w:r>
              <w:rPr>
                <w:rFonts w:hint="eastAsia" w:ascii="Times New Roman" w:hAnsi="Times New Roman"/>
                <w:sz w:val="24"/>
              </w:rPr>
              <w:t>报价评分标准</w:t>
            </w:r>
          </w:p>
        </w:tc>
        <w:tc>
          <w:tcPr>
            <w:tcW w:w="1057" w:type="dxa"/>
            <w:tcBorders>
              <w:top w:val="single" w:color="auto" w:sz="4" w:space="0"/>
              <w:left w:val="single" w:color="auto" w:sz="4" w:space="0"/>
              <w:bottom w:val="single" w:color="auto" w:sz="4" w:space="0"/>
              <w:right w:val="single" w:color="auto" w:sz="4" w:space="0"/>
            </w:tcBorders>
            <w:noWrap w:val="0"/>
            <w:vAlign w:val="center"/>
          </w:tcPr>
          <w:p w14:paraId="66053DB6">
            <w:pPr>
              <w:snapToGrid w:val="0"/>
              <w:spacing w:line="500" w:lineRule="atLeast"/>
              <w:jc w:val="center"/>
              <w:rPr>
                <w:rFonts w:ascii="Times New Roman" w:hAnsi="Times New Roman"/>
              </w:rPr>
            </w:pPr>
            <w:r>
              <w:rPr>
                <w:rFonts w:ascii="Times New Roman" w:hAnsi="Times New Roman"/>
                <w:color w:val="000000"/>
              </w:rPr>
              <w:t>价格分</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6952C0F6">
            <w:pPr>
              <w:autoSpaceDE w:val="0"/>
              <w:autoSpaceDN w:val="0"/>
              <w:adjustRightInd w:val="0"/>
              <w:snapToGrid w:val="0"/>
              <w:spacing w:line="500" w:lineRule="atLeast"/>
              <w:jc w:val="left"/>
              <w:rPr>
                <w:rFonts w:ascii="Times New Roman" w:hAnsi="Times New Roman"/>
              </w:rPr>
            </w:pPr>
            <w:r>
              <w:rPr>
                <w:rFonts w:ascii="Times New Roman" w:hAnsi="Times New Roman"/>
                <w:color w:val="000000"/>
                <w:spacing w:val="-2"/>
                <w:szCs w:val="21"/>
              </w:rPr>
              <w:t>评标价等于评标基准价的，其评标价得分为满分。其他评标价对应得分统一按照下列公式计算：评标价得分＝（评标基准价/评标价）×评标价权重分值。</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D92C4EF">
            <w:pPr>
              <w:widowControl/>
              <w:snapToGrid w:val="0"/>
              <w:spacing w:line="500" w:lineRule="atLeast"/>
              <w:jc w:val="center"/>
              <w:rPr>
                <w:rFonts w:ascii="Times New Roman" w:hAnsi="Times New Roman"/>
              </w:rPr>
            </w:pPr>
            <w:r>
              <w:rPr>
                <w:rFonts w:hint="eastAsia" w:ascii="Times New Roman" w:hAnsi="Times New Roman"/>
                <w:kern w:val="0"/>
                <w:szCs w:val="21"/>
                <w:lang w:val="en-US" w:eastAsia="zh-CN"/>
              </w:rPr>
              <w:t>10</w:t>
            </w:r>
            <w:r>
              <w:rPr>
                <w:rFonts w:ascii="Times New Roman" w:hAnsi="Times New Roman"/>
                <w:kern w:val="0"/>
                <w:szCs w:val="21"/>
              </w:rPr>
              <w:t>分</w:t>
            </w:r>
          </w:p>
        </w:tc>
      </w:tr>
    </w:tbl>
    <w:p w14:paraId="4FA236F9">
      <w:pPr>
        <w:pStyle w:val="3"/>
        <w:spacing w:before="0" w:after="0" w:line="500" w:lineRule="exact"/>
        <w:rPr>
          <w:rFonts w:ascii="Times New Roman" w:hAnsi="Times New Roman"/>
          <w:sz w:val="28"/>
          <w:szCs w:val="18"/>
        </w:rPr>
      </w:pPr>
      <w:r>
        <w:rPr>
          <w:rFonts w:ascii="Times New Roman" w:hAnsi="Times New Roman"/>
          <w:b w:val="0"/>
          <w:bCs/>
          <w:sz w:val="28"/>
          <w:szCs w:val="18"/>
        </w:rPr>
        <w:t>1. 评标方法</w:t>
      </w:r>
      <w:bookmarkEnd w:id="358"/>
      <w:bookmarkEnd w:id="359"/>
      <w:bookmarkEnd w:id="360"/>
      <w:bookmarkEnd w:id="361"/>
      <w:bookmarkEnd w:id="362"/>
      <w:bookmarkEnd w:id="363"/>
      <w:bookmarkEnd w:id="364"/>
    </w:p>
    <w:p w14:paraId="2CF3BCA5">
      <w:pPr>
        <w:spacing w:line="500" w:lineRule="exact"/>
        <w:ind w:firstLine="420" w:firstLineChars="200"/>
        <w:rPr>
          <w:rFonts w:ascii="Times New Roman" w:hAnsi="Times New Roman"/>
          <w:highlight w:val="none"/>
        </w:rPr>
      </w:pPr>
      <w:r>
        <w:rPr>
          <w:rFonts w:ascii="Times New Roman" w:hAnsi="Times New Roman"/>
          <w:highlight w:val="none"/>
        </w:rPr>
        <w:t>本次评标采用综合评估法</w:t>
      </w:r>
      <w:r>
        <w:rPr>
          <w:rFonts w:ascii="Times New Roman" w:hAnsi="Times New Roman"/>
          <w:szCs w:val="21"/>
          <w:highlight w:val="none"/>
        </w:rPr>
        <w:t>（有效价格）。</w:t>
      </w:r>
      <w:r>
        <w:rPr>
          <w:rFonts w:ascii="Times New Roman" w:hAnsi="Times New Roman"/>
          <w:highlight w:val="none"/>
        </w:rPr>
        <w:t>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中的规定确定中标候选人顺序。</w:t>
      </w:r>
    </w:p>
    <w:p w14:paraId="485C2905">
      <w:pPr>
        <w:spacing w:line="500" w:lineRule="exact"/>
        <w:ind w:firstLine="420" w:firstLineChars="200"/>
        <w:rPr>
          <w:rFonts w:ascii="Times New Roman" w:hAnsi="Times New Roman"/>
          <w:szCs w:val="21"/>
        </w:rPr>
      </w:pPr>
      <w:r>
        <w:rPr>
          <w:rFonts w:ascii="Times New Roman" w:hAnsi="Times New Roman"/>
          <w:szCs w:val="21"/>
          <w:highlight w:val="none"/>
        </w:rPr>
        <w:t>本次评标的先后顺序及最多可中标段数量详见评标办</w:t>
      </w:r>
      <w:r>
        <w:rPr>
          <w:rFonts w:ascii="Times New Roman" w:hAnsi="Times New Roman"/>
          <w:szCs w:val="21"/>
        </w:rPr>
        <w:t>法前附表</w:t>
      </w:r>
      <w:r>
        <w:rPr>
          <w:rFonts w:ascii="Times New Roman" w:hAnsi="Times New Roman"/>
          <w:szCs w:val="21"/>
          <w:vertAlign w:val="superscript"/>
        </w:rPr>
        <w:footnoteReference w:id="2"/>
      </w:r>
      <w:r>
        <w:rPr>
          <w:rFonts w:ascii="Times New Roman" w:hAnsi="Times New Roman"/>
          <w:szCs w:val="21"/>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14:paraId="60EC03BF">
      <w:pPr>
        <w:spacing w:line="500" w:lineRule="exact"/>
        <w:ind w:firstLine="420" w:firstLineChars="200"/>
        <w:rPr>
          <w:rFonts w:ascii="Times New Roman" w:hAnsi="Times New Roman"/>
          <w:szCs w:val="21"/>
        </w:rPr>
      </w:pPr>
      <w:r>
        <w:rPr>
          <w:rFonts w:ascii="Times New Roman" w:hAnsi="Times New Roman"/>
          <w:szCs w:val="21"/>
        </w:rPr>
        <w:t>评标结束后如有某标段的第一中标候选人发生变化的情况，不影响其他标段排序。</w:t>
      </w:r>
    </w:p>
    <w:p w14:paraId="20057468">
      <w:pPr>
        <w:pStyle w:val="3"/>
        <w:spacing w:before="0" w:after="0" w:line="500" w:lineRule="exact"/>
        <w:rPr>
          <w:rFonts w:ascii="Times New Roman" w:hAnsi="Times New Roman"/>
          <w:b w:val="0"/>
          <w:bCs/>
          <w:sz w:val="28"/>
          <w:szCs w:val="18"/>
        </w:rPr>
      </w:pPr>
      <w:bookmarkStart w:id="365" w:name="_Toc15221"/>
      <w:bookmarkStart w:id="366" w:name="_Toc18706"/>
      <w:bookmarkStart w:id="367" w:name="_Toc5240"/>
      <w:bookmarkStart w:id="368" w:name="_Toc10529"/>
      <w:bookmarkStart w:id="369" w:name="_Toc17976"/>
      <w:bookmarkStart w:id="370" w:name="_Toc7232"/>
      <w:bookmarkStart w:id="371" w:name="_Toc8111"/>
      <w:r>
        <w:rPr>
          <w:rFonts w:ascii="Times New Roman" w:hAnsi="Times New Roman"/>
          <w:b w:val="0"/>
          <w:bCs/>
          <w:sz w:val="28"/>
          <w:szCs w:val="18"/>
        </w:rPr>
        <w:t>2. 评审标准</w:t>
      </w:r>
      <w:bookmarkEnd w:id="365"/>
      <w:bookmarkEnd w:id="366"/>
      <w:bookmarkEnd w:id="367"/>
      <w:bookmarkEnd w:id="368"/>
      <w:bookmarkEnd w:id="369"/>
      <w:bookmarkEnd w:id="370"/>
      <w:bookmarkEnd w:id="371"/>
    </w:p>
    <w:p w14:paraId="03034DF7">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2.1 初步评审标准</w:t>
      </w:r>
    </w:p>
    <w:p w14:paraId="60A66D04">
      <w:pPr>
        <w:spacing w:line="500" w:lineRule="exact"/>
        <w:ind w:firstLine="420" w:firstLineChars="200"/>
        <w:rPr>
          <w:rFonts w:ascii="Times New Roman" w:hAnsi="Times New Roman"/>
        </w:rPr>
      </w:pPr>
      <w:r>
        <w:rPr>
          <w:rFonts w:ascii="Times New Roman" w:hAnsi="Times New Roman"/>
        </w:rPr>
        <w:t>2.1.1 形式评审标准：见评标办法前附表。</w:t>
      </w:r>
    </w:p>
    <w:p w14:paraId="03CA0221">
      <w:pPr>
        <w:spacing w:line="500" w:lineRule="exact"/>
        <w:ind w:firstLine="420" w:firstLineChars="200"/>
        <w:rPr>
          <w:rFonts w:ascii="Times New Roman" w:hAnsi="Times New Roman"/>
        </w:rPr>
      </w:pPr>
      <w:r>
        <w:rPr>
          <w:rFonts w:ascii="Times New Roman" w:hAnsi="Times New Roman"/>
        </w:rPr>
        <w:t>2.1.2 资格评审标准：见评标办法前附表。</w:t>
      </w:r>
    </w:p>
    <w:p w14:paraId="00182BAF">
      <w:pPr>
        <w:spacing w:line="500" w:lineRule="exact"/>
        <w:ind w:firstLine="420" w:firstLineChars="200"/>
        <w:rPr>
          <w:rFonts w:ascii="Times New Roman" w:hAnsi="Times New Roman"/>
        </w:rPr>
      </w:pPr>
      <w:r>
        <w:rPr>
          <w:rFonts w:ascii="Times New Roman" w:hAnsi="Times New Roman"/>
        </w:rPr>
        <w:t>2.1.3 响应性评审标准：见评标办法前附表。</w:t>
      </w:r>
    </w:p>
    <w:p w14:paraId="2DCF1435">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2.2 分值构成与评分标准</w:t>
      </w:r>
    </w:p>
    <w:p w14:paraId="365255F5">
      <w:pPr>
        <w:spacing w:line="500" w:lineRule="exact"/>
        <w:ind w:firstLine="420" w:firstLineChars="200"/>
        <w:outlineLvl w:val="2"/>
        <w:rPr>
          <w:rFonts w:ascii="Times New Roman" w:hAnsi="Times New Roman"/>
        </w:rPr>
      </w:pPr>
      <w:r>
        <w:rPr>
          <w:rFonts w:ascii="Times New Roman" w:hAnsi="Times New Roman"/>
        </w:rPr>
        <w:t>2.2.1 分值构成</w:t>
      </w:r>
    </w:p>
    <w:p w14:paraId="42AED4AE">
      <w:pPr>
        <w:spacing w:line="500" w:lineRule="exact"/>
        <w:ind w:firstLine="420" w:firstLineChars="200"/>
        <w:rPr>
          <w:rFonts w:ascii="Times New Roman" w:hAnsi="Times New Roman"/>
        </w:rPr>
      </w:pPr>
      <w:r>
        <w:rPr>
          <w:rFonts w:ascii="Times New Roman" w:hAnsi="Times New Roman"/>
        </w:rPr>
        <w:t>（1）商务部分：见评标办法前附表；</w:t>
      </w:r>
    </w:p>
    <w:p w14:paraId="43ABF611">
      <w:pPr>
        <w:spacing w:line="500" w:lineRule="exact"/>
        <w:ind w:firstLine="420" w:firstLineChars="200"/>
        <w:rPr>
          <w:rFonts w:ascii="Times New Roman" w:hAnsi="Times New Roman"/>
        </w:rPr>
      </w:pPr>
      <w:r>
        <w:rPr>
          <w:rFonts w:ascii="Times New Roman" w:hAnsi="Times New Roman"/>
        </w:rPr>
        <w:t>（2）技术部分：见评标办法前附表；</w:t>
      </w:r>
    </w:p>
    <w:p w14:paraId="6CC7FBE3">
      <w:pPr>
        <w:spacing w:line="500" w:lineRule="exact"/>
        <w:ind w:firstLine="420" w:firstLineChars="200"/>
        <w:rPr>
          <w:rFonts w:ascii="Times New Roman" w:hAnsi="Times New Roman"/>
        </w:rPr>
      </w:pPr>
      <w:r>
        <w:rPr>
          <w:rFonts w:ascii="Times New Roman" w:hAnsi="Times New Roman"/>
        </w:rPr>
        <w:t>（3）投标报价：见评标办法前附表。</w:t>
      </w:r>
    </w:p>
    <w:p w14:paraId="5A48FCE4">
      <w:pPr>
        <w:spacing w:line="500" w:lineRule="exact"/>
        <w:ind w:firstLine="420" w:firstLineChars="200"/>
        <w:outlineLvl w:val="2"/>
        <w:rPr>
          <w:rFonts w:ascii="Times New Roman" w:hAnsi="Times New Roman"/>
        </w:rPr>
      </w:pPr>
      <w:r>
        <w:rPr>
          <w:rFonts w:ascii="Times New Roman" w:hAnsi="Times New Roman"/>
        </w:rPr>
        <w:t>2.2.2 评标基准价计算</w:t>
      </w:r>
    </w:p>
    <w:p w14:paraId="758FDCD5">
      <w:pPr>
        <w:spacing w:line="500" w:lineRule="exact"/>
        <w:ind w:firstLine="420" w:firstLineChars="200"/>
        <w:rPr>
          <w:rFonts w:ascii="Times New Roman" w:hAnsi="Times New Roman"/>
        </w:rPr>
      </w:pPr>
      <w:r>
        <w:rPr>
          <w:rFonts w:ascii="Times New Roman" w:hAnsi="Times New Roman"/>
        </w:rPr>
        <w:t>评标基准价计算方法：见评标办法前附表。</w:t>
      </w:r>
    </w:p>
    <w:p w14:paraId="27561949">
      <w:pPr>
        <w:spacing w:line="500" w:lineRule="exact"/>
        <w:ind w:firstLine="420" w:firstLineChars="200"/>
        <w:outlineLvl w:val="2"/>
        <w:rPr>
          <w:rFonts w:ascii="Times New Roman" w:hAnsi="Times New Roman"/>
        </w:rPr>
      </w:pPr>
      <w:r>
        <w:rPr>
          <w:rFonts w:ascii="Times New Roman" w:hAnsi="Times New Roman"/>
        </w:rPr>
        <w:t>2.2.3 评分标准</w:t>
      </w:r>
    </w:p>
    <w:p w14:paraId="2C8AAFD6">
      <w:pPr>
        <w:spacing w:line="500" w:lineRule="exact"/>
        <w:ind w:firstLine="420" w:firstLineChars="200"/>
        <w:rPr>
          <w:rFonts w:ascii="Times New Roman" w:hAnsi="Times New Roman"/>
        </w:rPr>
      </w:pPr>
      <w:r>
        <w:rPr>
          <w:rFonts w:ascii="Times New Roman" w:hAnsi="Times New Roman"/>
        </w:rPr>
        <w:t>（1）商务评分标准：见评标办法前附表；</w:t>
      </w:r>
    </w:p>
    <w:p w14:paraId="548C2B3B">
      <w:pPr>
        <w:spacing w:line="500" w:lineRule="exact"/>
        <w:ind w:firstLine="420" w:firstLineChars="200"/>
        <w:rPr>
          <w:rFonts w:ascii="Times New Roman" w:hAnsi="Times New Roman"/>
        </w:rPr>
      </w:pPr>
      <w:r>
        <w:rPr>
          <w:rFonts w:ascii="Times New Roman" w:hAnsi="Times New Roman"/>
        </w:rPr>
        <w:t xml:space="preserve">（2）技术评分标准：见评标办法前附表； </w:t>
      </w:r>
    </w:p>
    <w:p w14:paraId="050430ED">
      <w:pPr>
        <w:spacing w:line="500" w:lineRule="exact"/>
        <w:ind w:firstLine="420" w:firstLineChars="200"/>
        <w:rPr>
          <w:rFonts w:ascii="Times New Roman" w:hAnsi="Times New Roman"/>
        </w:rPr>
      </w:pPr>
      <w:r>
        <w:rPr>
          <w:rFonts w:ascii="Times New Roman" w:hAnsi="Times New Roman"/>
        </w:rPr>
        <w:t>（3）投标报价评分标准：见评标办法前附表。</w:t>
      </w:r>
    </w:p>
    <w:p w14:paraId="2EFAF87E">
      <w:pPr>
        <w:pStyle w:val="3"/>
        <w:spacing w:before="0" w:after="0" w:line="500" w:lineRule="exact"/>
        <w:rPr>
          <w:rFonts w:ascii="Times New Roman" w:hAnsi="Times New Roman"/>
          <w:b w:val="0"/>
          <w:bCs/>
          <w:sz w:val="28"/>
          <w:szCs w:val="18"/>
        </w:rPr>
      </w:pPr>
      <w:bookmarkStart w:id="372" w:name="_Toc19778"/>
      <w:bookmarkStart w:id="373" w:name="_Toc11119"/>
      <w:bookmarkStart w:id="374" w:name="_Toc30277"/>
      <w:bookmarkStart w:id="375" w:name="_Toc27444"/>
      <w:bookmarkStart w:id="376" w:name="_Toc16074"/>
      <w:bookmarkStart w:id="377" w:name="_Toc24986"/>
      <w:bookmarkStart w:id="378" w:name="_Toc30472"/>
      <w:r>
        <w:rPr>
          <w:rFonts w:ascii="Times New Roman" w:hAnsi="Times New Roman"/>
          <w:b w:val="0"/>
          <w:bCs/>
          <w:sz w:val="28"/>
          <w:szCs w:val="18"/>
        </w:rPr>
        <w:t>3. 评标程序</w:t>
      </w:r>
      <w:bookmarkEnd w:id="372"/>
      <w:bookmarkEnd w:id="373"/>
      <w:bookmarkEnd w:id="374"/>
      <w:bookmarkEnd w:id="375"/>
      <w:bookmarkEnd w:id="376"/>
      <w:bookmarkEnd w:id="377"/>
      <w:bookmarkEnd w:id="378"/>
    </w:p>
    <w:p w14:paraId="3B87599E">
      <w:pPr>
        <w:pStyle w:val="4"/>
        <w:spacing w:before="0" w:after="0" w:line="500" w:lineRule="exact"/>
        <w:ind w:firstLine="118"/>
        <w:rPr>
          <w:rFonts w:ascii="Times New Roman" w:hAnsi="Times New Roman"/>
          <w:sz w:val="24"/>
          <w:szCs w:val="18"/>
        </w:rPr>
      </w:pPr>
      <w:r>
        <w:rPr>
          <w:rFonts w:ascii="Times New Roman" w:hAnsi="Times New Roman"/>
          <w:sz w:val="24"/>
          <w:szCs w:val="18"/>
        </w:rPr>
        <w:t>3.1 商务及技术文件初步评审</w:t>
      </w:r>
    </w:p>
    <w:p w14:paraId="2981FFF3">
      <w:pPr>
        <w:snapToGrid w:val="0"/>
        <w:spacing w:line="500" w:lineRule="exact"/>
        <w:ind w:firstLine="420" w:firstLineChars="200"/>
        <w:rPr>
          <w:rFonts w:ascii="Times New Roman" w:hAnsi="Times New Roman"/>
          <w:szCs w:val="21"/>
        </w:rPr>
      </w:pPr>
      <w:r>
        <w:rPr>
          <w:rFonts w:ascii="Times New Roman" w:hAnsi="Times New Roman"/>
          <w:szCs w:val="21"/>
        </w:rPr>
        <w:t>评标委员会依据本章第2.1.1项、第2.1.2项、第2.1.3项规定的评审标准对商务及技术文件进行初步评审。有一项不符合评审标准的，评标委员会应否决其投标。</w:t>
      </w:r>
    </w:p>
    <w:p w14:paraId="757B9E14">
      <w:pPr>
        <w:pStyle w:val="4"/>
        <w:spacing w:before="0" w:after="0" w:line="500" w:lineRule="exact"/>
        <w:ind w:firstLine="118"/>
        <w:rPr>
          <w:rFonts w:ascii="Times New Roman" w:hAnsi="Times New Roman"/>
          <w:sz w:val="24"/>
          <w:szCs w:val="18"/>
        </w:rPr>
      </w:pPr>
      <w:r>
        <w:rPr>
          <w:rFonts w:ascii="Times New Roman" w:hAnsi="Times New Roman"/>
          <w:sz w:val="24"/>
          <w:szCs w:val="18"/>
        </w:rPr>
        <w:t>3.2商务及技术文件详细评审</w:t>
      </w:r>
    </w:p>
    <w:p w14:paraId="626FCC05">
      <w:pPr>
        <w:snapToGrid w:val="0"/>
        <w:spacing w:line="500" w:lineRule="exact"/>
        <w:ind w:firstLine="420" w:firstLineChars="200"/>
        <w:rPr>
          <w:rFonts w:ascii="Times New Roman" w:hAnsi="Times New Roman"/>
        </w:rPr>
      </w:pPr>
      <w:r>
        <w:rPr>
          <w:rFonts w:ascii="Times New Roman" w:hAnsi="Times New Roman"/>
        </w:rPr>
        <w:t>3.2.1 评标委员会按本章第2.2款规定的量化因素和分值对投标文件的商务文件、技术文件进行打分，并计算出</w:t>
      </w:r>
      <w:r>
        <w:rPr>
          <w:rFonts w:ascii="Times New Roman" w:hAnsi="Times New Roman"/>
          <w:lang w:val="zh-CN"/>
        </w:rPr>
        <w:t>商务技术</w:t>
      </w:r>
      <w:r>
        <w:rPr>
          <w:rFonts w:ascii="Times New Roman" w:hAnsi="Times New Roman"/>
        </w:rPr>
        <w:t>综合得分。评标委员会成员总数为5人时，投标人本章第2.2.3项第（1）～（2）目每一目的得分以评标委员会各成员每一目的打分平均值确定。评标委员会总数为7人及以上时，投标人本章第2.2.3项第（1）～（2）目每一目的得分以评标委员会各成员每一目打分去掉一个最高分和最低分后的平均值确定。</w:t>
      </w:r>
    </w:p>
    <w:p w14:paraId="30FE6160">
      <w:pPr>
        <w:snapToGrid w:val="0"/>
        <w:spacing w:line="500" w:lineRule="exact"/>
        <w:ind w:firstLine="420" w:firstLineChars="200"/>
        <w:rPr>
          <w:rFonts w:ascii="Times New Roman" w:hAnsi="Times New Roman"/>
          <w:szCs w:val="21"/>
        </w:rPr>
      </w:pPr>
      <w:r>
        <w:rPr>
          <w:rFonts w:ascii="Times New Roman" w:hAnsi="Times New Roman"/>
          <w:szCs w:val="21"/>
        </w:rPr>
        <w:t>（1）按本章第2.2.3（1）目规定的评审因素和分值对商务部分计算出得分A；</w:t>
      </w:r>
    </w:p>
    <w:p w14:paraId="0C4CDADC">
      <w:pPr>
        <w:snapToGrid w:val="0"/>
        <w:spacing w:line="500" w:lineRule="exact"/>
        <w:ind w:firstLine="420" w:firstLineChars="200"/>
        <w:rPr>
          <w:rFonts w:ascii="Times New Roman" w:hAnsi="Times New Roman"/>
          <w:szCs w:val="21"/>
        </w:rPr>
      </w:pPr>
      <w:r>
        <w:rPr>
          <w:rFonts w:ascii="Times New Roman" w:hAnsi="Times New Roman"/>
          <w:szCs w:val="21"/>
        </w:rPr>
        <w:t xml:space="preserve">（2）按本章第2.2.3（2）目规定的评审因素和分值对技术部分计算出得分B； </w:t>
      </w:r>
    </w:p>
    <w:p w14:paraId="22D81127">
      <w:pPr>
        <w:spacing w:line="500" w:lineRule="exact"/>
        <w:ind w:firstLine="420" w:firstLineChars="200"/>
        <w:rPr>
          <w:rFonts w:ascii="Times New Roman" w:hAnsi="Times New Roman"/>
        </w:rPr>
      </w:pPr>
      <w:r>
        <w:rPr>
          <w:rFonts w:ascii="Times New Roman" w:hAnsi="Times New Roman"/>
        </w:rPr>
        <w:t>3.2.2 评分分值计算保留小数点后两位，小数点后第三位“四舍五入”。</w:t>
      </w:r>
    </w:p>
    <w:p w14:paraId="009E09D7">
      <w:pPr>
        <w:spacing w:line="500" w:lineRule="exact"/>
        <w:ind w:firstLine="420" w:firstLineChars="200"/>
        <w:rPr>
          <w:rFonts w:ascii="Times New Roman" w:hAnsi="Times New Roman"/>
        </w:rPr>
      </w:pPr>
      <w:r>
        <w:rPr>
          <w:rFonts w:ascii="Times New Roman" w:hAnsi="Times New Roman"/>
        </w:rPr>
        <w:t>3.2.3 投标人得分=A+B。</w:t>
      </w:r>
      <w:r>
        <w:rPr>
          <w:rFonts w:hint="eastAsia"/>
          <w:b w:val="0"/>
          <w:bCs w:val="0"/>
          <w:color w:val="auto"/>
        </w:rPr>
        <w:t>评委对</w:t>
      </w:r>
      <w:r>
        <w:rPr>
          <w:rFonts w:hint="eastAsia"/>
          <w:b w:val="0"/>
          <w:bCs w:val="0"/>
          <w:color w:val="auto"/>
          <w:lang w:val="en-US" w:eastAsia="zh-CN"/>
        </w:rPr>
        <w:t>投标</w:t>
      </w:r>
      <w:r>
        <w:rPr>
          <w:rFonts w:hint="eastAsia"/>
          <w:b w:val="0"/>
          <w:bCs w:val="0"/>
          <w:color w:val="auto"/>
        </w:rPr>
        <w:t>文件</w:t>
      </w:r>
      <w:r>
        <w:rPr>
          <w:rFonts w:hint="eastAsia"/>
          <w:b w:val="0"/>
          <w:bCs w:val="0"/>
          <w:color w:val="auto"/>
          <w:lang w:val="en-US" w:eastAsia="zh-CN"/>
        </w:rPr>
        <w:t>每一项主观分评分项总分</w:t>
      </w:r>
      <w:r>
        <w:rPr>
          <w:rFonts w:hint="eastAsia"/>
          <w:b w:val="0"/>
          <w:bCs w:val="0"/>
          <w:color w:val="auto"/>
        </w:rPr>
        <w:t>的90%以上（含）、60%以下（含）的投标人，评委应提出充足的理由，该理由在评标委员会集体讨论并确认后记入评标报告，否则该评委应当且仅就评分理由重新提出充足的理由。</w:t>
      </w:r>
    </w:p>
    <w:p w14:paraId="4110290B">
      <w:pPr>
        <w:pStyle w:val="4"/>
        <w:spacing w:before="0" w:after="0" w:line="500" w:lineRule="exact"/>
        <w:ind w:firstLine="118"/>
        <w:rPr>
          <w:rFonts w:ascii="Times New Roman" w:hAnsi="Times New Roman"/>
          <w:sz w:val="24"/>
          <w:szCs w:val="18"/>
        </w:rPr>
      </w:pPr>
      <w:r>
        <w:rPr>
          <w:rFonts w:ascii="Times New Roman" w:hAnsi="Times New Roman"/>
          <w:sz w:val="24"/>
          <w:szCs w:val="18"/>
        </w:rPr>
        <w:t>3.3 报价文件公布</w:t>
      </w:r>
    </w:p>
    <w:p w14:paraId="7E6787C4">
      <w:pPr>
        <w:spacing w:line="500" w:lineRule="exact"/>
        <w:ind w:firstLine="420" w:firstLineChars="200"/>
        <w:rPr>
          <w:rFonts w:ascii="Times New Roman" w:hAnsi="Times New Roman"/>
        </w:rPr>
      </w:pPr>
      <w:r>
        <w:rPr>
          <w:rFonts w:ascii="Times New Roman" w:hAnsi="Times New Roman"/>
        </w:rPr>
        <w:t>商务文件、技术文件评审结束后，对通过商务和技术文件评审的投标文件报价文件进行公布。</w:t>
      </w:r>
    </w:p>
    <w:p w14:paraId="0BE583B4">
      <w:pPr>
        <w:pStyle w:val="4"/>
        <w:spacing w:before="0" w:after="0" w:line="500" w:lineRule="exact"/>
        <w:ind w:firstLine="118"/>
        <w:rPr>
          <w:rFonts w:ascii="Times New Roman" w:hAnsi="Times New Roman"/>
          <w:sz w:val="24"/>
          <w:szCs w:val="18"/>
        </w:rPr>
      </w:pPr>
      <w:r>
        <w:rPr>
          <w:rFonts w:ascii="Times New Roman" w:hAnsi="Times New Roman"/>
          <w:sz w:val="24"/>
          <w:szCs w:val="18"/>
        </w:rPr>
        <w:t>3.4 报价文件初步评审</w:t>
      </w:r>
    </w:p>
    <w:p w14:paraId="444DD48C">
      <w:pPr>
        <w:snapToGrid w:val="0"/>
        <w:spacing w:line="500" w:lineRule="exact"/>
        <w:ind w:firstLine="420" w:firstLineChars="200"/>
        <w:rPr>
          <w:rFonts w:ascii="Times New Roman" w:hAnsi="Times New Roman"/>
        </w:rPr>
      </w:pPr>
      <w:r>
        <w:rPr>
          <w:rFonts w:ascii="Times New Roman" w:hAnsi="Times New Roman"/>
        </w:rPr>
        <w:t xml:space="preserve">3.4.1 </w:t>
      </w:r>
      <w:r>
        <w:rPr>
          <w:rFonts w:ascii="Times New Roman" w:hAnsi="Times New Roman"/>
          <w:color w:val="000000"/>
          <w:szCs w:val="21"/>
        </w:rPr>
        <w:t>评标委员会依据本章第2.1.1款、第2.1.3款规定的评审标准对报价文件进行评审。有一项不符合评审标准的，评标委员会应否决其投标。</w:t>
      </w:r>
    </w:p>
    <w:p w14:paraId="2FD17434">
      <w:pPr>
        <w:snapToGrid w:val="0"/>
        <w:spacing w:line="500" w:lineRule="exact"/>
        <w:ind w:firstLine="420" w:firstLineChars="200"/>
        <w:rPr>
          <w:rFonts w:ascii="Times New Roman" w:hAnsi="Times New Roman"/>
          <w:color w:val="000000"/>
        </w:rPr>
      </w:pPr>
      <w:r>
        <w:rPr>
          <w:rFonts w:ascii="Times New Roman" w:hAnsi="Times New Roman"/>
        </w:rPr>
        <w:t xml:space="preserve">3.4.2 </w:t>
      </w:r>
      <w:r>
        <w:rPr>
          <w:rFonts w:ascii="Times New Roman" w:hAnsi="Times New Roman"/>
          <w:color w:val="000000"/>
        </w:rPr>
        <w:t xml:space="preserve">投标报价有算术错误及其他错误的，评标委员会按以下原则对投标报价进行修正，并要求投标人书面澄清确认。投标人拒不澄清确认的，评标委员会应当否决其投标： </w:t>
      </w:r>
    </w:p>
    <w:p w14:paraId="0DA7FB67">
      <w:pPr>
        <w:snapToGrid w:val="0"/>
        <w:spacing w:line="500" w:lineRule="exact"/>
        <w:ind w:firstLine="420" w:firstLineChars="200"/>
        <w:rPr>
          <w:rFonts w:ascii="Times New Roman" w:hAnsi="Times New Roman"/>
          <w:color w:val="000000"/>
        </w:rPr>
      </w:pPr>
      <w:r>
        <w:rPr>
          <w:rFonts w:ascii="Times New Roman" w:hAnsi="Times New Roman"/>
          <w:color w:val="000000"/>
        </w:rPr>
        <w:t>（1）投标文件中的大写金额与小写金额不一致的，以大写金额为准；</w:t>
      </w:r>
    </w:p>
    <w:p w14:paraId="1712FFE8">
      <w:pPr>
        <w:snapToGrid w:val="0"/>
        <w:spacing w:line="500" w:lineRule="exact"/>
        <w:ind w:firstLine="420" w:firstLineChars="200"/>
        <w:rPr>
          <w:rFonts w:ascii="Times New Roman" w:hAnsi="Times New Roman"/>
          <w:color w:val="000000"/>
        </w:rPr>
      </w:pPr>
      <w:r>
        <w:rPr>
          <w:rFonts w:ascii="Times New Roman" w:hAnsi="Times New Roman"/>
          <w:color w:val="000000"/>
        </w:rPr>
        <w:t>（2）总价金额与单价金额不一致的，以单价金额为准，但单价金额小数点有明显错误的除外；</w:t>
      </w:r>
    </w:p>
    <w:p w14:paraId="581B80B8">
      <w:pPr>
        <w:snapToGrid w:val="0"/>
        <w:spacing w:line="500" w:lineRule="exact"/>
        <w:ind w:firstLine="420" w:firstLineChars="200"/>
        <w:rPr>
          <w:rFonts w:ascii="Times New Roman" w:hAnsi="Times New Roman"/>
          <w:color w:val="000000"/>
        </w:rPr>
      </w:pPr>
      <w:r>
        <w:rPr>
          <w:rFonts w:ascii="Times New Roman" w:hAnsi="Times New Roman"/>
          <w:color w:val="000000"/>
        </w:rPr>
        <w:t>（3）投标报价为各分项报价金额之和，投标报价与分项报价的合价不一致的，应以各分项合价累计数为准，修正投标报价；</w:t>
      </w:r>
    </w:p>
    <w:p w14:paraId="563CAA7A">
      <w:pPr>
        <w:snapToGrid w:val="0"/>
        <w:spacing w:line="500" w:lineRule="exact"/>
        <w:ind w:firstLine="420" w:firstLineChars="200"/>
        <w:rPr>
          <w:rFonts w:ascii="Times New Roman" w:hAnsi="Times New Roman"/>
          <w:color w:val="000000"/>
        </w:rPr>
      </w:pPr>
      <w:r>
        <w:rPr>
          <w:rFonts w:ascii="Times New Roman" w:hAnsi="Times New Roman"/>
          <w:color w:val="000000"/>
        </w:rPr>
        <w:t>（4）如果分项报价中存在缺漏项，则视为缺漏项价格已包含在其他分项报价之中。</w:t>
      </w:r>
    </w:p>
    <w:p w14:paraId="12557786">
      <w:pPr>
        <w:snapToGrid w:val="0"/>
        <w:spacing w:line="500" w:lineRule="exact"/>
        <w:ind w:firstLine="420" w:firstLineChars="200"/>
        <w:rPr>
          <w:rFonts w:ascii="Times New Roman" w:hAnsi="Times New Roman"/>
          <w:color w:val="000000"/>
        </w:rPr>
      </w:pPr>
      <w:r>
        <w:rPr>
          <w:rFonts w:ascii="Times New Roman" w:hAnsi="Times New Roman"/>
          <w:color w:val="000000"/>
        </w:rPr>
        <w:t>3.4.3投标人投标报价明显缺乏竞争性的，评标委员会可以否决所有投标。</w:t>
      </w:r>
    </w:p>
    <w:p w14:paraId="1227E9AA">
      <w:pPr>
        <w:pStyle w:val="4"/>
        <w:spacing w:before="0" w:after="0" w:line="500" w:lineRule="exact"/>
        <w:ind w:firstLine="118"/>
        <w:rPr>
          <w:rFonts w:ascii="Times New Roman" w:hAnsi="Times New Roman"/>
          <w:sz w:val="24"/>
          <w:szCs w:val="18"/>
        </w:rPr>
      </w:pPr>
      <w:r>
        <w:rPr>
          <w:rFonts w:ascii="Times New Roman" w:hAnsi="Times New Roman"/>
          <w:sz w:val="24"/>
          <w:szCs w:val="18"/>
        </w:rPr>
        <w:t>3.5 报价文件详细评审</w:t>
      </w:r>
    </w:p>
    <w:p w14:paraId="072402D8">
      <w:pPr>
        <w:spacing w:line="500" w:lineRule="exact"/>
        <w:ind w:firstLine="420" w:firstLineChars="200"/>
        <w:rPr>
          <w:rFonts w:ascii="Times New Roman" w:hAnsi="Times New Roman"/>
          <w:color w:val="000000"/>
        </w:rPr>
      </w:pPr>
      <w:r>
        <w:rPr>
          <w:rFonts w:ascii="Times New Roman" w:hAnsi="Times New Roman"/>
          <w:color w:val="000000"/>
        </w:rPr>
        <w:t>3.5.1评标委员会按本章第2.2.3（3）目规定的评审因素和分值对</w:t>
      </w:r>
      <w:r>
        <w:rPr>
          <w:rFonts w:ascii="Times New Roman" w:hAnsi="Times New Roman"/>
        </w:rPr>
        <w:t>投标报价</w:t>
      </w:r>
      <w:r>
        <w:rPr>
          <w:rFonts w:ascii="Times New Roman" w:hAnsi="Times New Roman"/>
          <w:color w:val="000000"/>
        </w:rPr>
        <w:t>计算出得分C。</w:t>
      </w:r>
    </w:p>
    <w:p w14:paraId="634B9A30">
      <w:pPr>
        <w:spacing w:line="500" w:lineRule="exact"/>
        <w:ind w:firstLine="420" w:firstLineChars="200"/>
        <w:rPr>
          <w:rFonts w:ascii="Times New Roman" w:hAnsi="Times New Roman"/>
          <w:color w:val="000000"/>
        </w:rPr>
      </w:pPr>
      <w:r>
        <w:rPr>
          <w:rFonts w:ascii="Times New Roman" w:hAnsi="Times New Roman"/>
          <w:color w:val="000000"/>
        </w:rPr>
        <w:t>3.5.2评分分值计算保留小数点后两位，小数点后第三位“四舍五入”。</w:t>
      </w:r>
    </w:p>
    <w:p w14:paraId="1C963AAA">
      <w:pPr>
        <w:spacing w:line="500" w:lineRule="exact"/>
        <w:ind w:firstLine="420" w:firstLineChars="200"/>
        <w:rPr>
          <w:rFonts w:ascii="Times New Roman" w:hAnsi="Times New Roman"/>
          <w:color w:val="000000"/>
        </w:rPr>
      </w:pPr>
      <w:r>
        <w:rPr>
          <w:rFonts w:ascii="Times New Roman" w:hAnsi="Times New Roman"/>
          <w:color w:val="000000"/>
        </w:rPr>
        <w:t>3.5.3投标人综合得分=A+B+C。</w:t>
      </w:r>
    </w:p>
    <w:p w14:paraId="35FFA2C8">
      <w:pPr>
        <w:spacing w:line="500" w:lineRule="exact"/>
        <w:ind w:firstLine="420" w:firstLineChars="200"/>
        <w:rPr>
          <w:rFonts w:ascii="Times New Roman" w:hAnsi="Times New Roman"/>
          <w:color w:val="000000"/>
        </w:rPr>
      </w:pPr>
      <w:r>
        <w:rPr>
          <w:rFonts w:ascii="Times New Roman" w:hAnsi="Times New Roman"/>
          <w:color w:val="000000"/>
        </w:rP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14:paraId="4F79A745">
      <w:pPr>
        <w:pStyle w:val="4"/>
        <w:spacing w:before="0" w:after="0" w:line="500" w:lineRule="exact"/>
        <w:ind w:firstLine="118"/>
        <w:rPr>
          <w:rFonts w:ascii="Times New Roman" w:hAnsi="Times New Roman"/>
          <w:sz w:val="24"/>
          <w:szCs w:val="18"/>
        </w:rPr>
      </w:pPr>
      <w:r>
        <w:rPr>
          <w:rFonts w:ascii="Times New Roman" w:hAnsi="Times New Roman"/>
          <w:sz w:val="24"/>
          <w:szCs w:val="18"/>
        </w:rPr>
        <w:t>3.6 否决投标的其他情形</w:t>
      </w:r>
    </w:p>
    <w:p w14:paraId="7B1036B3">
      <w:pPr>
        <w:snapToGrid w:val="0"/>
        <w:spacing w:line="500" w:lineRule="exact"/>
        <w:ind w:firstLine="420" w:firstLineChars="200"/>
        <w:rPr>
          <w:rFonts w:ascii="Times New Roman" w:hAnsi="Times New Roman"/>
          <w:szCs w:val="21"/>
        </w:rPr>
      </w:pPr>
      <w:r>
        <w:rPr>
          <w:rFonts w:ascii="Times New Roman" w:hAnsi="Times New Roman"/>
          <w:szCs w:val="21"/>
        </w:rPr>
        <w:t>评标委员会应对在评标过程中发现的投标人与投标人之间、投标人与招标人之间存在的串通投标的情形进行评审和认定。投标人存在串通投标、弄虚作假、行贿等违法行为的，评标委员会应否决其投标。</w:t>
      </w:r>
    </w:p>
    <w:p w14:paraId="773F3455">
      <w:pPr>
        <w:snapToGrid w:val="0"/>
        <w:spacing w:line="500" w:lineRule="exact"/>
        <w:ind w:firstLine="420" w:firstLineChars="200"/>
        <w:outlineLvl w:val="2"/>
        <w:rPr>
          <w:rFonts w:ascii="Times New Roman" w:hAnsi="Times New Roman"/>
          <w:szCs w:val="21"/>
        </w:rPr>
      </w:pPr>
      <w:r>
        <w:rPr>
          <w:rFonts w:ascii="Times New Roman" w:hAnsi="Times New Roman"/>
          <w:szCs w:val="21"/>
        </w:rPr>
        <w:t>（1）有下列情形之一的，属于投标人相互串通投标：</w:t>
      </w:r>
    </w:p>
    <w:p w14:paraId="3A260EDA">
      <w:pPr>
        <w:snapToGrid w:val="0"/>
        <w:spacing w:line="500" w:lineRule="exact"/>
        <w:ind w:firstLine="420" w:firstLineChars="200"/>
        <w:rPr>
          <w:rFonts w:ascii="Times New Roman" w:hAnsi="Times New Roman"/>
          <w:szCs w:val="21"/>
        </w:rPr>
      </w:pPr>
      <w:r>
        <w:rPr>
          <w:rFonts w:ascii="Times New Roman" w:hAnsi="Times New Roman"/>
          <w:szCs w:val="21"/>
        </w:rPr>
        <w:t>a.投标人之间协商投标报价等投标文件的实质性内容；</w:t>
      </w:r>
    </w:p>
    <w:p w14:paraId="4B865070">
      <w:pPr>
        <w:snapToGrid w:val="0"/>
        <w:spacing w:line="500" w:lineRule="exact"/>
        <w:ind w:firstLine="420" w:firstLineChars="200"/>
        <w:rPr>
          <w:rFonts w:ascii="Times New Roman" w:hAnsi="Times New Roman"/>
          <w:szCs w:val="21"/>
        </w:rPr>
      </w:pPr>
      <w:r>
        <w:rPr>
          <w:rFonts w:ascii="Times New Roman" w:hAnsi="Times New Roman"/>
          <w:szCs w:val="21"/>
        </w:rPr>
        <w:t>b.投标人之间约定中标人；</w:t>
      </w:r>
    </w:p>
    <w:p w14:paraId="262EEDC0">
      <w:pPr>
        <w:snapToGrid w:val="0"/>
        <w:spacing w:line="500" w:lineRule="exact"/>
        <w:ind w:firstLine="420" w:firstLineChars="200"/>
        <w:rPr>
          <w:rFonts w:ascii="Times New Roman" w:hAnsi="Times New Roman"/>
          <w:szCs w:val="21"/>
        </w:rPr>
      </w:pPr>
      <w:r>
        <w:rPr>
          <w:rFonts w:ascii="Times New Roman" w:hAnsi="Times New Roman"/>
          <w:szCs w:val="21"/>
        </w:rPr>
        <w:t>c.投标人之间约定部分投标人放弃投标或中标；</w:t>
      </w:r>
    </w:p>
    <w:p w14:paraId="11BEFCD7">
      <w:pPr>
        <w:snapToGrid w:val="0"/>
        <w:spacing w:line="500" w:lineRule="exact"/>
        <w:ind w:firstLine="420" w:firstLineChars="200"/>
        <w:rPr>
          <w:rFonts w:ascii="Times New Roman" w:hAnsi="Times New Roman"/>
          <w:szCs w:val="21"/>
        </w:rPr>
      </w:pPr>
      <w:r>
        <w:rPr>
          <w:rFonts w:ascii="Times New Roman" w:hAnsi="Times New Roman"/>
          <w:szCs w:val="21"/>
        </w:rPr>
        <w:t>d.属于同一集团、协会、商会等组织成员的投标人按照该组织要求协同投标；</w:t>
      </w:r>
    </w:p>
    <w:p w14:paraId="74B96A84">
      <w:pPr>
        <w:snapToGrid w:val="0"/>
        <w:spacing w:line="500" w:lineRule="exact"/>
        <w:ind w:firstLine="420" w:firstLineChars="200"/>
        <w:rPr>
          <w:rFonts w:ascii="Times New Roman" w:hAnsi="Times New Roman"/>
          <w:szCs w:val="21"/>
        </w:rPr>
      </w:pPr>
      <w:r>
        <w:rPr>
          <w:rFonts w:ascii="Times New Roman" w:hAnsi="Times New Roman"/>
          <w:szCs w:val="21"/>
        </w:rPr>
        <w:t>e.投标人之间为谋取中标或排斥特定投标人而采取的其他联合行动。</w:t>
      </w:r>
    </w:p>
    <w:p w14:paraId="57F7EC23">
      <w:pPr>
        <w:snapToGrid w:val="0"/>
        <w:spacing w:line="500" w:lineRule="exact"/>
        <w:ind w:firstLine="420" w:firstLineChars="200"/>
        <w:outlineLvl w:val="2"/>
        <w:rPr>
          <w:rFonts w:ascii="Times New Roman" w:hAnsi="Times New Roman"/>
          <w:szCs w:val="21"/>
        </w:rPr>
      </w:pPr>
      <w:r>
        <w:rPr>
          <w:rFonts w:ascii="Times New Roman" w:hAnsi="Times New Roman"/>
          <w:szCs w:val="21"/>
        </w:rPr>
        <w:t>（2）有下列情形之一的，视为投标人相互串通投标：</w:t>
      </w:r>
    </w:p>
    <w:p w14:paraId="3EF2BF89">
      <w:pPr>
        <w:snapToGrid w:val="0"/>
        <w:spacing w:line="500" w:lineRule="exact"/>
        <w:ind w:firstLine="420" w:firstLineChars="200"/>
        <w:rPr>
          <w:rFonts w:ascii="Times New Roman" w:hAnsi="Times New Roman"/>
          <w:szCs w:val="21"/>
        </w:rPr>
      </w:pPr>
      <w:r>
        <w:rPr>
          <w:rFonts w:ascii="Times New Roman" w:hAnsi="Times New Roman"/>
          <w:szCs w:val="21"/>
        </w:rPr>
        <w:t>a.不同投标人的投标文件由同一单位或个人编制；</w:t>
      </w:r>
    </w:p>
    <w:p w14:paraId="1060D88B">
      <w:pPr>
        <w:snapToGrid w:val="0"/>
        <w:spacing w:line="500" w:lineRule="exact"/>
        <w:ind w:firstLine="420" w:firstLineChars="200"/>
        <w:rPr>
          <w:rFonts w:ascii="Times New Roman" w:hAnsi="Times New Roman"/>
          <w:szCs w:val="21"/>
        </w:rPr>
      </w:pPr>
      <w:r>
        <w:rPr>
          <w:rFonts w:ascii="Times New Roman" w:hAnsi="Times New Roman"/>
          <w:szCs w:val="21"/>
        </w:rPr>
        <w:t>b.不同投标人委托同一单位或个人办理投标事宜；</w:t>
      </w:r>
    </w:p>
    <w:p w14:paraId="57733D16">
      <w:pPr>
        <w:snapToGrid w:val="0"/>
        <w:spacing w:line="500" w:lineRule="exact"/>
        <w:ind w:firstLine="420" w:firstLineChars="200"/>
        <w:rPr>
          <w:rFonts w:ascii="Times New Roman" w:hAnsi="Times New Roman"/>
          <w:szCs w:val="21"/>
        </w:rPr>
      </w:pPr>
      <w:r>
        <w:rPr>
          <w:rFonts w:ascii="Times New Roman" w:hAnsi="Times New Roman"/>
          <w:szCs w:val="21"/>
        </w:rPr>
        <w:t>c.不同投标人的投标文件载明的项目管理机构成员为同一人；</w:t>
      </w:r>
    </w:p>
    <w:p w14:paraId="5B5BB0C5">
      <w:pPr>
        <w:snapToGrid w:val="0"/>
        <w:spacing w:line="500" w:lineRule="exact"/>
        <w:ind w:firstLine="420" w:firstLineChars="200"/>
        <w:rPr>
          <w:rFonts w:ascii="Times New Roman" w:hAnsi="Times New Roman"/>
          <w:szCs w:val="21"/>
        </w:rPr>
      </w:pPr>
      <w:r>
        <w:rPr>
          <w:rFonts w:ascii="Times New Roman" w:hAnsi="Times New Roman"/>
          <w:szCs w:val="21"/>
        </w:rPr>
        <w:t>d.不同投标人的投标文件异常一致或投标报价呈规律性差异；</w:t>
      </w:r>
    </w:p>
    <w:p w14:paraId="33FFBB32">
      <w:pPr>
        <w:snapToGrid w:val="0"/>
        <w:spacing w:line="500" w:lineRule="exact"/>
        <w:ind w:firstLine="420" w:firstLineChars="200"/>
        <w:rPr>
          <w:rFonts w:ascii="Times New Roman" w:hAnsi="Times New Roman"/>
          <w:szCs w:val="21"/>
        </w:rPr>
      </w:pPr>
      <w:r>
        <w:rPr>
          <w:rFonts w:ascii="Times New Roman" w:hAnsi="Times New Roman"/>
          <w:szCs w:val="21"/>
        </w:rPr>
        <w:t>e.不同投标人的投标文件相互混装；</w:t>
      </w:r>
    </w:p>
    <w:p w14:paraId="4CD26340">
      <w:pPr>
        <w:snapToGrid w:val="0"/>
        <w:spacing w:line="500" w:lineRule="exact"/>
        <w:ind w:firstLine="420" w:firstLineChars="200"/>
        <w:rPr>
          <w:rFonts w:ascii="Times New Roman" w:hAnsi="Times New Roman"/>
          <w:szCs w:val="21"/>
        </w:rPr>
      </w:pPr>
      <w:r>
        <w:rPr>
          <w:rFonts w:ascii="Times New Roman" w:hAnsi="Times New Roman"/>
          <w:szCs w:val="21"/>
        </w:rPr>
        <w:t>f.不同投标人的投标保证金从同一单位或个人的账户转出。</w:t>
      </w:r>
    </w:p>
    <w:p w14:paraId="4F94D143">
      <w:pPr>
        <w:snapToGrid w:val="0"/>
        <w:spacing w:line="500" w:lineRule="exact"/>
        <w:ind w:firstLine="420" w:firstLineChars="200"/>
        <w:outlineLvl w:val="2"/>
        <w:rPr>
          <w:rFonts w:ascii="Times New Roman" w:hAnsi="Times New Roman"/>
          <w:szCs w:val="21"/>
        </w:rPr>
      </w:pPr>
      <w:r>
        <w:rPr>
          <w:rFonts w:ascii="Times New Roman" w:hAnsi="Times New Roman"/>
          <w:szCs w:val="21"/>
        </w:rPr>
        <w:t>（3）有下列情形之一的，属于招标人与投标人串通投标：</w:t>
      </w:r>
    </w:p>
    <w:p w14:paraId="4924E002">
      <w:pPr>
        <w:snapToGrid w:val="0"/>
        <w:spacing w:line="500" w:lineRule="exact"/>
        <w:ind w:firstLine="420" w:firstLineChars="200"/>
        <w:rPr>
          <w:rFonts w:ascii="Times New Roman" w:hAnsi="Times New Roman"/>
          <w:szCs w:val="21"/>
        </w:rPr>
      </w:pPr>
      <w:r>
        <w:rPr>
          <w:rFonts w:ascii="Times New Roman" w:hAnsi="Times New Roman"/>
          <w:szCs w:val="21"/>
        </w:rPr>
        <w:t>a.招标人在开标前开启投标文件并将有关信息泄露给其他投标人；</w:t>
      </w:r>
    </w:p>
    <w:p w14:paraId="095970CC">
      <w:pPr>
        <w:snapToGrid w:val="0"/>
        <w:spacing w:line="500" w:lineRule="exact"/>
        <w:ind w:firstLine="420" w:firstLineChars="200"/>
        <w:rPr>
          <w:rFonts w:ascii="Times New Roman" w:hAnsi="Times New Roman"/>
          <w:szCs w:val="21"/>
        </w:rPr>
      </w:pPr>
      <w:r>
        <w:rPr>
          <w:rFonts w:ascii="Times New Roman" w:hAnsi="Times New Roman"/>
          <w:szCs w:val="21"/>
        </w:rPr>
        <w:t>b.招标人直接或间接向投标人泄露标底、评标委员会成员等信息；</w:t>
      </w:r>
    </w:p>
    <w:p w14:paraId="659C12F0">
      <w:pPr>
        <w:snapToGrid w:val="0"/>
        <w:spacing w:line="500" w:lineRule="exact"/>
        <w:ind w:firstLine="420" w:firstLineChars="200"/>
        <w:rPr>
          <w:rFonts w:ascii="Times New Roman" w:hAnsi="Times New Roman"/>
          <w:szCs w:val="21"/>
        </w:rPr>
      </w:pPr>
      <w:r>
        <w:rPr>
          <w:rFonts w:ascii="Times New Roman" w:hAnsi="Times New Roman"/>
          <w:szCs w:val="21"/>
        </w:rPr>
        <w:t>c.招标人明示或暗示投标人压低或抬高投标报价；</w:t>
      </w:r>
    </w:p>
    <w:p w14:paraId="1EE297A0">
      <w:pPr>
        <w:snapToGrid w:val="0"/>
        <w:spacing w:line="500" w:lineRule="exact"/>
        <w:ind w:firstLine="420" w:firstLineChars="200"/>
        <w:rPr>
          <w:rFonts w:ascii="Times New Roman" w:hAnsi="Times New Roman"/>
          <w:szCs w:val="21"/>
        </w:rPr>
      </w:pPr>
      <w:r>
        <w:rPr>
          <w:rFonts w:ascii="Times New Roman" w:hAnsi="Times New Roman"/>
          <w:szCs w:val="21"/>
        </w:rPr>
        <w:t>d.招标人授意投标人撤换、修改投标文件；</w:t>
      </w:r>
    </w:p>
    <w:p w14:paraId="7A52FFD7">
      <w:pPr>
        <w:snapToGrid w:val="0"/>
        <w:spacing w:line="500" w:lineRule="exact"/>
        <w:ind w:firstLine="420" w:firstLineChars="200"/>
        <w:rPr>
          <w:rFonts w:ascii="Times New Roman" w:hAnsi="Times New Roman"/>
          <w:szCs w:val="21"/>
        </w:rPr>
      </w:pPr>
      <w:r>
        <w:rPr>
          <w:rFonts w:ascii="Times New Roman" w:hAnsi="Times New Roman"/>
          <w:szCs w:val="21"/>
        </w:rPr>
        <w:t>e.招标人明示或暗示投标人为特定投标人中标提供方便；</w:t>
      </w:r>
    </w:p>
    <w:p w14:paraId="74DCB43A">
      <w:pPr>
        <w:snapToGrid w:val="0"/>
        <w:spacing w:line="500" w:lineRule="exact"/>
        <w:ind w:firstLine="420" w:firstLineChars="200"/>
        <w:rPr>
          <w:rFonts w:ascii="Times New Roman" w:hAnsi="Times New Roman"/>
          <w:szCs w:val="21"/>
        </w:rPr>
      </w:pPr>
      <w:r>
        <w:rPr>
          <w:rFonts w:ascii="Times New Roman" w:hAnsi="Times New Roman"/>
          <w:szCs w:val="21"/>
        </w:rPr>
        <w:t>f.招标人与投标人为谋求特定投标人中标而采取的其他串通行为。</w:t>
      </w:r>
    </w:p>
    <w:p w14:paraId="542961E8">
      <w:pPr>
        <w:snapToGrid w:val="0"/>
        <w:spacing w:line="500" w:lineRule="exact"/>
        <w:ind w:firstLine="420" w:firstLineChars="200"/>
        <w:outlineLvl w:val="2"/>
        <w:rPr>
          <w:rFonts w:ascii="Times New Roman" w:hAnsi="Times New Roman"/>
          <w:szCs w:val="21"/>
        </w:rPr>
      </w:pPr>
      <w:r>
        <w:rPr>
          <w:rFonts w:ascii="Times New Roman" w:hAnsi="Times New Roman"/>
          <w:szCs w:val="21"/>
        </w:rPr>
        <w:t>（4）投标人有下列情形之一的，属于弄虚作假的行为：</w:t>
      </w:r>
    </w:p>
    <w:p w14:paraId="31D9E8BC">
      <w:pPr>
        <w:snapToGrid w:val="0"/>
        <w:spacing w:line="500" w:lineRule="exact"/>
        <w:ind w:firstLine="420" w:firstLineChars="200"/>
        <w:rPr>
          <w:rFonts w:ascii="Times New Roman" w:hAnsi="Times New Roman"/>
          <w:szCs w:val="21"/>
        </w:rPr>
      </w:pPr>
      <w:r>
        <w:rPr>
          <w:rFonts w:ascii="Times New Roman" w:hAnsi="Times New Roman"/>
          <w:szCs w:val="21"/>
        </w:rPr>
        <w:t>a.使用通过受让或租借等方式获取的资格、资质证书投标；</w:t>
      </w:r>
    </w:p>
    <w:p w14:paraId="26E9D675">
      <w:pPr>
        <w:snapToGrid w:val="0"/>
        <w:spacing w:line="500" w:lineRule="exact"/>
        <w:ind w:firstLine="420" w:firstLineChars="200"/>
        <w:rPr>
          <w:rFonts w:ascii="Times New Roman" w:hAnsi="Times New Roman"/>
          <w:szCs w:val="21"/>
        </w:rPr>
      </w:pPr>
      <w:r>
        <w:rPr>
          <w:rFonts w:ascii="Times New Roman" w:hAnsi="Times New Roman"/>
          <w:szCs w:val="21"/>
        </w:rPr>
        <w:t>b.使用伪造、变造的许可证件；</w:t>
      </w:r>
    </w:p>
    <w:p w14:paraId="05C9F80D">
      <w:pPr>
        <w:snapToGrid w:val="0"/>
        <w:spacing w:line="500" w:lineRule="exact"/>
        <w:ind w:firstLine="420" w:firstLineChars="200"/>
        <w:rPr>
          <w:rFonts w:ascii="Times New Roman" w:hAnsi="Times New Roman"/>
          <w:szCs w:val="21"/>
        </w:rPr>
      </w:pPr>
      <w:r>
        <w:rPr>
          <w:rFonts w:ascii="Times New Roman" w:hAnsi="Times New Roman"/>
          <w:szCs w:val="21"/>
        </w:rPr>
        <w:t>c.提供虚假的财务状况或业绩；</w:t>
      </w:r>
    </w:p>
    <w:p w14:paraId="4BE39273">
      <w:pPr>
        <w:snapToGrid w:val="0"/>
        <w:spacing w:line="500" w:lineRule="exact"/>
        <w:ind w:firstLine="420" w:firstLineChars="200"/>
        <w:rPr>
          <w:rFonts w:ascii="Times New Roman" w:hAnsi="Times New Roman"/>
          <w:szCs w:val="21"/>
        </w:rPr>
      </w:pPr>
      <w:r>
        <w:rPr>
          <w:rFonts w:ascii="Times New Roman" w:hAnsi="Times New Roman"/>
          <w:szCs w:val="21"/>
        </w:rPr>
        <w:t>d.提供虚假的项目经理或主要技术人员简历、劳动关系证明；</w:t>
      </w:r>
    </w:p>
    <w:p w14:paraId="217627A4">
      <w:pPr>
        <w:snapToGrid w:val="0"/>
        <w:spacing w:line="500" w:lineRule="exact"/>
        <w:ind w:firstLine="420" w:firstLineChars="200"/>
        <w:rPr>
          <w:rFonts w:ascii="Times New Roman" w:hAnsi="Times New Roman"/>
          <w:szCs w:val="21"/>
        </w:rPr>
      </w:pPr>
      <w:r>
        <w:rPr>
          <w:rFonts w:ascii="Times New Roman" w:hAnsi="Times New Roman"/>
          <w:szCs w:val="21"/>
        </w:rPr>
        <w:t>e.提供虚假的信用状况；</w:t>
      </w:r>
    </w:p>
    <w:p w14:paraId="6A5203B8">
      <w:pPr>
        <w:snapToGrid w:val="0"/>
        <w:spacing w:line="500" w:lineRule="exact"/>
        <w:ind w:firstLine="420" w:firstLineChars="200"/>
        <w:rPr>
          <w:rFonts w:ascii="Times New Roman" w:hAnsi="Times New Roman"/>
          <w:szCs w:val="21"/>
        </w:rPr>
      </w:pPr>
      <w:r>
        <w:rPr>
          <w:rFonts w:ascii="Times New Roman" w:hAnsi="Times New Roman"/>
          <w:szCs w:val="21"/>
        </w:rPr>
        <w:t>f.其他弄虚作假的行为。</w:t>
      </w:r>
    </w:p>
    <w:p w14:paraId="6EA21EA5">
      <w:pPr>
        <w:pStyle w:val="4"/>
        <w:spacing w:before="0" w:after="0" w:line="500" w:lineRule="exact"/>
        <w:ind w:firstLine="118"/>
        <w:rPr>
          <w:rFonts w:ascii="Times New Roman" w:hAnsi="Times New Roman"/>
          <w:sz w:val="24"/>
          <w:szCs w:val="18"/>
        </w:rPr>
      </w:pPr>
      <w:r>
        <w:rPr>
          <w:rFonts w:ascii="Times New Roman" w:hAnsi="Times New Roman"/>
          <w:sz w:val="24"/>
          <w:szCs w:val="18"/>
        </w:rPr>
        <w:t>3.7 投标文件的澄清、说明或补正</w:t>
      </w:r>
    </w:p>
    <w:p w14:paraId="41985E75">
      <w:pPr>
        <w:spacing w:line="500" w:lineRule="exact"/>
        <w:ind w:firstLine="420" w:firstLineChars="200"/>
        <w:rPr>
          <w:rFonts w:ascii="Times New Roman" w:hAnsi="Times New Roman"/>
        </w:rPr>
      </w:pPr>
      <w:r>
        <w:rPr>
          <w:rFonts w:ascii="Times New Roman" w:hAnsi="Times New Roman"/>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6B89EEA9">
      <w:pPr>
        <w:spacing w:line="500" w:lineRule="exact"/>
        <w:ind w:firstLine="420" w:firstLineChars="200"/>
        <w:rPr>
          <w:rFonts w:ascii="Times New Roman" w:hAnsi="Times New Roman"/>
        </w:rPr>
      </w:pPr>
      <w:r>
        <w:rPr>
          <w:rFonts w:ascii="Times New Roman" w:hAnsi="Times New Roman"/>
        </w:rPr>
        <w:t>3.7.2 澄清、说明或补正不得超出投标文件的范围且不得改变投标文件的实质性内容，并构成投标文件的组成部分。</w:t>
      </w:r>
    </w:p>
    <w:p w14:paraId="64CED848">
      <w:pPr>
        <w:spacing w:line="500" w:lineRule="exact"/>
        <w:ind w:firstLine="420" w:firstLineChars="200"/>
        <w:rPr>
          <w:rFonts w:ascii="Times New Roman" w:hAnsi="Times New Roman"/>
        </w:rPr>
      </w:pPr>
      <w:r>
        <w:rPr>
          <w:rFonts w:ascii="Times New Roman" w:hAnsi="Times New Roman"/>
        </w:rPr>
        <w:t>3.7.3 评标委员会对投标人提交的澄清、说明或补正有疑问的，可以要求投标人进一步澄清、说明或补正，直至满足评标委员会的要求。</w:t>
      </w:r>
    </w:p>
    <w:p w14:paraId="24018389">
      <w:pPr>
        <w:pStyle w:val="4"/>
        <w:spacing w:before="0" w:after="0" w:line="500" w:lineRule="exact"/>
        <w:ind w:firstLine="118"/>
        <w:rPr>
          <w:rFonts w:ascii="Times New Roman" w:hAnsi="Times New Roman"/>
          <w:sz w:val="24"/>
          <w:szCs w:val="18"/>
        </w:rPr>
      </w:pPr>
      <w:r>
        <w:rPr>
          <w:rFonts w:ascii="Times New Roman" w:hAnsi="Times New Roman"/>
          <w:sz w:val="24"/>
          <w:szCs w:val="18"/>
        </w:rPr>
        <w:t>3.8 评标结果</w:t>
      </w:r>
    </w:p>
    <w:p w14:paraId="405AB829">
      <w:pPr>
        <w:spacing w:line="500" w:lineRule="exact"/>
        <w:ind w:firstLine="352" w:firstLineChars="168"/>
        <w:rPr>
          <w:rFonts w:ascii="Times New Roman" w:hAnsi="Times New Roman"/>
        </w:rPr>
      </w:pPr>
      <w:r>
        <w:rPr>
          <w:rFonts w:ascii="Times New Roman" w:hAnsi="Times New Roman"/>
        </w:rPr>
        <w:t xml:space="preserve">3.8.1 </w:t>
      </w:r>
      <w:r>
        <w:rPr>
          <w:rFonts w:ascii="Times New Roman" w:hAnsi="Times New Roman"/>
          <w:szCs w:val="24"/>
        </w:rPr>
        <w:t>除第二章投标人须知前附表授权直接确定中标人外，评标委员会按照得分由高到低的顺序推荐中标候选人，并标明排列顺序。</w:t>
      </w:r>
    </w:p>
    <w:p w14:paraId="6FAD4901">
      <w:pPr>
        <w:snapToGrid w:val="0"/>
        <w:spacing w:line="500" w:lineRule="exact"/>
        <w:ind w:firstLine="420" w:firstLineChars="200"/>
        <w:rPr>
          <w:rFonts w:ascii="Times New Roman" w:hAnsi="Times New Roman"/>
          <w:szCs w:val="21"/>
        </w:rPr>
      </w:pPr>
      <w:r>
        <w:rPr>
          <w:rFonts w:ascii="Times New Roman" w:hAnsi="Times New Roman"/>
        </w:rPr>
        <w:t>3.8.2 评标委员会完成评标后，</w:t>
      </w:r>
      <w:r>
        <w:rPr>
          <w:rFonts w:ascii="Times New Roman" w:hAnsi="Times New Roman"/>
          <w:szCs w:val="21"/>
        </w:rPr>
        <w:t>应当向招标人提交评标报告。评标报告应当如实记载以下内容：</w:t>
      </w:r>
    </w:p>
    <w:p w14:paraId="069A1FA8">
      <w:pPr>
        <w:snapToGrid w:val="0"/>
        <w:spacing w:line="500" w:lineRule="exact"/>
        <w:ind w:firstLine="420" w:firstLineChars="200"/>
        <w:rPr>
          <w:rFonts w:ascii="Times New Roman" w:hAnsi="Times New Roman"/>
          <w:szCs w:val="21"/>
        </w:rPr>
      </w:pPr>
      <w:r>
        <w:rPr>
          <w:rFonts w:ascii="Times New Roman" w:hAnsi="Times New Roman"/>
          <w:szCs w:val="21"/>
        </w:rPr>
        <w:t>（1）基本情况和数据表；</w:t>
      </w:r>
    </w:p>
    <w:p w14:paraId="76194002">
      <w:pPr>
        <w:snapToGrid w:val="0"/>
        <w:spacing w:line="500" w:lineRule="exact"/>
        <w:ind w:firstLine="420" w:firstLineChars="200"/>
        <w:rPr>
          <w:rFonts w:ascii="Times New Roman" w:hAnsi="Times New Roman"/>
          <w:szCs w:val="21"/>
        </w:rPr>
      </w:pPr>
      <w:r>
        <w:rPr>
          <w:rFonts w:ascii="Times New Roman" w:hAnsi="Times New Roman"/>
          <w:szCs w:val="21"/>
        </w:rPr>
        <w:t>（2）评标委员会成员名单；</w:t>
      </w:r>
    </w:p>
    <w:p w14:paraId="126B417E">
      <w:pPr>
        <w:snapToGrid w:val="0"/>
        <w:spacing w:line="500" w:lineRule="exact"/>
        <w:ind w:firstLine="420" w:firstLineChars="200"/>
        <w:rPr>
          <w:rFonts w:ascii="Times New Roman" w:hAnsi="Times New Roman"/>
          <w:szCs w:val="21"/>
        </w:rPr>
      </w:pPr>
      <w:r>
        <w:rPr>
          <w:rFonts w:ascii="Times New Roman" w:hAnsi="Times New Roman"/>
          <w:szCs w:val="21"/>
        </w:rPr>
        <w:t>（3）开标记录；</w:t>
      </w:r>
    </w:p>
    <w:p w14:paraId="3FA29AEB">
      <w:pPr>
        <w:snapToGrid w:val="0"/>
        <w:spacing w:line="500" w:lineRule="exact"/>
        <w:ind w:firstLine="420" w:firstLineChars="200"/>
        <w:rPr>
          <w:rFonts w:ascii="Times New Roman" w:hAnsi="Times New Roman"/>
          <w:szCs w:val="21"/>
        </w:rPr>
      </w:pPr>
      <w:r>
        <w:rPr>
          <w:rFonts w:ascii="Times New Roman" w:hAnsi="Times New Roman"/>
          <w:szCs w:val="21"/>
        </w:rPr>
        <w:t>（4）符合要求的投标人一览表；</w:t>
      </w:r>
    </w:p>
    <w:p w14:paraId="43B6F6C7">
      <w:pPr>
        <w:snapToGrid w:val="0"/>
        <w:spacing w:line="500" w:lineRule="exact"/>
        <w:ind w:firstLine="420" w:firstLineChars="200"/>
        <w:rPr>
          <w:rFonts w:ascii="Times New Roman" w:hAnsi="Times New Roman"/>
          <w:szCs w:val="21"/>
        </w:rPr>
      </w:pPr>
      <w:r>
        <w:rPr>
          <w:rFonts w:ascii="Times New Roman" w:hAnsi="Times New Roman"/>
          <w:szCs w:val="21"/>
        </w:rPr>
        <w:t>（5）否决投标情况说明；</w:t>
      </w:r>
    </w:p>
    <w:p w14:paraId="0BF52792">
      <w:pPr>
        <w:snapToGrid w:val="0"/>
        <w:spacing w:line="500" w:lineRule="exact"/>
        <w:ind w:firstLine="420" w:firstLineChars="200"/>
        <w:rPr>
          <w:rFonts w:ascii="Times New Roman" w:hAnsi="Times New Roman"/>
          <w:szCs w:val="21"/>
        </w:rPr>
      </w:pPr>
      <w:r>
        <w:rPr>
          <w:rFonts w:ascii="Times New Roman" w:hAnsi="Times New Roman"/>
          <w:szCs w:val="21"/>
        </w:rPr>
        <w:t>（6）评标标准、评标方法或者评标因素一览表；</w:t>
      </w:r>
    </w:p>
    <w:p w14:paraId="6AEE04DF">
      <w:pPr>
        <w:snapToGrid w:val="0"/>
        <w:spacing w:line="500" w:lineRule="exact"/>
        <w:ind w:firstLine="420" w:firstLineChars="200"/>
        <w:rPr>
          <w:rFonts w:ascii="Times New Roman" w:hAnsi="Times New Roman"/>
          <w:szCs w:val="21"/>
        </w:rPr>
      </w:pPr>
      <w:r>
        <w:rPr>
          <w:rFonts w:ascii="Times New Roman" w:hAnsi="Times New Roman"/>
          <w:szCs w:val="21"/>
        </w:rPr>
        <w:t>（7）评分比较一览表；</w:t>
      </w:r>
    </w:p>
    <w:p w14:paraId="78F43D1A">
      <w:pPr>
        <w:snapToGrid w:val="0"/>
        <w:spacing w:line="500" w:lineRule="exact"/>
        <w:ind w:firstLine="420" w:firstLineChars="200"/>
        <w:rPr>
          <w:rFonts w:ascii="Times New Roman" w:hAnsi="Times New Roman"/>
          <w:szCs w:val="21"/>
        </w:rPr>
      </w:pPr>
      <w:r>
        <w:rPr>
          <w:rFonts w:ascii="Times New Roman" w:hAnsi="Times New Roman"/>
          <w:szCs w:val="21"/>
        </w:rPr>
        <w:t>（8）经评审的投标人排序；</w:t>
      </w:r>
    </w:p>
    <w:p w14:paraId="0AC4B1A9">
      <w:pPr>
        <w:snapToGrid w:val="0"/>
        <w:spacing w:line="500" w:lineRule="exact"/>
        <w:ind w:firstLine="420" w:firstLineChars="200"/>
        <w:rPr>
          <w:rFonts w:ascii="Times New Roman" w:hAnsi="Times New Roman"/>
          <w:szCs w:val="21"/>
        </w:rPr>
      </w:pPr>
      <w:r>
        <w:rPr>
          <w:rFonts w:ascii="Times New Roman" w:hAnsi="Times New Roman"/>
          <w:szCs w:val="21"/>
        </w:rPr>
        <w:t>（9）推荐的中标候选人名单与签订合同前要处理的事宜；</w:t>
      </w:r>
    </w:p>
    <w:p w14:paraId="7EBAAD0E">
      <w:pPr>
        <w:snapToGrid w:val="0"/>
        <w:spacing w:line="500" w:lineRule="exact"/>
        <w:ind w:firstLine="420" w:firstLineChars="200"/>
        <w:rPr>
          <w:rFonts w:ascii="Times New Roman" w:hAnsi="Times New Roman"/>
          <w:szCs w:val="21"/>
        </w:rPr>
      </w:pPr>
      <w:r>
        <w:rPr>
          <w:rFonts w:ascii="Times New Roman" w:hAnsi="Times New Roman"/>
          <w:szCs w:val="21"/>
        </w:rPr>
        <w:t>（10）澄清、说明事项纪要。</w:t>
      </w:r>
    </w:p>
    <w:p w14:paraId="6DBA9781">
      <w:pPr>
        <w:snapToGrid w:val="0"/>
        <w:spacing w:line="360" w:lineRule="auto"/>
        <w:ind w:firstLine="420" w:firstLineChars="200"/>
        <w:rPr>
          <w:rFonts w:ascii="Times New Roman" w:hAnsi="Times New Roman"/>
          <w:szCs w:val="21"/>
        </w:rPr>
      </w:pPr>
    </w:p>
    <w:p w14:paraId="388BEE37">
      <w:pPr>
        <w:snapToGrid w:val="0"/>
        <w:spacing w:line="360" w:lineRule="auto"/>
        <w:ind w:firstLine="0" w:firstLineChars="0"/>
        <w:rPr>
          <w:rFonts w:ascii="Times New Roman" w:hAnsi="Times New Roman"/>
          <w:szCs w:val="21"/>
        </w:rPr>
      </w:pPr>
    </w:p>
    <w:p w14:paraId="352A91A5">
      <w:pPr>
        <w:spacing w:before="240" w:beforeLines="100" w:after="240" w:afterLines="100" w:line="500" w:lineRule="exact"/>
        <w:jc w:val="center"/>
        <w:outlineLvl w:val="0"/>
        <w:rPr>
          <w:rFonts w:ascii="Times New Roman" w:hAnsi="Times New Roman" w:eastAsia="黑体"/>
          <w:sz w:val="32"/>
          <w:szCs w:val="32"/>
        </w:rPr>
      </w:pPr>
      <w:bookmarkStart w:id="379" w:name="_Toc8662"/>
      <w:bookmarkStart w:id="380" w:name="_Toc246997081"/>
      <w:bookmarkStart w:id="381" w:name="_Toc246996338"/>
      <w:bookmarkStart w:id="382" w:name="_Toc247085853"/>
      <w:bookmarkStart w:id="383" w:name="_Toc179632787"/>
      <w:bookmarkStart w:id="384" w:name="_Toc247527798"/>
      <w:bookmarkStart w:id="385" w:name="_Toc152045610"/>
      <w:bookmarkStart w:id="386" w:name="_Toc300835199"/>
      <w:bookmarkStart w:id="387" w:name="_Toc144974578"/>
      <w:bookmarkStart w:id="388" w:name="_Toc247514197"/>
      <w:bookmarkStart w:id="389" w:name="_Toc152042549"/>
      <w:bookmarkStart w:id="390" w:name="_Toc144974829"/>
      <w:bookmarkStart w:id="391" w:name="_Toc184635122"/>
      <w:bookmarkStart w:id="392" w:name="_Toc152042388"/>
      <w:r>
        <w:rPr>
          <w:rStyle w:val="52"/>
          <w:rFonts w:hint="eastAsia" w:ascii="黑体" w:hAnsi="黑体" w:eastAsia="黑体" w:cs="黑体"/>
          <w:sz w:val="32"/>
          <w:szCs w:val="32"/>
        </w:rPr>
        <w:t>第四章  合 同</w:t>
      </w:r>
      <w:bookmarkEnd w:id="379"/>
    </w:p>
    <w:p w14:paraId="5F925A10">
      <w:pPr>
        <w:pStyle w:val="3"/>
        <w:spacing w:before="0" w:after="0" w:line="500" w:lineRule="exact"/>
        <w:jc w:val="center"/>
        <w:rPr>
          <w:rFonts w:ascii="Times New Roman" w:hAnsi="Times New Roman" w:eastAsia="宋体"/>
          <w:b w:val="0"/>
          <w:i/>
          <w:iCs/>
          <w:color w:val="FF0000"/>
          <w:sz w:val="21"/>
          <w:szCs w:val="21"/>
        </w:rPr>
      </w:pPr>
      <w:bookmarkStart w:id="393" w:name="_Toc22351"/>
      <w:bookmarkStart w:id="394" w:name="_Toc25181"/>
      <w:bookmarkStart w:id="395" w:name="_Toc31332"/>
      <w:r>
        <w:rPr>
          <w:rFonts w:ascii="Times New Roman" w:hAnsi="Times New Roman" w:eastAsia="宋体"/>
          <w:b w:val="0"/>
          <w:i/>
          <w:iCs/>
          <w:color w:val="FF0000"/>
          <w:sz w:val="21"/>
          <w:szCs w:val="21"/>
        </w:rPr>
        <w:t>（本合同为参考格式，招标人可</w:t>
      </w:r>
      <w:r>
        <w:rPr>
          <w:rFonts w:hint="eastAsia" w:ascii="Times New Roman" w:hAnsi="Times New Roman" w:eastAsia="宋体"/>
          <w:b w:val="0"/>
          <w:i/>
          <w:iCs/>
          <w:color w:val="FF0000"/>
          <w:sz w:val="21"/>
          <w:szCs w:val="21"/>
        </w:rPr>
        <w:t>根据项目情况参考2021版集团合同模板自行使用</w:t>
      </w:r>
      <w:r>
        <w:rPr>
          <w:rFonts w:ascii="Times New Roman" w:hAnsi="Times New Roman" w:eastAsia="宋体"/>
          <w:b w:val="0"/>
          <w:i/>
          <w:iCs/>
          <w:color w:val="FF0000"/>
          <w:sz w:val="21"/>
          <w:szCs w:val="21"/>
        </w:rPr>
        <w:t>）</w:t>
      </w:r>
      <w:bookmarkEnd w:id="393"/>
      <w:bookmarkEnd w:id="394"/>
      <w:bookmarkEnd w:id="395"/>
    </w:p>
    <w:p w14:paraId="03B59BFC">
      <w:pPr>
        <w:spacing w:line="500" w:lineRule="exact"/>
        <w:rPr>
          <w:rFonts w:ascii="Times New Roman" w:hAnsi="Times New Roman"/>
          <w:szCs w:val="21"/>
          <w:u w:val="single"/>
        </w:rPr>
      </w:pPr>
      <w:r>
        <w:rPr>
          <w:rFonts w:ascii="Times New Roman" w:hAnsi="Times New Roman"/>
          <w:szCs w:val="21"/>
        </w:rPr>
        <w:t>招标人（甲方）：</w:t>
      </w:r>
      <w:r>
        <w:rPr>
          <w:rFonts w:ascii="Times New Roman" w:hAnsi="Times New Roman"/>
          <w:szCs w:val="21"/>
          <w:u w:val="single"/>
        </w:rPr>
        <w:t xml:space="preserve">                              </w:t>
      </w:r>
      <w:r>
        <w:rPr>
          <w:rFonts w:ascii="Times New Roman" w:hAnsi="Times New Roman"/>
          <w:szCs w:val="21"/>
        </w:rPr>
        <w:t xml:space="preserve">  </w:t>
      </w:r>
    </w:p>
    <w:p w14:paraId="4D172641">
      <w:pPr>
        <w:spacing w:line="500" w:lineRule="exact"/>
        <w:rPr>
          <w:rFonts w:ascii="Times New Roman" w:hAnsi="Times New Roman"/>
          <w:szCs w:val="21"/>
        </w:rPr>
      </w:pPr>
      <w:r>
        <w:rPr>
          <w:rFonts w:ascii="Times New Roman" w:hAnsi="Times New Roman"/>
          <w:szCs w:val="21"/>
        </w:rPr>
        <w:t>投标人（乙方）：</w:t>
      </w:r>
      <w:r>
        <w:rPr>
          <w:rFonts w:ascii="Times New Roman" w:hAnsi="Times New Roman"/>
          <w:szCs w:val="21"/>
          <w:u w:val="single"/>
        </w:rPr>
        <w:t xml:space="preserve">                              </w:t>
      </w:r>
      <w:r>
        <w:rPr>
          <w:rFonts w:ascii="Times New Roman" w:hAnsi="Times New Roman"/>
          <w:szCs w:val="21"/>
        </w:rPr>
        <w:t xml:space="preserve">   </w:t>
      </w:r>
    </w:p>
    <w:p w14:paraId="735B5D0D">
      <w:pPr>
        <w:spacing w:line="500" w:lineRule="exact"/>
        <w:rPr>
          <w:rFonts w:ascii="Times New Roman" w:hAnsi="Times New Roman"/>
          <w:szCs w:val="21"/>
          <w:u w:val="single"/>
        </w:rPr>
      </w:pPr>
      <w:r>
        <w:rPr>
          <w:rFonts w:ascii="Times New Roman" w:hAnsi="Times New Roman"/>
          <w:szCs w:val="21"/>
        </w:rPr>
        <w:t>签订地点：</w:t>
      </w:r>
      <w:r>
        <w:rPr>
          <w:rFonts w:ascii="Times New Roman" w:hAnsi="Times New Roman"/>
          <w:szCs w:val="21"/>
          <w:u w:val="single"/>
        </w:rPr>
        <w:t xml:space="preserve">                      </w:t>
      </w:r>
    </w:p>
    <w:p w14:paraId="46BB5BFA">
      <w:pPr>
        <w:spacing w:line="500" w:lineRule="exact"/>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 xml:space="preserve">                              </w:t>
      </w:r>
      <w:r>
        <w:rPr>
          <w:rFonts w:ascii="Times New Roman" w:hAnsi="Times New Roman"/>
          <w:szCs w:val="21"/>
        </w:rPr>
        <w:t xml:space="preserve"> </w:t>
      </w:r>
    </w:p>
    <w:p w14:paraId="777352E5">
      <w:pPr>
        <w:spacing w:line="500" w:lineRule="exact"/>
        <w:rPr>
          <w:rFonts w:ascii="Times New Roman" w:hAnsi="Times New Roman"/>
          <w:szCs w:val="21"/>
          <w:u w:val="single"/>
        </w:rPr>
      </w:pPr>
      <w:r>
        <w:rPr>
          <w:rFonts w:ascii="Times New Roman" w:hAnsi="Times New Roman"/>
          <w:szCs w:val="21"/>
        </w:rPr>
        <w:t>招标项目编号：</w:t>
      </w:r>
      <w:r>
        <w:rPr>
          <w:rFonts w:ascii="Times New Roman" w:hAnsi="Times New Roman"/>
          <w:szCs w:val="21"/>
          <w:u w:val="single"/>
        </w:rPr>
        <w:t xml:space="preserve">                              </w:t>
      </w:r>
      <w:r>
        <w:rPr>
          <w:rFonts w:ascii="Times New Roman" w:hAnsi="Times New Roman"/>
          <w:szCs w:val="21"/>
        </w:rPr>
        <w:t xml:space="preserve"> </w:t>
      </w:r>
    </w:p>
    <w:p w14:paraId="3E755D3F">
      <w:pPr>
        <w:tabs>
          <w:tab w:val="left" w:pos="2394"/>
        </w:tabs>
        <w:spacing w:line="500" w:lineRule="exact"/>
        <w:ind w:firstLine="420" w:firstLineChars="200"/>
        <w:rPr>
          <w:rFonts w:ascii="Times New Roman" w:hAnsi="Times New Roman"/>
          <w:szCs w:val="21"/>
        </w:rPr>
      </w:pPr>
      <w:r>
        <w:rPr>
          <w:rFonts w:ascii="Times New Roman" w:hAnsi="Times New Roman"/>
          <w:szCs w:val="21"/>
        </w:rPr>
        <w:t>经本项目评审小组评审，决定将合同授予乙方。为进一步明确双方的责任，确保合同的顺利履行，根据《中华人民共和国民法典》之规定及本项目招标文件、中标通知书等相关资料的要求，经甲乙双方充分协商，特订立本合同，以便共同遵守。</w:t>
      </w:r>
    </w:p>
    <w:p w14:paraId="4CB98277">
      <w:pPr>
        <w:spacing w:line="500" w:lineRule="exact"/>
        <w:ind w:firstLine="437"/>
        <w:rPr>
          <w:rFonts w:ascii="Times New Roman" w:hAnsi="Times New Roman"/>
          <w:b/>
          <w:bCs/>
          <w:szCs w:val="21"/>
          <w:lang w:val="zh-CN"/>
        </w:rPr>
      </w:pPr>
      <w:bookmarkStart w:id="396" w:name="_Toc3029"/>
      <w:bookmarkStart w:id="397" w:name="_Toc2232"/>
      <w:bookmarkStart w:id="398" w:name="_Toc24059"/>
      <w:r>
        <w:rPr>
          <w:rFonts w:ascii="Times New Roman" w:hAnsi="Times New Roman"/>
          <w:b/>
          <w:bCs/>
          <w:szCs w:val="21"/>
        </w:rPr>
        <w:t>1.</w:t>
      </w:r>
      <w:r>
        <w:rPr>
          <w:rFonts w:ascii="Times New Roman" w:hAnsi="Times New Roman"/>
          <w:b/>
          <w:bCs/>
          <w:szCs w:val="21"/>
          <w:lang w:val="zh-CN"/>
        </w:rPr>
        <w:t>合同组成部分</w:t>
      </w:r>
      <w:bookmarkEnd w:id="396"/>
      <w:bookmarkEnd w:id="397"/>
      <w:bookmarkEnd w:id="398"/>
    </w:p>
    <w:p w14:paraId="78F37F28">
      <w:pPr>
        <w:spacing w:line="500" w:lineRule="exact"/>
        <w:ind w:firstLine="435"/>
        <w:rPr>
          <w:rFonts w:ascii="Times New Roman" w:hAnsi="Times New Roman"/>
          <w:szCs w:val="21"/>
          <w:lang w:val="zh-CN"/>
        </w:rPr>
      </w:pPr>
      <w:r>
        <w:rPr>
          <w:rFonts w:ascii="Times New Roman" w:hAnsi="Times New Roman"/>
          <w:szCs w:val="21"/>
          <w:lang w:val="zh-CN"/>
        </w:rPr>
        <w:t>下列文件为本合同的组成部分，并构成一个整体，需综合解释、相互补充。如果下列文件内容出现不一致的情形，</w:t>
      </w:r>
      <w:r>
        <w:rPr>
          <w:rFonts w:ascii="Times New Roman" w:hAnsi="Times New Roman"/>
          <w:szCs w:val="21"/>
        </w:rPr>
        <w:t>那么</w:t>
      </w:r>
      <w:r>
        <w:rPr>
          <w:rFonts w:ascii="Times New Roman" w:hAnsi="Times New Roman"/>
          <w:szCs w:val="21"/>
          <w:lang w:val="zh-CN"/>
        </w:rPr>
        <w:t>在保证按照</w:t>
      </w:r>
      <w:r>
        <w:rPr>
          <w:rFonts w:ascii="Times New Roman" w:hAnsi="Times New Roman"/>
          <w:szCs w:val="21"/>
        </w:rPr>
        <w:t>谈判文件</w:t>
      </w:r>
      <w:r>
        <w:rPr>
          <w:rFonts w:ascii="Times New Roman" w:hAnsi="Times New Roman"/>
          <w:szCs w:val="21"/>
          <w:lang w:val="zh-CN"/>
        </w:rPr>
        <w:t>确定的事项前提下，组成本合同的多个文件的优先适用顺序如下：</w:t>
      </w:r>
    </w:p>
    <w:p w14:paraId="2F2F77F9">
      <w:pPr>
        <w:spacing w:line="500" w:lineRule="exact"/>
        <w:ind w:firstLine="435"/>
        <w:rPr>
          <w:rFonts w:ascii="Times New Roman" w:hAnsi="Times New Roman"/>
          <w:szCs w:val="21"/>
          <w:lang w:val="zh-CN"/>
        </w:rPr>
      </w:pPr>
      <w:r>
        <w:rPr>
          <w:rFonts w:ascii="Times New Roman" w:hAnsi="Times New Roman"/>
          <w:szCs w:val="21"/>
        </w:rPr>
        <w:t>1.1</w:t>
      </w:r>
      <w:r>
        <w:rPr>
          <w:rFonts w:ascii="Times New Roman" w:hAnsi="Times New Roman"/>
          <w:szCs w:val="21"/>
          <w:lang w:val="zh-CN"/>
        </w:rPr>
        <w:t>本合同及其补充合同、变更协议；</w:t>
      </w:r>
    </w:p>
    <w:p w14:paraId="4E2AE069">
      <w:pPr>
        <w:spacing w:line="500" w:lineRule="exact"/>
        <w:ind w:firstLine="435"/>
        <w:rPr>
          <w:rFonts w:ascii="Times New Roman" w:hAnsi="Times New Roman"/>
          <w:szCs w:val="21"/>
          <w:lang w:val="zh-CN"/>
        </w:rPr>
      </w:pPr>
      <w:r>
        <w:rPr>
          <w:rFonts w:ascii="Times New Roman" w:hAnsi="Times New Roman"/>
          <w:szCs w:val="21"/>
          <w:lang w:val="zh-CN"/>
        </w:rPr>
        <w:t>1</w:t>
      </w:r>
      <w:r>
        <w:rPr>
          <w:rFonts w:ascii="Times New Roman" w:hAnsi="Times New Roman"/>
          <w:szCs w:val="21"/>
        </w:rPr>
        <w:t>.2中标</w:t>
      </w:r>
      <w:r>
        <w:rPr>
          <w:rFonts w:ascii="Times New Roman" w:hAnsi="Times New Roman"/>
          <w:szCs w:val="21"/>
          <w:lang w:val="zh-CN"/>
        </w:rPr>
        <w:t>通知书；</w:t>
      </w:r>
    </w:p>
    <w:p w14:paraId="76D50B25">
      <w:pPr>
        <w:spacing w:line="500" w:lineRule="exact"/>
        <w:ind w:firstLine="435"/>
        <w:rPr>
          <w:rFonts w:ascii="Times New Roman" w:hAnsi="Times New Roman"/>
          <w:szCs w:val="21"/>
          <w:lang w:val="zh-CN"/>
        </w:rPr>
      </w:pPr>
      <w:r>
        <w:rPr>
          <w:rFonts w:ascii="Times New Roman" w:hAnsi="Times New Roman"/>
          <w:szCs w:val="21"/>
        </w:rPr>
        <w:t>1.3投标</w:t>
      </w:r>
      <w:r>
        <w:rPr>
          <w:rFonts w:ascii="Times New Roman" w:hAnsi="Times New Roman"/>
          <w:szCs w:val="21"/>
          <w:lang w:val="zh-CN"/>
        </w:rPr>
        <w:t>文件（含澄清或者说明文件）；</w:t>
      </w:r>
    </w:p>
    <w:p w14:paraId="3E10BC29">
      <w:pPr>
        <w:spacing w:line="500" w:lineRule="exact"/>
        <w:ind w:firstLine="435"/>
        <w:rPr>
          <w:rFonts w:ascii="Times New Roman" w:hAnsi="Times New Roman"/>
          <w:szCs w:val="21"/>
          <w:lang w:val="zh-CN"/>
        </w:rPr>
      </w:pPr>
      <w:r>
        <w:rPr>
          <w:rFonts w:ascii="Times New Roman" w:hAnsi="Times New Roman"/>
          <w:szCs w:val="21"/>
        </w:rPr>
        <w:t>1.4</w:t>
      </w:r>
      <w:r>
        <w:rPr>
          <w:rFonts w:ascii="Times New Roman" w:hAnsi="Times New Roman"/>
          <w:szCs w:val="21"/>
          <w:lang w:val="zh-CN"/>
        </w:rPr>
        <w:t>谈判文件（含澄清或者修改文件）；</w:t>
      </w:r>
    </w:p>
    <w:p w14:paraId="0184B3CE">
      <w:pPr>
        <w:spacing w:line="500" w:lineRule="exact"/>
        <w:ind w:firstLine="435"/>
        <w:rPr>
          <w:rFonts w:ascii="Times New Roman" w:hAnsi="Times New Roman"/>
          <w:szCs w:val="21"/>
          <w:lang w:val="zh-CN"/>
        </w:rPr>
      </w:pPr>
      <w:r>
        <w:rPr>
          <w:rFonts w:hint="eastAsia" w:ascii="Times New Roman" w:hAnsi="Times New Roman"/>
          <w:szCs w:val="21"/>
          <w:lang w:val="zh-CN"/>
        </w:rPr>
        <w:t>1.5 招标文件（磋商文件）；</w:t>
      </w:r>
    </w:p>
    <w:p w14:paraId="1101D722">
      <w:pPr>
        <w:spacing w:line="500" w:lineRule="exact"/>
        <w:ind w:firstLine="435"/>
        <w:rPr>
          <w:rFonts w:ascii="Times New Roman" w:hAnsi="Times New Roman"/>
          <w:szCs w:val="21"/>
          <w:lang w:val="zh-CN"/>
        </w:rPr>
      </w:pPr>
      <w:r>
        <w:rPr>
          <w:rFonts w:ascii="Times New Roman" w:hAnsi="Times New Roman"/>
          <w:szCs w:val="21"/>
        </w:rPr>
        <w:t>1.</w:t>
      </w:r>
      <w:r>
        <w:rPr>
          <w:rFonts w:hint="eastAsia" w:ascii="Times New Roman" w:hAnsi="Times New Roman"/>
          <w:szCs w:val="21"/>
        </w:rPr>
        <w:t>6</w:t>
      </w:r>
      <w:r>
        <w:rPr>
          <w:rFonts w:ascii="Times New Roman" w:hAnsi="Times New Roman"/>
          <w:szCs w:val="21"/>
          <w:lang w:val="zh-CN"/>
        </w:rPr>
        <w:t>其他相关文件。</w:t>
      </w:r>
    </w:p>
    <w:p w14:paraId="612D85CF">
      <w:pPr>
        <w:spacing w:line="500" w:lineRule="exact"/>
        <w:ind w:firstLine="437"/>
        <w:rPr>
          <w:rFonts w:ascii="Times New Roman" w:hAnsi="Times New Roman"/>
          <w:b/>
          <w:bCs/>
          <w:szCs w:val="21"/>
          <w:lang w:val="zh-CN"/>
        </w:rPr>
      </w:pPr>
      <w:r>
        <w:rPr>
          <w:rFonts w:ascii="Times New Roman" w:hAnsi="Times New Roman"/>
          <w:b/>
          <w:bCs/>
          <w:szCs w:val="21"/>
        </w:rPr>
        <w:t>2.</w:t>
      </w:r>
      <w:r>
        <w:rPr>
          <w:rFonts w:ascii="Times New Roman" w:hAnsi="Times New Roman"/>
          <w:b/>
          <w:bCs/>
          <w:szCs w:val="21"/>
          <w:lang w:val="zh-CN"/>
        </w:rPr>
        <w:t>服务</w:t>
      </w:r>
    </w:p>
    <w:p w14:paraId="15195F95">
      <w:pPr>
        <w:spacing w:line="500" w:lineRule="exact"/>
        <w:ind w:firstLine="435"/>
        <w:rPr>
          <w:rFonts w:ascii="Times New Roman" w:hAnsi="Times New Roman"/>
          <w:szCs w:val="21"/>
          <w:u w:val="single"/>
        </w:rPr>
      </w:pPr>
      <w:r>
        <w:rPr>
          <w:rFonts w:ascii="Times New Roman" w:hAnsi="Times New Roman"/>
          <w:szCs w:val="21"/>
        </w:rPr>
        <w:t>2.1服务名称：</w:t>
      </w:r>
      <w:r>
        <w:rPr>
          <w:rFonts w:ascii="Times New Roman" w:hAnsi="Times New Roman"/>
          <w:szCs w:val="21"/>
          <w:u w:val="single"/>
        </w:rPr>
        <w:t xml:space="preserve">                                                </w:t>
      </w:r>
      <w:r>
        <w:rPr>
          <w:rFonts w:ascii="Times New Roman" w:hAnsi="Times New Roman"/>
          <w:szCs w:val="21"/>
        </w:rPr>
        <w:t>；</w:t>
      </w:r>
    </w:p>
    <w:p w14:paraId="6475FBA6">
      <w:pPr>
        <w:spacing w:line="500" w:lineRule="exact"/>
        <w:ind w:firstLine="435"/>
        <w:rPr>
          <w:rFonts w:ascii="Times New Roman" w:hAnsi="Times New Roman"/>
          <w:szCs w:val="21"/>
          <w:u w:val="single"/>
        </w:rPr>
      </w:pPr>
      <w:r>
        <w:rPr>
          <w:rFonts w:ascii="Times New Roman" w:hAnsi="Times New Roman"/>
          <w:szCs w:val="21"/>
        </w:rPr>
        <w:t>2.2服务内容：</w:t>
      </w:r>
      <w:r>
        <w:rPr>
          <w:rFonts w:ascii="Times New Roman" w:hAnsi="Times New Roman"/>
          <w:szCs w:val="21"/>
          <w:u w:val="single"/>
        </w:rPr>
        <w:t xml:space="preserve">                                                </w:t>
      </w:r>
      <w:r>
        <w:rPr>
          <w:rFonts w:ascii="Times New Roman" w:hAnsi="Times New Roman"/>
          <w:szCs w:val="21"/>
        </w:rPr>
        <w:t>；</w:t>
      </w:r>
    </w:p>
    <w:p w14:paraId="00AE0213">
      <w:pPr>
        <w:spacing w:line="500" w:lineRule="exact"/>
        <w:ind w:firstLine="435"/>
        <w:rPr>
          <w:rFonts w:ascii="Times New Roman" w:hAnsi="Times New Roman"/>
          <w:szCs w:val="21"/>
        </w:rPr>
      </w:pPr>
      <w:r>
        <w:rPr>
          <w:rFonts w:ascii="Times New Roman" w:hAnsi="Times New Roman"/>
          <w:szCs w:val="21"/>
        </w:rPr>
        <w:t>2.3服务质量：</w:t>
      </w:r>
      <w:r>
        <w:rPr>
          <w:rFonts w:ascii="Times New Roman" w:hAnsi="Times New Roman"/>
          <w:szCs w:val="21"/>
          <w:u w:val="single"/>
        </w:rPr>
        <w:t xml:space="preserve">                                                </w:t>
      </w:r>
      <w:r>
        <w:rPr>
          <w:rFonts w:ascii="Times New Roman" w:hAnsi="Times New Roman"/>
          <w:szCs w:val="21"/>
        </w:rPr>
        <w:t>。</w:t>
      </w:r>
    </w:p>
    <w:p w14:paraId="22C09D89">
      <w:pPr>
        <w:spacing w:line="500" w:lineRule="exact"/>
        <w:ind w:firstLine="437"/>
        <w:rPr>
          <w:rFonts w:ascii="Times New Roman" w:hAnsi="Times New Roman"/>
          <w:b/>
          <w:bCs/>
          <w:szCs w:val="21"/>
          <w:lang w:val="zh-CN"/>
        </w:rPr>
      </w:pPr>
      <w:bookmarkStart w:id="399" w:name="_Toc21631"/>
      <w:bookmarkStart w:id="400" w:name="_Toc23292"/>
      <w:bookmarkStart w:id="401" w:name="_Toc21551"/>
      <w:r>
        <w:rPr>
          <w:rFonts w:ascii="Times New Roman" w:hAnsi="Times New Roman"/>
          <w:b/>
          <w:bCs/>
          <w:szCs w:val="21"/>
        </w:rPr>
        <w:t>3.</w:t>
      </w:r>
      <w:r>
        <w:rPr>
          <w:rFonts w:ascii="Times New Roman" w:hAnsi="Times New Roman"/>
          <w:b/>
          <w:bCs/>
          <w:szCs w:val="21"/>
          <w:lang w:val="zh-CN"/>
        </w:rPr>
        <w:t>价款</w:t>
      </w:r>
      <w:bookmarkEnd w:id="399"/>
      <w:bookmarkEnd w:id="400"/>
      <w:bookmarkEnd w:id="401"/>
    </w:p>
    <w:p w14:paraId="099C32BD">
      <w:pPr>
        <w:spacing w:line="500" w:lineRule="exact"/>
        <w:ind w:firstLine="35" w:firstLineChars="17"/>
        <w:rPr>
          <w:rFonts w:ascii="Times New Roman" w:hAnsi="Times New Roman"/>
          <w:szCs w:val="21"/>
        </w:rPr>
      </w:pPr>
      <w:r>
        <w:rPr>
          <w:rFonts w:ascii="Times New Roman" w:hAnsi="Times New Roman"/>
          <w:szCs w:val="21"/>
        </w:rPr>
        <w:t>本合同总价为：￥</w:t>
      </w:r>
      <w:r>
        <w:rPr>
          <w:rFonts w:ascii="Times New Roman" w:hAnsi="Times New Roman"/>
          <w:szCs w:val="21"/>
          <w:u w:val="single"/>
        </w:rPr>
        <w:t xml:space="preserve">           </w:t>
      </w:r>
      <w:r>
        <w:rPr>
          <w:rFonts w:ascii="Times New Roman" w:hAnsi="Times New Roman"/>
          <w:szCs w:val="21"/>
        </w:rPr>
        <w:t>元（大写：人民币</w:t>
      </w:r>
      <w:r>
        <w:rPr>
          <w:rFonts w:ascii="Times New Roman" w:hAnsi="Times New Roman"/>
          <w:szCs w:val="21"/>
          <w:u w:val="single"/>
        </w:rPr>
        <w:t xml:space="preserve">                 </w:t>
      </w:r>
      <w:r>
        <w:rPr>
          <w:rFonts w:ascii="Times New Roman" w:hAnsi="Times New Roman"/>
          <w:szCs w:val="21"/>
        </w:rPr>
        <w:t>元）。</w:t>
      </w:r>
      <w:bookmarkStart w:id="402" w:name="_Toc10340"/>
      <w:bookmarkStart w:id="403" w:name="_Toc1814"/>
      <w:bookmarkStart w:id="404" w:name="_Toc22618"/>
    </w:p>
    <w:p w14:paraId="67841DA4">
      <w:pPr>
        <w:spacing w:line="500" w:lineRule="exact"/>
        <w:ind w:firstLine="422" w:firstLineChars="200"/>
        <w:rPr>
          <w:rFonts w:ascii="Times New Roman" w:hAnsi="Times New Roman"/>
          <w:b/>
          <w:bCs/>
          <w:szCs w:val="21"/>
          <w:lang w:val="zh-CN"/>
        </w:rPr>
      </w:pPr>
      <w:r>
        <w:rPr>
          <w:rFonts w:ascii="Times New Roman" w:hAnsi="Times New Roman"/>
          <w:b/>
          <w:bCs/>
          <w:szCs w:val="21"/>
        </w:rPr>
        <w:t>4.</w:t>
      </w:r>
      <w:r>
        <w:rPr>
          <w:rFonts w:ascii="Times New Roman" w:hAnsi="Times New Roman"/>
          <w:b/>
          <w:bCs/>
          <w:szCs w:val="21"/>
          <w:lang w:val="zh-CN"/>
        </w:rPr>
        <w:t>付款方式和发票开具方式</w:t>
      </w:r>
      <w:bookmarkEnd w:id="402"/>
      <w:bookmarkEnd w:id="403"/>
      <w:bookmarkEnd w:id="404"/>
    </w:p>
    <w:p w14:paraId="17D65A8C">
      <w:pPr>
        <w:spacing w:line="500" w:lineRule="exact"/>
        <w:ind w:firstLine="420" w:firstLineChars="200"/>
        <w:rPr>
          <w:rFonts w:ascii="Times New Roman" w:hAnsi="Times New Roman"/>
          <w:szCs w:val="21"/>
        </w:rPr>
      </w:pPr>
      <w:r>
        <w:rPr>
          <w:rFonts w:ascii="Times New Roman" w:hAnsi="Times New Roman"/>
          <w:szCs w:val="21"/>
        </w:rPr>
        <w:t>4.1付款方式：</w:t>
      </w:r>
      <w:r>
        <w:rPr>
          <w:rFonts w:ascii="Times New Roman" w:hAnsi="Times New Roman"/>
          <w:szCs w:val="21"/>
          <w:u w:val="single"/>
        </w:rPr>
        <w:t xml:space="preserve">                                                </w:t>
      </w:r>
      <w:r>
        <w:rPr>
          <w:rFonts w:ascii="Times New Roman" w:hAnsi="Times New Roman"/>
          <w:szCs w:val="21"/>
        </w:rPr>
        <w:t>；</w:t>
      </w:r>
    </w:p>
    <w:p w14:paraId="51BB488F">
      <w:pPr>
        <w:spacing w:line="500" w:lineRule="exact"/>
        <w:ind w:firstLine="420" w:firstLineChars="200"/>
        <w:rPr>
          <w:rFonts w:ascii="Times New Roman" w:hAnsi="Times New Roman"/>
          <w:szCs w:val="21"/>
        </w:rPr>
      </w:pPr>
      <w:r>
        <w:rPr>
          <w:rFonts w:ascii="Times New Roman" w:hAnsi="Times New Roman"/>
          <w:szCs w:val="21"/>
        </w:rPr>
        <w:t>4.2发票开具方式：</w:t>
      </w:r>
      <w:r>
        <w:rPr>
          <w:rFonts w:ascii="Times New Roman" w:hAnsi="Times New Roman"/>
          <w:szCs w:val="21"/>
          <w:u w:val="single"/>
        </w:rPr>
        <w:t xml:space="preserve">                                            </w:t>
      </w:r>
      <w:r>
        <w:rPr>
          <w:rFonts w:ascii="Times New Roman" w:hAnsi="Times New Roman"/>
          <w:szCs w:val="21"/>
        </w:rPr>
        <w:t>。</w:t>
      </w:r>
    </w:p>
    <w:p w14:paraId="01CFF5FA">
      <w:pPr>
        <w:spacing w:line="500" w:lineRule="exact"/>
        <w:ind w:firstLine="422" w:firstLineChars="200"/>
        <w:rPr>
          <w:rFonts w:ascii="Times New Roman" w:hAnsi="Times New Roman"/>
          <w:b/>
          <w:bCs/>
          <w:szCs w:val="21"/>
          <w:lang w:val="zh-CN"/>
        </w:rPr>
      </w:pPr>
      <w:bookmarkStart w:id="405" w:name="_Toc2846"/>
      <w:bookmarkStart w:id="406" w:name="_Toc32071"/>
      <w:bookmarkStart w:id="407" w:name="_Toc19304"/>
      <w:r>
        <w:rPr>
          <w:rFonts w:ascii="Times New Roman" w:hAnsi="Times New Roman"/>
          <w:b/>
          <w:bCs/>
          <w:szCs w:val="21"/>
          <w:lang w:val="zh-CN"/>
        </w:rPr>
        <w:t>5.服务期限、地点和方式</w:t>
      </w:r>
      <w:bookmarkEnd w:id="405"/>
      <w:bookmarkEnd w:id="406"/>
      <w:bookmarkEnd w:id="407"/>
    </w:p>
    <w:p w14:paraId="7B0CAB83">
      <w:pPr>
        <w:spacing w:line="500" w:lineRule="exact"/>
        <w:ind w:firstLine="435"/>
        <w:rPr>
          <w:rFonts w:ascii="Times New Roman" w:hAnsi="Times New Roman"/>
          <w:szCs w:val="21"/>
          <w:u w:val="single"/>
        </w:rPr>
      </w:pPr>
      <w:r>
        <w:rPr>
          <w:rFonts w:ascii="Times New Roman" w:hAnsi="Times New Roman"/>
          <w:szCs w:val="21"/>
        </w:rPr>
        <w:t>5.1服务期限：</w:t>
      </w:r>
      <w:r>
        <w:rPr>
          <w:rFonts w:ascii="Times New Roman" w:hAnsi="Times New Roman"/>
          <w:szCs w:val="21"/>
          <w:u w:val="single"/>
        </w:rPr>
        <w:t xml:space="preserve">                                                </w:t>
      </w:r>
      <w:r>
        <w:rPr>
          <w:rFonts w:ascii="Times New Roman" w:hAnsi="Times New Roman"/>
          <w:szCs w:val="21"/>
        </w:rPr>
        <w:t>；</w:t>
      </w:r>
    </w:p>
    <w:p w14:paraId="426AB8C1">
      <w:pPr>
        <w:spacing w:line="500" w:lineRule="exact"/>
        <w:ind w:firstLine="435"/>
        <w:rPr>
          <w:rFonts w:ascii="Times New Roman" w:hAnsi="Times New Roman"/>
          <w:szCs w:val="21"/>
        </w:rPr>
      </w:pPr>
      <w:r>
        <w:rPr>
          <w:rFonts w:ascii="Times New Roman" w:hAnsi="Times New Roman"/>
          <w:szCs w:val="21"/>
        </w:rPr>
        <w:t>5.2服务地点：</w:t>
      </w:r>
      <w:r>
        <w:rPr>
          <w:rFonts w:ascii="Times New Roman" w:hAnsi="Times New Roman"/>
          <w:szCs w:val="21"/>
          <w:u w:val="single"/>
        </w:rPr>
        <w:t xml:space="preserve">                                                </w:t>
      </w:r>
      <w:r>
        <w:rPr>
          <w:rFonts w:ascii="Times New Roman" w:hAnsi="Times New Roman"/>
          <w:szCs w:val="21"/>
        </w:rPr>
        <w:t>；</w:t>
      </w:r>
    </w:p>
    <w:p w14:paraId="2F88D1EB">
      <w:pPr>
        <w:spacing w:line="500" w:lineRule="exact"/>
        <w:ind w:firstLine="435"/>
        <w:rPr>
          <w:rFonts w:ascii="Times New Roman" w:hAnsi="Times New Roman"/>
          <w:szCs w:val="21"/>
        </w:rPr>
      </w:pPr>
      <w:r>
        <w:rPr>
          <w:rFonts w:ascii="Times New Roman" w:hAnsi="Times New Roman"/>
          <w:szCs w:val="21"/>
        </w:rPr>
        <w:t>5.3服务方式：</w:t>
      </w:r>
      <w:r>
        <w:rPr>
          <w:rFonts w:ascii="Times New Roman" w:hAnsi="Times New Roman"/>
          <w:szCs w:val="21"/>
          <w:u w:val="single"/>
        </w:rPr>
        <w:t xml:space="preserve">                                                </w:t>
      </w:r>
      <w:r>
        <w:rPr>
          <w:rFonts w:ascii="Times New Roman" w:hAnsi="Times New Roman"/>
          <w:szCs w:val="21"/>
        </w:rPr>
        <w:t>。</w:t>
      </w:r>
    </w:p>
    <w:p w14:paraId="2F91A537">
      <w:pPr>
        <w:spacing w:line="500" w:lineRule="exact"/>
        <w:ind w:firstLine="437"/>
        <w:rPr>
          <w:rFonts w:ascii="Times New Roman" w:hAnsi="Times New Roman"/>
          <w:b/>
          <w:bCs/>
          <w:szCs w:val="21"/>
          <w:lang w:val="zh-CN"/>
        </w:rPr>
      </w:pPr>
      <w:bookmarkStart w:id="408" w:name="_Toc21423"/>
      <w:bookmarkStart w:id="409" w:name="_Toc27250"/>
      <w:bookmarkStart w:id="410" w:name="_Toc19554"/>
      <w:r>
        <w:rPr>
          <w:rFonts w:ascii="Times New Roman" w:hAnsi="Times New Roman"/>
          <w:b/>
          <w:bCs/>
          <w:szCs w:val="21"/>
          <w:lang w:val="zh-CN"/>
        </w:rPr>
        <w:t>6.违约责任</w:t>
      </w:r>
      <w:bookmarkEnd w:id="408"/>
      <w:bookmarkEnd w:id="409"/>
      <w:bookmarkEnd w:id="410"/>
    </w:p>
    <w:p w14:paraId="70F9B37C">
      <w:pPr>
        <w:spacing w:line="500" w:lineRule="exact"/>
        <w:ind w:firstLine="435"/>
        <w:rPr>
          <w:rFonts w:ascii="Times New Roman" w:hAnsi="Times New Roman"/>
          <w:szCs w:val="21"/>
        </w:rPr>
      </w:pPr>
      <w:r>
        <w:rPr>
          <w:rFonts w:ascii="Times New Roman" w:hAnsi="Times New Roman"/>
          <w:szCs w:val="21"/>
        </w:rPr>
        <w:t>6.1除不可抗力外，如果乙方没有按照本合同约定的期限、地点和方式履行</w:t>
      </w:r>
      <w:r>
        <w:rPr>
          <w:rFonts w:hint="eastAsia" w:ascii="Times New Roman" w:hAnsi="Times New Roman"/>
          <w:szCs w:val="21"/>
        </w:rPr>
        <w:t>服务内容的，每逾期1日，甲方有权按照合同总价款的万分之五向乙方主张违约金，逾期超过15日的，甲方有权单方面解除本合同</w:t>
      </w:r>
      <w:r>
        <w:rPr>
          <w:rFonts w:ascii="Times New Roman" w:hAnsi="Times New Roman"/>
          <w:szCs w:val="21"/>
        </w:rPr>
        <w:t>；</w:t>
      </w:r>
    </w:p>
    <w:p w14:paraId="6D6E3590">
      <w:pPr>
        <w:spacing w:line="500" w:lineRule="exact"/>
        <w:ind w:firstLine="435"/>
        <w:rPr>
          <w:rFonts w:ascii="Times New Roman" w:hAnsi="Times New Roman"/>
          <w:szCs w:val="21"/>
        </w:rPr>
      </w:pPr>
      <w:r>
        <w:rPr>
          <w:rFonts w:ascii="Times New Roman" w:hAnsi="Times New Roman"/>
          <w:szCs w:val="21"/>
        </w:rPr>
        <w:t>6.2除不可抗力外，如果甲方没有按照本合同约定的付款方式付款，那么乙方可要求甲方支付违约金，违约金按每迟延付款一日的应付而未付款的</w:t>
      </w:r>
      <w:r>
        <w:rPr>
          <w:rFonts w:hint="eastAsia" w:ascii="Times New Roman" w:hAnsi="Times New Roman"/>
          <w:szCs w:val="21"/>
          <w:u w:val="single"/>
        </w:rPr>
        <w:t>万分之四</w:t>
      </w:r>
      <w:r>
        <w:rPr>
          <w:rFonts w:ascii="Times New Roman" w:hAnsi="Times New Roman"/>
          <w:szCs w:val="21"/>
        </w:rPr>
        <w:t>计算，最高限额为本合同总价的</w:t>
      </w:r>
      <w:r>
        <w:rPr>
          <w:rFonts w:ascii="Times New Roman" w:hAnsi="Times New Roman"/>
          <w:szCs w:val="21"/>
          <w:u w:val="single"/>
        </w:rPr>
        <w:t xml:space="preserve">     </w:t>
      </w:r>
      <w:r>
        <w:rPr>
          <w:rFonts w:ascii="Times New Roman" w:hAnsi="Times New Roman"/>
          <w:szCs w:val="21"/>
        </w:rPr>
        <w:t>%；迟延付款的违约金计算数额达到前述最高限额之日起，乙方有权在要求甲方支付违约金的同时，书面通知甲方解除本合同；</w:t>
      </w:r>
    </w:p>
    <w:p w14:paraId="71280B46">
      <w:pPr>
        <w:spacing w:line="500" w:lineRule="exact"/>
        <w:ind w:firstLine="435"/>
        <w:rPr>
          <w:rFonts w:ascii="Times New Roman" w:hAnsi="Times New Roman"/>
          <w:szCs w:val="21"/>
        </w:rPr>
      </w:pPr>
      <w:r>
        <w:rPr>
          <w:rFonts w:ascii="Times New Roman" w:hAnsi="Times New Roman"/>
          <w:szCs w:val="21"/>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E08728C">
      <w:pPr>
        <w:spacing w:line="500" w:lineRule="exact"/>
        <w:ind w:firstLine="435"/>
        <w:rPr>
          <w:rFonts w:ascii="Times New Roman" w:hAnsi="Times New Roman"/>
          <w:szCs w:val="21"/>
        </w:rPr>
      </w:pPr>
      <w:r>
        <w:rPr>
          <w:rFonts w:ascii="Times New Roman" w:hAnsi="Times New Roman"/>
          <w:szCs w:val="21"/>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67BCFA5">
      <w:pPr>
        <w:spacing w:line="500" w:lineRule="exact"/>
        <w:ind w:firstLine="435"/>
        <w:rPr>
          <w:rFonts w:ascii="Times New Roman" w:hAnsi="Times New Roman"/>
          <w:szCs w:val="21"/>
        </w:rPr>
      </w:pPr>
      <w:r>
        <w:rPr>
          <w:rFonts w:ascii="Times New Roman" w:hAnsi="Times New Roman"/>
          <w:szCs w:val="21"/>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22EE0D0">
      <w:pPr>
        <w:spacing w:line="500" w:lineRule="exact"/>
        <w:ind w:firstLine="435"/>
        <w:rPr>
          <w:rFonts w:ascii="Times New Roman" w:hAnsi="Times New Roman"/>
          <w:szCs w:val="21"/>
        </w:rPr>
      </w:pPr>
      <w:r>
        <w:rPr>
          <w:rFonts w:ascii="Times New Roman" w:hAnsi="Times New Roman"/>
          <w:szCs w:val="21"/>
        </w:rPr>
        <w:t>6.6如果出现监督管理部门在处理投诉事项期间，书面通知甲方暂停采购活动的情形，或者询问或质疑事项可能影响成交结果的，导致甲方中止履行合同的情形，均不视为甲方违约。</w:t>
      </w:r>
    </w:p>
    <w:p w14:paraId="0A65B538">
      <w:pPr>
        <w:spacing w:line="500" w:lineRule="exact"/>
        <w:ind w:firstLine="435"/>
        <w:rPr>
          <w:rFonts w:hint="eastAsia" w:ascii="Times New Roman" w:hAnsi="Times New Roman"/>
          <w:szCs w:val="21"/>
        </w:rPr>
      </w:pPr>
      <w:r>
        <w:rPr>
          <w:rFonts w:hint="eastAsia" w:ascii="Times New Roman" w:hAnsi="Times New Roman"/>
          <w:szCs w:val="21"/>
        </w:rPr>
        <w:t>6.7未经甲方许可，乙方不得擅自变更项目负责人以及项目组服务人员，如乙方未经甲方许可擅自变更项目负责人的，乙方应当向甲方支付违约金20000元/人/次；如乙方未经甲方许可擅自变更项目组服务人员的，乙方应当向甲方支付违约金5000元/人/次。</w:t>
      </w:r>
    </w:p>
    <w:p w14:paraId="1363456E">
      <w:pPr>
        <w:spacing w:line="500" w:lineRule="exact"/>
        <w:ind w:firstLine="435"/>
        <w:rPr>
          <w:rFonts w:hint="eastAsia" w:ascii="Times New Roman" w:hAnsi="Times New Roman"/>
          <w:szCs w:val="21"/>
        </w:rPr>
      </w:pPr>
      <w:r>
        <w:rPr>
          <w:rFonts w:hint="eastAsia" w:ascii="Times New Roman" w:hAnsi="Times New Roman"/>
          <w:szCs w:val="21"/>
        </w:rPr>
        <w:t>6.8 任何一方违反合同约定的，违约方除应赔偿给守约方造成的直接损失外，还应赔偿守约方为维护自身合法权益而支出的包括但不限于诉讼费、律师费、差旅费、文印费、诉讼保全费、保险费、公告费、公证费、鉴定费、审计费、评估费等一切支出。</w:t>
      </w:r>
    </w:p>
    <w:p w14:paraId="1319E760">
      <w:pPr>
        <w:spacing w:line="500" w:lineRule="exact"/>
        <w:ind w:firstLine="435"/>
        <w:rPr>
          <w:rFonts w:hint="eastAsia" w:ascii="Times New Roman" w:hAnsi="Times New Roman"/>
          <w:szCs w:val="21"/>
        </w:rPr>
      </w:pPr>
      <w:r>
        <w:rPr>
          <w:rFonts w:hint="eastAsia" w:ascii="Times New Roman" w:hAnsi="Times New Roman"/>
          <w:szCs w:val="21"/>
        </w:rPr>
        <w:t>6.9 因乙方原因导致本合同提前解除的，合同解除时甲方未支付的费用无须再向乙方支付，如乙方未开始提供任何服务的，乙方应当退还甲方支付的款项。因甲方原因导致合同解除的，如乙方未开始提供服务，乙方应当退还甲方支付的款项；如乙方开始提供服务，但未完成全部服务内容的，甲方按照合同总价款的30%与乙方进行结算；如乙方完成全部服务内容，但未进行甲方验收通过的，甲方按照合同总价款的70%与乙方进行结算。</w:t>
      </w:r>
    </w:p>
    <w:p w14:paraId="45E5A966">
      <w:pPr>
        <w:spacing w:line="500" w:lineRule="exact"/>
        <w:ind w:firstLine="435"/>
        <w:rPr>
          <w:rFonts w:ascii="Times New Roman" w:hAnsi="Times New Roman"/>
          <w:szCs w:val="21"/>
        </w:rPr>
      </w:pPr>
      <w:r>
        <w:rPr>
          <w:rFonts w:hint="eastAsia" w:ascii="Times New Roman" w:hAnsi="Times New Roman"/>
          <w:szCs w:val="21"/>
        </w:rPr>
        <w:t>6.10 对于乙方在履行服务过程中应当向甲方缴纳的违约金、赔偿金等各项费用，甲方有权直接从应当支付给乙方的合同款中扣除。</w:t>
      </w:r>
    </w:p>
    <w:p w14:paraId="5D5C9935">
      <w:pPr>
        <w:spacing w:line="500" w:lineRule="exact"/>
        <w:ind w:firstLine="437"/>
        <w:rPr>
          <w:rFonts w:ascii="Times New Roman" w:hAnsi="Times New Roman"/>
          <w:b/>
          <w:bCs/>
          <w:szCs w:val="21"/>
          <w:lang w:val="zh-CN"/>
        </w:rPr>
      </w:pPr>
      <w:bookmarkStart w:id="411" w:name="_Toc15583"/>
      <w:bookmarkStart w:id="412" w:name="_Toc28375"/>
      <w:bookmarkStart w:id="413" w:name="_Toc16021"/>
      <w:r>
        <w:rPr>
          <w:rFonts w:ascii="Times New Roman" w:hAnsi="Times New Roman"/>
          <w:b/>
          <w:bCs/>
          <w:szCs w:val="21"/>
          <w:lang w:val="zh-CN"/>
        </w:rPr>
        <w:t>7.合同争议的解决</w:t>
      </w:r>
      <w:bookmarkEnd w:id="411"/>
      <w:bookmarkEnd w:id="412"/>
      <w:bookmarkEnd w:id="413"/>
    </w:p>
    <w:p w14:paraId="25679EC1">
      <w:pPr>
        <w:spacing w:line="500" w:lineRule="exact"/>
        <w:ind w:firstLine="435"/>
        <w:rPr>
          <w:rFonts w:ascii="Times New Roman" w:hAnsi="Times New Roman"/>
          <w:szCs w:val="21"/>
        </w:rPr>
      </w:pPr>
      <w:r>
        <w:rPr>
          <w:rFonts w:ascii="Times New Roman" w:hAnsi="Times New Roman"/>
          <w:szCs w:val="21"/>
        </w:rPr>
        <w:t>本合同履行过程中发生的任何争议，双方当事人均可通过和解或者调解解决；不愿和解、调解或者和解、调解不成的，可以选择下列第</w:t>
      </w:r>
      <w:r>
        <w:rPr>
          <w:rFonts w:ascii="Times New Roman" w:hAnsi="Times New Roman"/>
          <w:szCs w:val="21"/>
          <w:u w:val="single"/>
        </w:rPr>
        <w:t xml:space="preserve">    </w:t>
      </w:r>
      <w:r>
        <w:rPr>
          <w:rFonts w:ascii="Times New Roman" w:hAnsi="Times New Roman"/>
          <w:szCs w:val="21"/>
        </w:rPr>
        <w:t>种方式解决：</w:t>
      </w:r>
    </w:p>
    <w:p w14:paraId="60216995">
      <w:pPr>
        <w:spacing w:line="500" w:lineRule="exact"/>
        <w:ind w:firstLine="435"/>
        <w:rPr>
          <w:rFonts w:ascii="Times New Roman" w:hAnsi="Times New Roman"/>
          <w:szCs w:val="21"/>
        </w:rPr>
      </w:pPr>
      <w:r>
        <w:rPr>
          <w:rFonts w:ascii="Times New Roman" w:hAnsi="Times New Roman"/>
          <w:szCs w:val="21"/>
        </w:rPr>
        <w:t>7.1将争议提交</w:t>
      </w:r>
      <w:r>
        <w:rPr>
          <w:rFonts w:ascii="Times New Roman" w:hAnsi="Times New Roman"/>
          <w:szCs w:val="21"/>
          <w:u w:val="single"/>
        </w:rPr>
        <w:t xml:space="preserve">              </w:t>
      </w:r>
      <w:r>
        <w:rPr>
          <w:rFonts w:ascii="Times New Roman" w:hAnsi="Times New Roman"/>
          <w:szCs w:val="21"/>
        </w:rPr>
        <w:t>仲裁委员会依申请仲裁时其现行有效的仲裁规则裁决；</w:t>
      </w:r>
    </w:p>
    <w:p w14:paraId="060A5ABE">
      <w:pPr>
        <w:spacing w:line="500" w:lineRule="exact"/>
        <w:ind w:firstLine="435"/>
        <w:rPr>
          <w:rFonts w:ascii="Times New Roman" w:hAnsi="Times New Roman"/>
          <w:szCs w:val="21"/>
        </w:rPr>
      </w:pPr>
      <w:r>
        <w:rPr>
          <w:rFonts w:ascii="Times New Roman" w:hAnsi="Times New Roman"/>
          <w:szCs w:val="21"/>
        </w:rPr>
        <w:t>7.2向</w:t>
      </w:r>
      <w:r>
        <w:rPr>
          <w:rFonts w:ascii="Times New Roman" w:hAnsi="Times New Roman"/>
          <w:szCs w:val="21"/>
          <w:u w:val="single"/>
        </w:rPr>
        <w:t xml:space="preserve">                        </w:t>
      </w:r>
      <w:r>
        <w:rPr>
          <w:rFonts w:ascii="Times New Roman" w:hAnsi="Times New Roman"/>
          <w:szCs w:val="21"/>
        </w:rPr>
        <w:t>人民法院起诉。</w:t>
      </w:r>
    </w:p>
    <w:p w14:paraId="3142F1C5">
      <w:pPr>
        <w:spacing w:line="500" w:lineRule="exact"/>
        <w:ind w:firstLine="437"/>
        <w:rPr>
          <w:rFonts w:ascii="Times New Roman" w:hAnsi="Times New Roman"/>
          <w:b/>
          <w:bCs/>
          <w:szCs w:val="21"/>
          <w:lang w:val="zh-CN"/>
        </w:rPr>
      </w:pPr>
      <w:bookmarkStart w:id="414" w:name="_Toc11173"/>
      <w:bookmarkStart w:id="415" w:name="_Toc7245"/>
      <w:bookmarkStart w:id="416" w:name="_Toc15322"/>
      <w:r>
        <w:rPr>
          <w:rFonts w:ascii="Times New Roman" w:hAnsi="Times New Roman"/>
          <w:b/>
          <w:bCs/>
          <w:szCs w:val="21"/>
          <w:lang w:val="zh-CN"/>
        </w:rPr>
        <w:t>8.合同生效</w:t>
      </w:r>
      <w:bookmarkEnd w:id="414"/>
      <w:bookmarkEnd w:id="415"/>
      <w:bookmarkEnd w:id="416"/>
    </w:p>
    <w:p w14:paraId="08976741">
      <w:pPr>
        <w:spacing w:line="500" w:lineRule="exact"/>
        <w:ind w:firstLine="420" w:firstLineChars="200"/>
        <w:rPr>
          <w:rFonts w:ascii="Times New Roman" w:hAnsi="Times New Roman"/>
          <w:szCs w:val="21"/>
        </w:rPr>
      </w:pPr>
      <w:r>
        <w:rPr>
          <w:rFonts w:hint="eastAsia" w:ascii="Times New Roman" w:hAnsi="Times New Roman"/>
          <w:szCs w:val="21"/>
        </w:rPr>
        <w:t>本合同自甲、乙双方法定代表人或者授权代表签字并加盖公章后生效</w:t>
      </w:r>
      <w:r>
        <w:rPr>
          <w:rFonts w:ascii="Times New Roman" w:hAnsi="Times New Roman"/>
          <w:szCs w:val="21"/>
        </w:rPr>
        <w:t>。</w:t>
      </w:r>
    </w:p>
    <w:p w14:paraId="584ECB1B">
      <w:pPr>
        <w:spacing w:line="500" w:lineRule="exact"/>
        <w:ind w:firstLine="422" w:firstLineChars="200"/>
        <w:rPr>
          <w:rFonts w:hint="eastAsia" w:ascii="Times New Roman" w:hAnsi="Times New Roman"/>
          <w:b/>
          <w:bCs/>
          <w:szCs w:val="21"/>
        </w:rPr>
      </w:pPr>
      <w:r>
        <w:rPr>
          <w:rFonts w:hint="eastAsia" w:ascii="Times New Roman" w:hAnsi="Times New Roman"/>
          <w:b/>
          <w:bCs/>
          <w:szCs w:val="21"/>
        </w:rPr>
        <w:t>9 通知和送达</w:t>
      </w:r>
    </w:p>
    <w:p w14:paraId="0E275A89">
      <w:pPr>
        <w:spacing w:line="500" w:lineRule="exact"/>
        <w:ind w:firstLine="420" w:firstLineChars="200"/>
        <w:rPr>
          <w:rFonts w:hint="eastAsia" w:ascii="Times New Roman" w:hAnsi="Times New Roman"/>
          <w:szCs w:val="21"/>
        </w:rPr>
      </w:pPr>
      <w:r>
        <w:rPr>
          <w:rFonts w:hint="eastAsia" w:ascii="Times New Roman" w:hAnsi="Times New Roman"/>
          <w:szCs w:val="21"/>
        </w:rPr>
        <w:t>9.1本协议双方联系地址、联系人、联系方式如下：</w:t>
      </w:r>
    </w:p>
    <w:p w14:paraId="63BF1FDF">
      <w:pPr>
        <w:spacing w:line="500" w:lineRule="exact"/>
        <w:ind w:firstLine="420" w:firstLineChars="200"/>
        <w:rPr>
          <w:rFonts w:hint="eastAsia" w:ascii="Times New Roman" w:hAnsi="Times New Roman"/>
          <w:szCs w:val="21"/>
        </w:rPr>
      </w:pPr>
      <w:r>
        <w:rPr>
          <w:rFonts w:hint="eastAsia" w:ascii="Times New Roman" w:hAnsi="Times New Roman"/>
          <w:szCs w:val="21"/>
        </w:rPr>
        <w:t>甲方：</w:t>
      </w:r>
    </w:p>
    <w:p w14:paraId="058A6D9B">
      <w:pPr>
        <w:spacing w:line="500" w:lineRule="exact"/>
        <w:ind w:firstLine="420" w:firstLineChars="200"/>
        <w:rPr>
          <w:rFonts w:hint="eastAsia" w:ascii="Times New Roman" w:hAnsi="Times New Roman"/>
          <w:szCs w:val="21"/>
        </w:rPr>
      </w:pPr>
      <w:r>
        <w:rPr>
          <w:rFonts w:hint="eastAsia" w:ascii="Times New Roman" w:hAnsi="Times New Roman"/>
          <w:szCs w:val="21"/>
        </w:rPr>
        <w:t>乙方：</w:t>
      </w:r>
    </w:p>
    <w:p w14:paraId="1915F62A">
      <w:pPr>
        <w:spacing w:line="500" w:lineRule="exact"/>
        <w:ind w:firstLine="420" w:firstLineChars="200"/>
        <w:rPr>
          <w:rFonts w:hint="eastAsia" w:ascii="Times New Roman" w:hAnsi="Times New Roman"/>
          <w:szCs w:val="21"/>
        </w:rPr>
      </w:pPr>
      <w:r>
        <w:rPr>
          <w:rFonts w:hint="eastAsia" w:ascii="Times New Roman" w:hAnsi="Times New Roman"/>
          <w:szCs w:val="21"/>
        </w:rPr>
        <w:t>除法律法规或监管规定另有强制性规定外，本协议履行过程中，甲、乙双方确认在本协议中填写的电话号码、邮箱、联系人、通讯地址等信息真实准确，为协议双方在履行本协议及主张、实现本协议所约定事宜过程中的通知和送达地址。在采用电子方式进行通知的情况下发送当日即视为送达。电话通知的情况下电话接通即视为送达，书面形式按如下规定确定送达日期：</w:t>
      </w:r>
    </w:p>
    <w:p w14:paraId="5EB6BECC">
      <w:pPr>
        <w:spacing w:line="500" w:lineRule="exact"/>
        <w:ind w:firstLine="420" w:firstLineChars="200"/>
        <w:rPr>
          <w:rFonts w:hint="eastAsia" w:ascii="Times New Roman" w:hAnsi="Times New Roman"/>
          <w:szCs w:val="21"/>
        </w:rPr>
      </w:pPr>
      <w:r>
        <w:rPr>
          <w:rFonts w:hint="eastAsia" w:ascii="Times New Roman" w:hAnsi="Times New Roman"/>
          <w:szCs w:val="21"/>
        </w:rPr>
        <w:t>（1）以专人递送的，收件人签收之日视为送达（收件人拒收的，于拒收日视为送达）。</w:t>
      </w:r>
    </w:p>
    <w:p w14:paraId="419ADE16">
      <w:pPr>
        <w:spacing w:line="500" w:lineRule="exact"/>
        <w:ind w:firstLine="420" w:firstLineChars="200"/>
        <w:rPr>
          <w:rFonts w:hint="eastAsia" w:ascii="Times New Roman" w:hAnsi="Times New Roman"/>
          <w:szCs w:val="21"/>
        </w:rPr>
      </w:pPr>
      <w:r>
        <w:rPr>
          <w:rFonts w:hint="eastAsia" w:ascii="Times New Roman" w:hAnsi="Times New Roman"/>
          <w:szCs w:val="21"/>
        </w:rPr>
        <w:t>（2）以快递、邮寄方式寄出的，以邮寄信息中显示的收件人（或他人）签收之日视为送达。</w:t>
      </w:r>
    </w:p>
    <w:p w14:paraId="1E4BD731">
      <w:pPr>
        <w:spacing w:line="500" w:lineRule="exact"/>
        <w:ind w:firstLine="420" w:firstLineChars="200"/>
        <w:rPr>
          <w:rFonts w:hint="eastAsia" w:ascii="Times New Roman" w:hAnsi="Times New Roman"/>
          <w:szCs w:val="21"/>
        </w:rPr>
      </w:pPr>
      <w:r>
        <w:rPr>
          <w:rFonts w:hint="eastAsia" w:ascii="Times New Roman" w:hAnsi="Times New Roman"/>
          <w:szCs w:val="21"/>
        </w:rPr>
        <w:t>9.2双方上述送达地址适用范围包括双方履行合同过程中各类通知、协议等文件以及就合同发生纠纷时相关文件和法律文书的送达，同时包括在争议进入民事诉讼程序后的一审、二审、审判监督和执行程序。</w:t>
      </w:r>
    </w:p>
    <w:p w14:paraId="1DF090D4">
      <w:pPr>
        <w:spacing w:line="500" w:lineRule="exact"/>
        <w:ind w:firstLine="420" w:firstLineChars="200"/>
        <w:rPr>
          <w:rFonts w:hint="eastAsia" w:ascii="Times New Roman" w:hAnsi="Times New Roman"/>
          <w:szCs w:val="21"/>
        </w:rPr>
      </w:pPr>
      <w:r>
        <w:rPr>
          <w:rFonts w:hint="eastAsia" w:ascii="Times New Roman" w:hAnsi="Times New Roman"/>
          <w:szCs w:val="21"/>
        </w:rPr>
        <w:t>9.3如任何一方上述送达和通知地址发生变更的，应在发生变更之日起【三】日内通知相对方，如未及时按照本协议约定完成变更通知送达的，由此造成的损失由变更方自行承担。</w:t>
      </w:r>
    </w:p>
    <w:p w14:paraId="3BE7A96F">
      <w:pPr>
        <w:spacing w:line="500" w:lineRule="exact"/>
        <w:ind w:firstLine="420" w:firstLineChars="200"/>
        <w:rPr>
          <w:rFonts w:hint="eastAsia" w:ascii="Times New Roman" w:hAnsi="Times New Roman"/>
          <w:szCs w:val="21"/>
        </w:rPr>
      </w:pPr>
      <w:r>
        <w:rPr>
          <w:rFonts w:hint="eastAsia" w:ascii="Times New Roman" w:hAnsi="Times New Roman"/>
          <w:szCs w:val="21"/>
        </w:rPr>
        <w:t>9.4因当事人提供的送达地址不准确、地址错误、送达地址变更后未及时依程序告知对方、指定联系人拒绝签收或者其他原因，导致通知、文件、材料或者法律文书未能被当事人实际接收的，邮寄送达的，以文书退回之日视为送达之日；直接送达的，送达人当场在送达回证上记明情况之日视为送达之日；应当履行送达地址变更通知义务的，以变更后的送达地址为有效送达地址。</w:t>
      </w:r>
    </w:p>
    <w:p w14:paraId="3608C2F0">
      <w:pPr>
        <w:spacing w:line="500" w:lineRule="exact"/>
        <w:ind w:firstLine="420" w:firstLineChars="200"/>
        <w:rPr>
          <w:rFonts w:ascii="Times New Roman" w:hAnsi="Times New Roman"/>
          <w:szCs w:val="21"/>
        </w:rPr>
      </w:pPr>
    </w:p>
    <w:p w14:paraId="18F985C1">
      <w:pPr>
        <w:spacing w:line="500" w:lineRule="exact"/>
        <w:ind w:firstLine="422" w:firstLineChars="200"/>
        <w:rPr>
          <w:rFonts w:hint="eastAsia" w:ascii="Times New Roman" w:hAnsi="Times New Roman"/>
          <w:b/>
          <w:bCs/>
          <w:szCs w:val="21"/>
        </w:rPr>
      </w:pPr>
      <w:r>
        <w:rPr>
          <w:rFonts w:hint="eastAsia" w:ascii="Times New Roman" w:hAnsi="Times New Roman"/>
          <w:b/>
          <w:bCs/>
          <w:szCs w:val="21"/>
        </w:rPr>
        <w:t xml:space="preserve">10.其他条款 </w:t>
      </w:r>
    </w:p>
    <w:p w14:paraId="42680E80">
      <w:pPr>
        <w:spacing w:line="500" w:lineRule="exact"/>
        <w:ind w:firstLine="420" w:firstLineChars="200"/>
        <w:rPr>
          <w:rFonts w:hint="eastAsia" w:ascii="Times New Roman" w:hAnsi="Times New Roman"/>
          <w:szCs w:val="21"/>
        </w:rPr>
      </w:pPr>
      <w:r>
        <w:rPr>
          <w:rFonts w:hint="eastAsia" w:ascii="Times New Roman" w:hAnsi="Times New Roman"/>
          <w:szCs w:val="21"/>
        </w:rPr>
        <w:t>10.1 本合同附件为本合同不可分割的一部分，与本合同具有同等法律效力。</w:t>
      </w:r>
    </w:p>
    <w:p w14:paraId="4A090290">
      <w:pPr>
        <w:spacing w:line="500" w:lineRule="exact"/>
        <w:ind w:firstLine="420" w:firstLineChars="200"/>
        <w:rPr>
          <w:rFonts w:hint="eastAsia" w:ascii="Times New Roman" w:hAnsi="Times New Roman"/>
          <w:szCs w:val="21"/>
        </w:rPr>
      </w:pPr>
      <w:r>
        <w:rPr>
          <w:rFonts w:hint="eastAsia" w:ascii="Times New Roman" w:hAnsi="Times New Roman"/>
          <w:szCs w:val="21"/>
        </w:rPr>
        <w:t>10.2 对于本合同未尽事宜，甲、乙双方可经协商一致另行签订补充协议加以约定，补充协议内容与本合同约定存在冲突的，以补充协议约定内容为准。</w:t>
      </w:r>
    </w:p>
    <w:p w14:paraId="717D99AA">
      <w:pPr>
        <w:spacing w:line="500" w:lineRule="exact"/>
        <w:ind w:firstLine="420" w:firstLineChars="200"/>
        <w:rPr>
          <w:rFonts w:ascii="Times New Roman" w:hAnsi="Times New Roman"/>
          <w:szCs w:val="21"/>
        </w:rPr>
      </w:pPr>
      <w:r>
        <w:rPr>
          <w:rFonts w:hint="eastAsia" w:ascii="Times New Roman" w:hAnsi="Times New Roman"/>
          <w:szCs w:val="21"/>
        </w:rPr>
        <w:t>10.3 本合同一式二份，甲、乙双方各执一份，具有同等法律效力。</w:t>
      </w:r>
    </w:p>
    <w:p w14:paraId="32847731">
      <w:pPr>
        <w:tabs>
          <w:tab w:val="left" w:pos="2394"/>
        </w:tabs>
        <w:spacing w:line="500" w:lineRule="exact"/>
        <w:rPr>
          <w:rFonts w:ascii="Times New Roman" w:hAnsi="Times New Roman"/>
          <w:szCs w:val="21"/>
        </w:rPr>
      </w:pPr>
      <w:r>
        <w:rPr>
          <w:rFonts w:ascii="Times New Roman" w:hAnsi="Times New Roman"/>
          <w:szCs w:val="21"/>
        </w:rPr>
        <w:t xml:space="preserve">招标人（甲方）：    （公章）         投标人（乙方）：     （公章）  </w:t>
      </w:r>
    </w:p>
    <w:p w14:paraId="4D524FF2">
      <w:pPr>
        <w:tabs>
          <w:tab w:val="left" w:pos="2394"/>
        </w:tabs>
        <w:spacing w:line="500" w:lineRule="exact"/>
        <w:rPr>
          <w:rFonts w:ascii="Times New Roman" w:hAnsi="Times New Roman"/>
          <w:szCs w:val="21"/>
        </w:rPr>
      </w:pPr>
      <w:r>
        <w:rPr>
          <w:rFonts w:ascii="Times New Roman" w:hAnsi="Times New Roman"/>
          <w:szCs w:val="21"/>
        </w:rPr>
        <w:t>地址：                               地址：</w:t>
      </w:r>
    </w:p>
    <w:p w14:paraId="11315A09">
      <w:pPr>
        <w:tabs>
          <w:tab w:val="left" w:pos="2394"/>
        </w:tabs>
        <w:spacing w:line="500" w:lineRule="exact"/>
        <w:rPr>
          <w:rFonts w:ascii="Times New Roman" w:hAnsi="Times New Roman"/>
          <w:szCs w:val="21"/>
        </w:rPr>
      </w:pPr>
      <w:r>
        <w:rPr>
          <w:rFonts w:ascii="Times New Roman" w:hAnsi="Times New Roman"/>
          <w:szCs w:val="21"/>
        </w:rPr>
        <w:t>法定代表人：                         法定代表人：</w:t>
      </w:r>
    </w:p>
    <w:p w14:paraId="12F19C16">
      <w:pPr>
        <w:tabs>
          <w:tab w:val="left" w:pos="2394"/>
        </w:tabs>
        <w:spacing w:line="500" w:lineRule="exact"/>
        <w:rPr>
          <w:rFonts w:ascii="Times New Roman" w:hAnsi="Times New Roman"/>
          <w:szCs w:val="21"/>
          <w:u w:val="single"/>
        </w:rPr>
      </w:pPr>
      <w:r>
        <w:rPr>
          <w:rFonts w:ascii="Times New Roman" w:hAnsi="Times New Roman"/>
          <w:szCs w:val="21"/>
        </w:rPr>
        <w:t>委托代理人：                         委托代理人：</w:t>
      </w:r>
    </w:p>
    <w:p w14:paraId="5B66D8E1">
      <w:pPr>
        <w:tabs>
          <w:tab w:val="left" w:pos="2394"/>
        </w:tabs>
        <w:spacing w:line="500" w:lineRule="exact"/>
        <w:rPr>
          <w:rFonts w:ascii="Times New Roman" w:hAnsi="Times New Roman"/>
          <w:szCs w:val="21"/>
        </w:rPr>
      </w:pPr>
      <w:r>
        <w:rPr>
          <w:rFonts w:ascii="Times New Roman" w:hAnsi="Times New Roman"/>
          <w:szCs w:val="21"/>
        </w:rPr>
        <w:t>电话：                               电话：</w:t>
      </w:r>
    </w:p>
    <w:p w14:paraId="1F3AB5DA">
      <w:pPr>
        <w:tabs>
          <w:tab w:val="left" w:pos="2394"/>
        </w:tabs>
        <w:spacing w:line="500" w:lineRule="exact"/>
        <w:rPr>
          <w:rFonts w:ascii="Times New Roman" w:hAnsi="Times New Roman"/>
          <w:szCs w:val="21"/>
        </w:rPr>
      </w:pPr>
      <w:r>
        <w:rPr>
          <w:rFonts w:ascii="Times New Roman" w:hAnsi="Times New Roman"/>
          <w:szCs w:val="21"/>
        </w:rPr>
        <w:t>开户银行：                           开户银行：</w:t>
      </w:r>
    </w:p>
    <w:p w14:paraId="459B9EA8">
      <w:pPr>
        <w:tabs>
          <w:tab w:val="left" w:pos="2394"/>
        </w:tabs>
        <w:spacing w:line="500" w:lineRule="exact"/>
        <w:rPr>
          <w:rFonts w:ascii="Times New Roman" w:hAnsi="Times New Roman"/>
          <w:szCs w:val="21"/>
        </w:rPr>
      </w:pPr>
      <w:r>
        <w:rPr>
          <w:rFonts w:ascii="Times New Roman" w:hAnsi="Times New Roman"/>
          <w:szCs w:val="21"/>
        </w:rPr>
        <w:t>账号：                               账号：</w:t>
      </w:r>
    </w:p>
    <w:p w14:paraId="07F69262">
      <w:pPr>
        <w:spacing w:line="500" w:lineRule="exact"/>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w:t>
      </w:r>
      <w:r>
        <w:rPr>
          <w:rFonts w:ascii="Times New Roman" w:hAnsi="Times New Roman"/>
          <w:szCs w:val="21"/>
        </w:rPr>
        <w:t>月</w:t>
      </w:r>
      <w:r>
        <w:rPr>
          <w:rFonts w:ascii="Times New Roman" w:hAnsi="Times New Roman"/>
          <w:szCs w:val="21"/>
          <w:u w:val="single"/>
        </w:rPr>
        <w:t>  </w:t>
      </w:r>
      <w:r>
        <w:rPr>
          <w:rFonts w:ascii="Times New Roman" w:hAnsi="Times New Roman"/>
          <w:szCs w:val="21"/>
        </w:rPr>
        <w:t xml:space="preserve">日               </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w:t>
      </w:r>
      <w:r>
        <w:rPr>
          <w:rFonts w:ascii="Times New Roman" w:hAnsi="Times New Roman"/>
          <w:szCs w:val="21"/>
        </w:rPr>
        <w:t>月</w:t>
      </w:r>
      <w:r>
        <w:rPr>
          <w:rFonts w:ascii="Times New Roman" w:hAnsi="Times New Roman"/>
          <w:szCs w:val="21"/>
          <w:u w:val="single"/>
        </w:rPr>
        <w:t>  </w:t>
      </w:r>
      <w:r>
        <w:rPr>
          <w:rFonts w:ascii="Times New Roman" w:hAnsi="Times New Roman"/>
          <w:szCs w:val="21"/>
        </w:rPr>
        <w:t>日</w:t>
      </w:r>
    </w:p>
    <w:p w14:paraId="5D229B61">
      <w:pPr>
        <w:rPr>
          <w:b/>
          <w:bCs/>
        </w:rPr>
      </w:pPr>
    </w:p>
    <w:p w14:paraId="5382A446">
      <w:pPr>
        <w:rPr>
          <w:b/>
          <w:bCs/>
        </w:rPr>
      </w:pPr>
    </w:p>
    <w:p w14:paraId="3040C7D1">
      <w:pPr>
        <w:rPr>
          <w:b/>
          <w:bCs/>
        </w:rPr>
      </w:pPr>
    </w:p>
    <w:p w14:paraId="66AFB266">
      <w:pPr>
        <w:rPr>
          <w:b/>
          <w:bCs/>
        </w:rPr>
      </w:pPr>
      <w:r>
        <w:rPr>
          <w:b/>
          <w:bCs/>
        </w:rPr>
        <w:t>备注：本合同的约定如与本项目</w:t>
      </w:r>
      <w:r>
        <w:rPr>
          <w:rFonts w:hint="eastAsia"/>
          <w:b/>
          <w:bCs/>
          <w:lang w:val="en-US" w:eastAsia="zh-CN"/>
        </w:rPr>
        <w:t>招标</w:t>
      </w:r>
      <w:r>
        <w:rPr>
          <w:b/>
          <w:bCs/>
        </w:rPr>
        <w:t>文件的投标人须知前附表和招标人要求的约定有冲突时，以投标人须知前附表和招标人要求的约定为准。</w:t>
      </w:r>
    </w:p>
    <w:p w14:paraId="77B29F6C"/>
    <w:p w14:paraId="28BFC1C0">
      <w:pPr>
        <w:keepNext w:val="0"/>
        <w:keepLines w:val="0"/>
        <w:pageBreakBefore/>
        <w:kinsoku/>
        <w:wordWrap/>
        <w:overflowPunct/>
        <w:topLinePunct w:val="0"/>
        <w:autoSpaceDE/>
        <w:autoSpaceDN/>
        <w:bidi w:val="0"/>
        <w:spacing w:before="313" w:beforeLines="100" w:after="313" w:afterLines="100" w:line="500" w:lineRule="exact"/>
        <w:ind w:firstLine="0" w:firstLineChars="0"/>
        <w:jc w:val="center"/>
        <w:textAlignment w:val="auto"/>
        <w:outlineLvl w:val="0"/>
        <w:rPr>
          <w:rFonts w:hint="eastAsia" w:ascii="宋体" w:hAnsi="宋体" w:eastAsia="宋体" w:cs="宋体"/>
          <w:sz w:val="21"/>
          <w:szCs w:val="21"/>
        </w:rPr>
      </w:pPr>
      <w:r>
        <w:rPr>
          <w:rFonts w:hint="eastAsia" w:ascii="宋体" w:hAnsi="宋体" w:eastAsia="宋体" w:cs="宋体"/>
          <w:b/>
          <w:bCs w:val="0"/>
          <w:sz w:val="44"/>
          <w:szCs w:val="44"/>
        </w:rPr>
        <w:t xml:space="preserve">廉  </w:t>
      </w:r>
      <w:r>
        <w:rPr>
          <w:rFonts w:hint="eastAsia" w:ascii="宋体" w:hAnsi="宋体" w:cs="宋体"/>
          <w:b/>
          <w:bCs w:val="0"/>
          <w:sz w:val="44"/>
          <w:szCs w:val="44"/>
          <w:lang w:val="en-US" w:eastAsia="zh-CN"/>
        </w:rPr>
        <w:t>洁</w:t>
      </w:r>
      <w:r>
        <w:rPr>
          <w:rFonts w:hint="eastAsia" w:ascii="宋体" w:hAnsi="宋体" w:eastAsia="宋体" w:cs="宋体"/>
          <w:b/>
          <w:bCs w:val="0"/>
          <w:sz w:val="44"/>
          <w:szCs w:val="44"/>
        </w:rPr>
        <w:t xml:space="preserve">  协  议</w:t>
      </w:r>
    </w:p>
    <w:p w14:paraId="335458A5">
      <w:pPr>
        <w:keepNext w:val="0"/>
        <w:keepLines w:val="0"/>
        <w:kinsoku/>
        <w:wordWrap/>
        <w:overflowPunct/>
        <w:topLinePunct w:val="0"/>
        <w:autoSpaceDE/>
        <w:autoSpaceDN/>
        <w:bidi w:val="0"/>
        <w:spacing w:line="500" w:lineRule="exact"/>
        <w:ind w:firstLine="420" w:firstLineChars="200"/>
        <w:textAlignment w:val="auto"/>
        <w:rPr>
          <w:rFonts w:hint="eastAsia" w:ascii="宋体" w:hAnsi="宋体" w:eastAsia="宋体" w:cs="宋体"/>
          <w:sz w:val="21"/>
          <w:szCs w:val="21"/>
        </w:rPr>
      </w:pPr>
    </w:p>
    <w:p w14:paraId="5A945947">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 xml:space="preserve">甲方：                        </w:t>
      </w:r>
    </w:p>
    <w:p w14:paraId="3E5ED40F">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 xml:space="preserve">乙方：                        </w:t>
      </w:r>
    </w:p>
    <w:p w14:paraId="12BDF294">
      <w:pPr>
        <w:spacing w:line="500" w:lineRule="exact"/>
        <w:ind w:firstLine="420" w:firstLineChars="200"/>
        <w:rPr>
          <w:rFonts w:hint="eastAsia" w:ascii="Times New Roman" w:hAnsi="Times New Roman" w:eastAsia="宋体" w:cs="Times New Roman"/>
          <w:szCs w:val="21"/>
        </w:rPr>
      </w:pPr>
    </w:p>
    <w:p w14:paraId="2B77F4DE">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为进一步完善监督制约机制，防止发生各种牟取不正当利益的违法违纪行为，促进双方诚信经营、廉洁从业，防范商业贿赂，保护国家、集体和当事人的合法权益，根据国家有关法律法规和省、市有关规定，甲乙双方自愿签订本廉洁协议，共同遵照执行。</w:t>
      </w:r>
    </w:p>
    <w:p w14:paraId="0056C1D6">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第一条  甲乙双方的权利和义务</w:t>
      </w:r>
    </w:p>
    <w:p w14:paraId="28117E3D">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一）甲乙双方自觉遵守《中华人民共和国反不正当竞争法》、最高人民检察院、最高人民法院《关于办理受贿刑事案件适用法律若干问题的意见》、国家工商行政管理局《关于禁止商业贿赂行为的暂行规定》及相关法律法规和廉洁建设的规定。</w:t>
      </w:r>
    </w:p>
    <w:p w14:paraId="6ED5A31A">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（二）严格执行合同的要求，自觉履行合同约定的相关义务。</w:t>
      </w:r>
    </w:p>
    <w:p w14:paraId="13FC752C">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（三）在业务活动中坚持公开、公正、诚信、透明的原则，不得损害国家、集体利益。</w:t>
      </w:r>
    </w:p>
    <w:p w14:paraId="5A90FA0B">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（四）建立健全廉洁制度，开展廉洁教育，公布举报电话，监督并认真查处违法违纪行为。</w:t>
      </w:r>
    </w:p>
    <w:p w14:paraId="7C23CCC0">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（五）发现对方在业务活动中有违反廉洁规定的行为，应及时提醒对方纠正。情节严重的，应向其上级有关部门举报、建议给予处理，并有权要求告知处理结果。</w:t>
      </w:r>
    </w:p>
    <w:p w14:paraId="508FBFB6">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第二条  甲方的义务</w:t>
      </w:r>
    </w:p>
    <w:p w14:paraId="2D9A9F99">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（一）甲方及其工作人员不得索要或接受乙方的礼金、有价证券和贵重物品，不得在乙方报销任何应由甲方单位或个人支付的费用等。</w:t>
      </w:r>
    </w:p>
    <w:p w14:paraId="1837CF82">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64B86B2F">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（三）甲方及其工作人员不得要求或者接受乙方为其住房装修、婚丧嫁娶活动、配偶子女工作安排以及出国出境、旅游等提供方便等。</w:t>
      </w:r>
    </w:p>
    <w:p w14:paraId="1116C19D">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（四）甲方工作人员不得在乙方有关联的企业兼职，不得向乙方介绍家属或者亲友从事与甲方业务有关的经济活动。</w:t>
      </w:r>
    </w:p>
    <w:p w14:paraId="6D3E7161">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（五）甲方工作人员不得以明显低于市场的价格向乙方购买房屋、汽车等物品；不得以明显高于市场的价格向乙方出售房屋、汽车等物品；不得以其他交易形式非法收受请托人财物。</w:t>
      </w:r>
    </w:p>
    <w:p w14:paraId="4A190747">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（六）甲方工作人员不得利用职务之便收受乙方以回扣、手续费、加班费、咨询费、劳务费、协调费等各种名义给予或赠送的钱物。</w:t>
      </w:r>
    </w:p>
    <w:p w14:paraId="3561F49C">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（七）甲方工作人员不得接受乙方给予或赠送的干股或红利。</w:t>
      </w:r>
    </w:p>
    <w:p w14:paraId="767B9001">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（八）甲方任何人不得以个人的名义向乙方推荐设备、部件等供货商以及其他合作单位。</w:t>
      </w:r>
    </w:p>
    <w:p w14:paraId="428F2F66">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第三条  乙方的义务</w:t>
      </w:r>
    </w:p>
    <w:p w14:paraId="0215A91F">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（一）乙方不得以任何理由向甲方及其工作人员行贿或馈赠礼金、有价证券、贵重礼品。</w:t>
      </w:r>
    </w:p>
    <w:p w14:paraId="2613D490">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（二)乙方不得以任何名义为甲方及其工作人员报销应由甲方单位或个人支付的任何费用。</w:t>
      </w:r>
    </w:p>
    <w:p w14:paraId="0C5C1A69">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（三）乙方不得以任何理由安排甲方工作人员参加可能影响相关业务公开、公正、公平性的宴请及娱乐活动。</w:t>
      </w:r>
    </w:p>
    <w:p w14:paraId="488BF572">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（四）乙方不得为甲方单位和个人购置或提供通讯工具和高档办公用品等物品，也不得为甲方提供与工作无关的房屋、汽车等。</w:t>
      </w:r>
    </w:p>
    <w:p w14:paraId="02E26041">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（五）乙方不得与甲方工作人员就合同中的质量、数量、价格、工程量、验收等条款进行私下商谈或者达成默契。</w:t>
      </w:r>
    </w:p>
    <w:p w14:paraId="570D3DA3">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（六）乙方不得以回扣、手续费、加班费、咨询费、劳务费等各种名义向甲方工作人员给予或赠送钱物。</w:t>
      </w:r>
    </w:p>
    <w:p w14:paraId="55661942">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（七）乙方不得向甲方工作人员提供干股或红利。</w:t>
      </w:r>
    </w:p>
    <w:p w14:paraId="68E10BE1">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（八）乙方须按</w:t>
      </w:r>
      <w:r>
        <w:rPr>
          <w:rFonts w:hint="eastAsia" w:ascii="宋体" w:hAnsi="宋体" w:cs="宋体"/>
          <w:color w:val="FF0000"/>
          <w:sz w:val="21"/>
          <w:szCs w:val="21"/>
          <w:lang w:val="en-US" w:eastAsia="zh-CN"/>
        </w:rPr>
        <w:t>招标人纪检部门</w:t>
      </w:r>
      <w:r>
        <w:rPr>
          <w:rFonts w:hint="eastAsia" w:ascii="Times New Roman" w:hAnsi="Times New Roman" w:eastAsia="宋体" w:cs="Times New Roman"/>
          <w:szCs w:val="21"/>
        </w:rPr>
        <w:t>要求开展相关工作。</w:t>
      </w:r>
    </w:p>
    <w:p w14:paraId="13999C5D">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第四条  违约责任</w:t>
      </w:r>
    </w:p>
    <w:p w14:paraId="166547D0">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（一）甲方及其工作人员违反本协议第一、二条规定。甲方按管理权限，对相关责任人依据有关规定给予党纪、政纪处分或组织处理；涉嫌犯罪的，移交司法机关追究刑事责任。</w:t>
      </w:r>
    </w:p>
    <w:p w14:paraId="2BE15908">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投诉联系部门：XXXXXXX公司纪检监察室，联系电话0551-xxxxxxxx，举报邮箱：......</w:t>
      </w:r>
    </w:p>
    <w:p w14:paraId="1CE5E294">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（二）乙方及其工作人员违反本协议第一、三条规定。根据具体情节和造成的后果，甲方有权依据法律法规及合同约定对乙方采取以下一种或多种处理办法：</w:t>
      </w:r>
    </w:p>
    <w:p w14:paraId="31239D90">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 xml:space="preserve">1．向建设行政部门、招投标管理部门及乙方上级主管部门通报，建议作出相应处理； </w:t>
      </w:r>
    </w:p>
    <w:p w14:paraId="18A55E50">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2．甲方有权扣除乙方履约保证金全部或部分（视情节严重性而定）；</w:t>
      </w:r>
    </w:p>
    <w:p w14:paraId="0D07F84A">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3．终止或解除双方已签订的包括（不限于）本合同在内的所有合同。</w:t>
      </w:r>
    </w:p>
    <w:p w14:paraId="194588C2">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甲方作出的处理意见，乙方应无条件接受并承担给甲方造成的损失，全额返还通过不正当手段从甲方获取的非法所得，并承担相应的法律责任。</w:t>
      </w:r>
    </w:p>
    <w:p w14:paraId="12CA266A">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第五条  双方约定</w:t>
      </w:r>
    </w:p>
    <w:p w14:paraId="63BBDF79">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本协议由双方或双方上级单位负责监督。可由甲方或甲方上级单位的纪检监察部门约请乙方或乙方上级单位的纪检监察部门对本协议履行情况进行检查，提出在本协议规定范围内的裁定意见。</w:t>
      </w:r>
    </w:p>
    <w:p w14:paraId="1CE01E7B">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 xml:space="preserve">第六条  本协议有效期为甲乙双方签署之日起至合同终止。  </w:t>
      </w:r>
    </w:p>
    <w:p w14:paraId="19C3C476">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第七条  本协议作为合同的附件，与合同具有同等法律效力。</w:t>
      </w:r>
    </w:p>
    <w:p w14:paraId="78E4D42D">
      <w:pPr>
        <w:spacing w:line="500" w:lineRule="exact"/>
        <w:ind w:firstLine="420" w:firstLineChars="200"/>
        <w:rPr>
          <w:rFonts w:hint="eastAsia" w:ascii="Times New Roman" w:hAnsi="Times New Roman" w:eastAsia="宋体" w:cs="Times New Roman"/>
          <w:szCs w:val="21"/>
        </w:rPr>
      </w:pPr>
    </w:p>
    <w:p w14:paraId="5B109B83">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甲方（盖章）：                   乙方（盖章）：</w:t>
      </w:r>
    </w:p>
    <w:p w14:paraId="0ADA5C28">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法定代表人或</w:t>
      </w:r>
      <w:r>
        <w:rPr>
          <w:rFonts w:hint="eastAsia" w:ascii="Times New Roman" w:hAnsi="Times New Roman" w:eastAsia="宋体" w:cs="Times New Roman"/>
          <w:szCs w:val="21"/>
        </w:rPr>
        <w:tab/>
      </w:r>
      <w:r>
        <w:rPr>
          <w:rFonts w:hint="eastAsia" w:ascii="Times New Roman" w:hAnsi="Times New Roman" w:eastAsia="宋体" w:cs="Times New Roman"/>
          <w:szCs w:val="21"/>
        </w:rPr>
        <w:t xml:space="preserve">                    法定代表人或</w:t>
      </w:r>
    </w:p>
    <w:p w14:paraId="54A2E526">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授权代表：   (职务)               授权代表：  （职务）</w:t>
      </w:r>
    </w:p>
    <w:p w14:paraId="0764AD38">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签字：                            签字：</w:t>
      </w:r>
    </w:p>
    <w:p w14:paraId="4DB42D7E">
      <w:pPr>
        <w:spacing w:line="500" w:lineRule="exact"/>
        <w:ind w:firstLine="420" w:firstLineChars="200"/>
        <w:rPr>
          <w:rFonts w:hint="eastAsia" w:ascii="Times New Roman" w:hAnsi="Times New Roman" w:eastAsia="宋体" w:cs="Times New Roman"/>
          <w:szCs w:val="21"/>
        </w:rPr>
      </w:pPr>
    </w:p>
    <w:p w14:paraId="635C398D">
      <w:pPr>
        <w:spacing w:line="500" w:lineRule="exact"/>
        <w:ind w:firstLine="420" w:firstLineChars="200"/>
        <w:rPr>
          <w:rFonts w:hint="eastAsia" w:ascii="Times New Roman" w:hAnsi="Times New Roman" w:eastAsia="宋体" w:cs="Times New Roman"/>
          <w:szCs w:val="21"/>
        </w:rPr>
      </w:pPr>
    </w:p>
    <w:p w14:paraId="527C5FBA">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廉洁监督联系人                    廉洁监督联系人</w:t>
      </w:r>
    </w:p>
    <w:p w14:paraId="0F2FCE74">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签字：                            签字：</w:t>
      </w:r>
    </w:p>
    <w:p w14:paraId="5478F4A8">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电话：0551-                       电话：</w:t>
      </w:r>
    </w:p>
    <w:p w14:paraId="18FA1579">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 xml:space="preserve">时间：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 xml:space="preserve"> 年    月    日      时间：</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 xml:space="preserve">  年    月    日</w:t>
      </w:r>
    </w:p>
    <w:p w14:paraId="082C7D24">
      <w:pPr>
        <w:spacing w:line="360" w:lineRule="auto"/>
        <w:rPr>
          <w:rFonts w:ascii="Times New Roman" w:hAnsi="Times New Roman"/>
          <w:szCs w:val="21"/>
        </w:rPr>
      </w:pPr>
    </w:p>
    <w:p w14:paraId="145425B0">
      <w:pPr>
        <w:pStyle w:val="2"/>
        <w:pageBreakBefore/>
        <w:spacing w:before="240" w:beforeLines="100" w:after="240" w:afterLines="100" w:line="500" w:lineRule="exact"/>
        <w:jc w:val="center"/>
        <w:rPr>
          <w:rFonts w:eastAsia="黑体"/>
          <w:bCs/>
          <w:kern w:val="2"/>
          <w:sz w:val="32"/>
          <w:szCs w:val="32"/>
        </w:rPr>
      </w:pPr>
      <w:bookmarkStart w:id="417" w:name="_Toc24183"/>
      <w:r>
        <w:rPr>
          <w:rFonts w:eastAsia="黑体"/>
          <w:bCs/>
          <w:kern w:val="2"/>
          <w:sz w:val="32"/>
          <w:szCs w:val="32"/>
        </w:rPr>
        <w:t xml:space="preserve">第五章  </w:t>
      </w:r>
      <w:r>
        <w:rPr>
          <w:rFonts w:hint="eastAsia" w:eastAsia="黑体"/>
          <w:bCs/>
          <w:kern w:val="2"/>
          <w:sz w:val="32"/>
          <w:szCs w:val="32"/>
        </w:rPr>
        <w:t>招标</w:t>
      </w:r>
      <w:r>
        <w:rPr>
          <w:rFonts w:eastAsia="黑体"/>
          <w:bCs/>
          <w:kern w:val="2"/>
          <w:sz w:val="32"/>
          <w:szCs w:val="32"/>
        </w:rPr>
        <w:t>人要求</w:t>
      </w:r>
      <w:bookmarkEnd w:id="417"/>
    </w:p>
    <w:bookmarkEnd w:id="380"/>
    <w:bookmarkEnd w:id="381"/>
    <w:bookmarkEnd w:id="382"/>
    <w:bookmarkEnd w:id="383"/>
    <w:p w14:paraId="35232A7B">
      <w:pPr>
        <w:spacing w:line="400" w:lineRule="exact"/>
        <w:rPr>
          <w:rFonts w:hint="eastAsia" w:ascii="黑体" w:hAnsi="黑体" w:eastAsia="黑体" w:cs="黑体"/>
          <w:bCs/>
          <w:sz w:val="28"/>
          <w:szCs w:val="28"/>
        </w:rPr>
      </w:pPr>
      <w:bookmarkStart w:id="418" w:name="_Toc482188637"/>
      <w:r>
        <w:rPr>
          <w:rFonts w:hint="eastAsia" w:ascii="黑体" w:hAnsi="黑体" w:eastAsia="黑体" w:cs="黑体"/>
          <w:bCs/>
          <w:sz w:val="28"/>
          <w:szCs w:val="28"/>
        </w:rPr>
        <w:t>一、</w:t>
      </w:r>
      <w:bookmarkEnd w:id="418"/>
      <w:r>
        <w:rPr>
          <w:rFonts w:hint="eastAsia" w:ascii="黑体" w:hAnsi="黑体" w:eastAsia="黑体" w:cs="黑体"/>
          <w:bCs/>
          <w:sz w:val="28"/>
          <w:szCs w:val="28"/>
        </w:rPr>
        <w:t>项目概况</w:t>
      </w:r>
    </w:p>
    <w:p w14:paraId="2106EB78">
      <w:pPr>
        <w:widowControl/>
        <w:snapToGrid w:val="0"/>
        <w:spacing w:line="500" w:lineRule="exact"/>
        <w:ind w:firstLine="420" w:firstLineChars="200"/>
        <w:rPr>
          <w:rFonts w:hint="eastAsia" w:ascii="宋体" w:hAnsi="宋体"/>
          <w:color w:val="000000"/>
          <w:sz w:val="21"/>
          <w:szCs w:val="21"/>
          <w:highlight w:val="yellow"/>
        </w:rPr>
      </w:pPr>
      <w:r>
        <w:rPr>
          <w:rFonts w:hint="eastAsia" w:ascii="宋体" w:hAnsi="宋体" w:eastAsia="宋体" w:cs="Times New Roman"/>
          <w:color w:val="000000"/>
          <w:kern w:val="2"/>
          <w:sz w:val="21"/>
          <w:szCs w:val="21"/>
          <w:highlight w:val="none"/>
          <w:lang w:val="en-US" w:eastAsia="zh-CN" w:bidi="ar-SA"/>
        </w:rPr>
        <w:t>合肥市妇女儿童活动中心</w:t>
      </w:r>
      <w:r>
        <w:rPr>
          <w:rFonts w:hint="eastAsia" w:ascii="宋体" w:hAnsi="宋体" w:cs="Times New Roman"/>
          <w:color w:val="000000"/>
          <w:kern w:val="2"/>
          <w:sz w:val="21"/>
          <w:szCs w:val="21"/>
          <w:highlight w:val="none"/>
          <w:lang w:val="en-US" w:eastAsia="zh-CN" w:bidi="ar-SA"/>
        </w:rPr>
        <w:t>2026年度</w:t>
      </w:r>
      <w:r>
        <w:rPr>
          <w:rFonts w:hint="eastAsia" w:ascii="宋体" w:hAnsi="宋体"/>
          <w:color w:val="000000"/>
          <w:sz w:val="21"/>
          <w:szCs w:val="21"/>
          <w:highlight w:val="none"/>
        </w:rPr>
        <w:t>消防维保服务</w:t>
      </w:r>
      <w:r>
        <w:rPr>
          <w:rFonts w:hint="eastAsia" w:ascii="宋体" w:hAnsi="宋体"/>
          <w:color w:val="000000"/>
          <w:sz w:val="21"/>
          <w:szCs w:val="21"/>
          <w:highlight w:val="none"/>
          <w:lang w:val="en-US" w:eastAsia="zh-CN"/>
        </w:rPr>
        <w:t>项目，服务期限2026年2月-11月份，合计10个月；</w:t>
      </w:r>
      <w:r>
        <w:rPr>
          <w:rFonts w:hint="eastAsia" w:ascii="宋体" w:hAnsi="宋体" w:eastAsia="宋体" w:cs="Times New Roman"/>
          <w:color w:val="000000"/>
          <w:kern w:val="2"/>
          <w:sz w:val="21"/>
          <w:szCs w:val="21"/>
          <w:highlight w:val="none"/>
          <w:lang w:val="en-US" w:eastAsia="zh-CN" w:bidi="ar-SA"/>
        </w:rPr>
        <w:t>合肥市妇女儿童活动中心</w:t>
      </w:r>
      <w:r>
        <w:rPr>
          <w:rFonts w:hint="eastAsia" w:ascii="宋体" w:hAnsi="宋体"/>
          <w:color w:val="000000"/>
          <w:sz w:val="21"/>
          <w:szCs w:val="21"/>
          <w:highlight w:val="none"/>
        </w:rPr>
        <w:t>涉及面积</w:t>
      </w:r>
      <w:r>
        <w:rPr>
          <w:rFonts w:hint="eastAsia" w:ascii="宋体" w:hAnsi="宋体"/>
          <w:color w:val="000000"/>
          <w:sz w:val="21"/>
          <w:szCs w:val="21"/>
          <w:highlight w:val="none"/>
          <w:lang w:val="en-US" w:eastAsia="zh-CN"/>
        </w:rPr>
        <w:t>53800</w:t>
      </w:r>
      <w:r>
        <w:rPr>
          <w:rFonts w:hint="eastAsia" w:ascii="宋体" w:hAnsi="宋体"/>
          <w:color w:val="000000"/>
          <w:sz w:val="21"/>
          <w:szCs w:val="21"/>
          <w:highlight w:val="none"/>
        </w:rPr>
        <w:t>㎡</w:t>
      </w:r>
      <w:r>
        <w:rPr>
          <w:rFonts w:hint="eastAsia" w:ascii="宋体" w:hAnsi="宋体"/>
          <w:color w:val="000000"/>
          <w:sz w:val="21"/>
          <w:szCs w:val="21"/>
          <w:highlight w:val="none"/>
          <w:lang w:eastAsia="zh-CN"/>
        </w:rPr>
        <w:t>，</w:t>
      </w:r>
      <w:r>
        <w:rPr>
          <w:rFonts w:hint="eastAsia" w:ascii="宋体" w:hAnsi="宋体"/>
          <w:color w:val="000000"/>
          <w:sz w:val="21"/>
          <w:szCs w:val="21"/>
          <w:highlight w:val="none"/>
        </w:rPr>
        <w:t>包含</w:t>
      </w:r>
      <w:r>
        <w:rPr>
          <w:rFonts w:hint="eastAsia" w:ascii="宋体" w:hAnsi="宋体" w:eastAsia="宋体" w:cs="Times New Roman"/>
          <w:color w:val="000000"/>
          <w:kern w:val="2"/>
          <w:sz w:val="21"/>
          <w:szCs w:val="21"/>
          <w:highlight w:val="none"/>
          <w:lang w:val="en-US" w:eastAsia="zh-CN" w:bidi="ar-SA"/>
        </w:rPr>
        <w:t>7层综合楼及地下停车场</w:t>
      </w:r>
      <w:r>
        <w:rPr>
          <w:rFonts w:hint="eastAsia" w:ascii="宋体" w:hAnsi="宋体"/>
          <w:color w:val="000000"/>
          <w:sz w:val="21"/>
          <w:szCs w:val="21"/>
          <w:highlight w:val="none"/>
        </w:rPr>
        <w:t>（包含但不限于：火灾自动报警系统，室内外消火栓系统，自动喷水灭火系统，消防水炮系统，消防给水设施，气体灭火系统，干粉自动灭火系统，防排烟系统，消防供电系统，消防应急照明和疏散指示系统，消防广播系统，防火卷帘门，常开常闭防火门，灭火器等消防设备设施及其配套用品）。</w:t>
      </w:r>
    </w:p>
    <w:p w14:paraId="77BBB818">
      <w:pPr>
        <w:pStyle w:val="12"/>
        <w:rPr>
          <w:rFonts w:hint="eastAsia"/>
          <w:color w:val="000000"/>
        </w:rPr>
      </w:pPr>
    </w:p>
    <w:p w14:paraId="01D1FB6A">
      <w:pPr>
        <w:pStyle w:val="12"/>
        <w:rPr>
          <w:rFonts w:hint="eastAsia"/>
          <w:b/>
          <w:color w:val="000000"/>
          <w:sz w:val="24"/>
          <w:szCs w:val="24"/>
        </w:rPr>
      </w:pPr>
      <w:r>
        <w:rPr>
          <w:rFonts w:hint="eastAsia"/>
          <w:b/>
          <w:color w:val="000000"/>
          <w:sz w:val="24"/>
          <w:szCs w:val="24"/>
        </w:rPr>
        <w:t>服务范围面积明细</w:t>
      </w:r>
    </w:p>
    <w:tbl>
      <w:tblPr>
        <w:tblStyle w:val="43"/>
        <w:tblW w:w="7956"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3118"/>
        <w:gridCol w:w="1418"/>
        <w:gridCol w:w="2410"/>
      </w:tblGrid>
      <w:tr w14:paraId="5640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1010" w:type="dxa"/>
            <w:vMerge w:val="restart"/>
            <w:noWrap w:val="0"/>
            <w:vAlign w:val="center"/>
          </w:tcPr>
          <w:p w14:paraId="04D374D6">
            <w:pPr>
              <w:spacing w:line="500" w:lineRule="exact"/>
              <w:jc w:val="center"/>
              <w:rPr>
                <w:rFonts w:ascii="宋体" w:hAnsi="宋体" w:cs="仿宋"/>
                <w:b/>
                <w:color w:val="000000"/>
                <w:sz w:val="21"/>
                <w:szCs w:val="21"/>
              </w:rPr>
            </w:pPr>
            <w:r>
              <w:rPr>
                <w:rFonts w:hint="eastAsia" w:ascii="宋体" w:hAnsi="宋体" w:cs="仿宋"/>
                <w:b/>
                <w:color w:val="000000"/>
                <w:sz w:val="21"/>
                <w:szCs w:val="21"/>
              </w:rPr>
              <w:t>序号</w:t>
            </w:r>
          </w:p>
        </w:tc>
        <w:tc>
          <w:tcPr>
            <w:tcW w:w="3118" w:type="dxa"/>
            <w:vMerge w:val="restart"/>
            <w:noWrap/>
            <w:vAlign w:val="center"/>
          </w:tcPr>
          <w:p w14:paraId="7E5A2B6E">
            <w:pPr>
              <w:spacing w:line="500" w:lineRule="exact"/>
              <w:jc w:val="center"/>
              <w:rPr>
                <w:rFonts w:ascii="宋体" w:hAnsi="宋体" w:cs="仿宋"/>
                <w:b/>
                <w:color w:val="000000"/>
                <w:sz w:val="21"/>
                <w:szCs w:val="21"/>
              </w:rPr>
            </w:pPr>
            <w:r>
              <w:rPr>
                <w:rFonts w:hint="eastAsia" w:ascii="宋体" w:hAnsi="宋体" w:cs="仿宋"/>
                <w:b/>
                <w:color w:val="000000"/>
                <w:sz w:val="21"/>
                <w:szCs w:val="21"/>
              </w:rPr>
              <w:t>服务区域</w:t>
            </w:r>
          </w:p>
        </w:tc>
        <w:tc>
          <w:tcPr>
            <w:tcW w:w="1418" w:type="dxa"/>
            <w:vMerge w:val="restart"/>
            <w:noWrap w:val="0"/>
            <w:vAlign w:val="center"/>
          </w:tcPr>
          <w:p w14:paraId="00D025EF">
            <w:pPr>
              <w:spacing w:line="500" w:lineRule="exact"/>
              <w:jc w:val="center"/>
              <w:rPr>
                <w:rFonts w:ascii="宋体" w:hAnsi="宋体" w:cs="仿宋"/>
                <w:b/>
                <w:color w:val="000000"/>
                <w:sz w:val="21"/>
                <w:szCs w:val="21"/>
              </w:rPr>
            </w:pPr>
            <w:r>
              <w:rPr>
                <w:rFonts w:hint="eastAsia" w:ascii="宋体" w:hAnsi="宋体" w:cs="仿宋"/>
                <w:b/>
                <w:color w:val="000000"/>
                <w:sz w:val="21"/>
                <w:szCs w:val="21"/>
              </w:rPr>
              <w:t>规格型号</w:t>
            </w:r>
          </w:p>
        </w:tc>
        <w:tc>
          <w:tcPr>
            <w:tcW w:w="2410" w:type="dxa"/>
            <w:vMerge w:val="restart"/>
            <w:noWrap/>
            <w:vAlign w:val="center"/>
          </w:tcPr>
          <w:p w14:paraId="1D4D27FD">
            <w:pPr>
              <w:spacing w:line="500" w:lineRule="exact"/>
              <w:jc w:val="center"/>
              <w:rPr>
                <w:rFonts w:ascii="宋体" w:hAnsi="宋体" w:cs="仿宋"/>
                <w:b/>
                <w:color w:val="000000"/>
                <w:sz w:val="21"/>
                <w:szCs w:val="21"/>
              </w:rPr>
            </w:pPr>
            <w:r>
              <w:rPr>
                <w:rFonts w:hint="eastAsia" w:ascii="宋体" w:hAnsi="宋体" w:cs="仿宋"/>
                <w:b/>
                <w:color w:val="000000"/>
                <w:sz w:val="21"/>
                <w:szCs w:val="21"/>
              </w:rPr>
              <w:t>数量</w:t>
            </w:r>
          </w:p>
          <w:p w14:paraId="20269CDF">
            <w:pPr>
              <w:spacing w:line="500" w:lineRule="exact"/>
              <w:jc w:val="center"/>
              <w:rPr>
                <w:rFonts w:ascii="宋体" w:hAnsi="宋体" w:cs="仿宋"/>
                <w:b/>
                <w:color w:val="000000"/>
                <w:sz w:val="21"/>
                <w:szCs w:val="21"/>
              </w:rPr>
            </w:pPr>
            <w:r>
              <w:rPr>
                <w:rFonts w:hint="eastAsia" w:ascii="宋体" w:hAnsi="宋体" w:cs="仿宋"/>
                <w:b/>
                <w:color w:val="000000"/>
                <w:sz w:val="21"/>
                <w:szCs w:val="21"/>
              </w:rPr>
              <w:t>平方米</w:t>
            </w:r>
          </w:p>
        </w:tc>
      </w:tr>
      <w:tr w14:paraId="01D3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trPr>
        <w:tc>
          <w:tcPr>
            <w:tcW w:w="1010" w:type="dxa"/>
            <w:vMerge w:val="continue"/>
            <w:noWrap w:val="0"/>
            <w:vAlign w:val="center"/>
          </w:tcPr>
          <w:p w14:paraId="08E32F30">
            <w:pPr>
              <w:pStyle w:val="112"/>
              <w:spacing w:line="500" w:lineRule="exact"/>
              <w:jc w:val="center"/>
              <w:rPr>
                <w:rFonts w:ascii="Times New Roman" w:hAnsi="Times New Roman"/>
                <w:color w:val="000000"/>
                <w:sz w:val="21"/>
                <w:szCs w:val="21"/>
              </w:rPr>
            </w:pPr>
          </w:p>
        </w:tc>
        <w:tc>
          <w:tcPr>
            <w:tcW w:w="3118" w:type="dxa"/>
            <w:vMerge w:val="continue"/>
            <w:noWrap w:val="0"/>
            <w:vAlign w:val="center"/>
          </w:tcPr>
          <w:p w14:paraId="15A237D7">
            <w:pPr>
              <w:pStyle w:val="112"/>
              <w:spacing w:line="500" w:lineRule="exact"/>
              <w:jc w:val="center"/>
              <w:rPr>
                <w:rFonts w:ascii="Times New Roman" w:hAnsi="Times New Roman"/>
                <w:color w:val="000000"/>
                <w:sz w:val="21"/>
                <w:szCs w:val="21"/>
              </w:rPr>
            </w:pPr>
          </w:p>
        </w:tc>
        <w:tc>
          <w:tcPr>
            <w:tcW w:w="1418" w:type="dxa"/>
            <w:vMerge w:val="continue"/>
            <w:noWrap w:val="0"/>
            <w:vAlign w:val="center"/>
          </w:tcPr>
          <w:p w14:paraId="708CEFA4">
            <w:pPr>
              <w:pStyle w:val="112"/>
              <w:spacing w:line="500" w:lineRule="exact"/>
              <w:jc w:val="center"/>
              <w:rPr>
                <w:rFonts w:ascii="Times New Roman" w:hAnsi="Times New Roman"/>
                <w:color w:val="000000"/>
                <w:sz w:val="21"/>
                <w:szCs w:val="21"/>
              </w:rPr>
            </w:pPr>
          </w:p>
        </w:tc>
        <w:tc>
          <w:tcPr>
            <w:tcW w:w="2410" w:type="dxa"/>
            <w:vMerge w:val="continue"/>
            <w:noWrap w:val="0"/>
            <w:vAlign w:val="center"/>
          </w:tcPr>
          <w:p w14:paraId="19A1294B">
            <w:pPr>
              <w:pStyle w:val="112"/>
              <w:spacing w:line="500" w:lineRule="exact"/>
              <w:jc w:val="center"/>
              <w:rPr>
                <w:rFonts w:ascii="Times New Roman" w:hAnsi="Times New Roman"/>
                <w:color w:val="000000"/>
                <w:sz w:val="21"/>
                <w:szCs w:val="21"/>
              </w:rPr>
            </w:pPr>
          </w:p>
        </w:tc>
      </w:tr>
      <w:tr w14:paraId="0942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0" w:type="dxa"/>
            <w:noWrap/>
            <w:vAlign w:val="center"/>
          </w:tcPr>
          <w:p w14:paraId="3E51BDD2">
            <w:pPr>
              <w:pStyle w:val="112"/>
              <w:spacing w:line="500" w:lineRule="exact"/>
              <w:jc w:val="center"/>
              <w:rPr>
                <w:rFonts w:ascii="宋体" w:hAnsi="宋体" w:eastAsia="宋体" w:cs="仿宋"/>
                <w:bCs/>
                <w:color w:val="000000"/>
                <w:sz w:val="21"/>
                <w:szCs w:val="21"/>
              </w:rPr>
            </w:pPr>
            <w:r>
              <w:rPr>
                <w:rFonts w:hint="eastAsia" w:ascii="宋体" w:hAnsi="宋体" w:eastAsia="宋体" w:cs="仿宋"/>
                <w:bCs/>
                <w:color w:val="000000"/>
                <w:sz w:val="21"/>
                <w:szCs w:val="21"/>
              </w:rPr>
              <w:t>1</w:t>
            </w:r>
          </w:p>
        </w:tc>
        <w:tc>
          <w:tcPr>
            <w:tcW w:w="3118" w:type="dxa"/>
            <w:noWrap/>
            <w:vAlign w:val="top"/>
          </w:tcPr>
          <w:p w14:paraId="7461FEB6">
            <w:pPr>
              <w:pStyle w:val="112"/>
              <w:spacing w:line="500" w:lineRule="exact"/>
              <w:jc w:val="center"/>
              <w:rPr>
                <w:rFonts w:hint="default" w:ascii="宋体" w:hAnsi="宋体" w:eastAsia="宋体" w:cs="仿宋"/>
                <w:bCs/>
                <w:color w:val="000000"/>
                <w:sz w:val="21"/>
                <w:szCs w:val="21"/>
                <w:lang w:val="en-US" w:eastAsia="zh-CN"/>
              </w:rPr>
            </w:pPr>
            <w:r>
              <w:rPr>
                <w:rFonts w:hint="eastAsia" w:ascii="宋体" w:hAnsi="宋体" w:eastAsia="宋体" w:cs="仿宋"/>
                <w:bCs/>
                <w:color w:val="000000"/>
                <w:sz w:val="21"/>
                <w:szCs w:val="21"/>
                <w:lang w:val="en-US" w:eastAsia="zh-CN"/>
              </w:rPr>
              <w:t>合肥市妇女儿童活动中心</w:t>
            </w:r>
          </w:p>
        </w:tc>
        <w:tc>
          <w:tcPr>
            <w:tcW w:w="1418" w:type="dxa"/>
            <w:noWrap/>
            <w:vAlign w:val="center"/>
          </w:tcPr>
          <w:p w14:paraId="677CEC02">
            <w:pPr>
              <w:pStyle w:val="112"/>
              <w:spacing w:line="500" w:lineRule="exact"/>
              <w:jc w:val="center"/>
              <w:rPr>
                <w:rFonts w:hint="eastAsia" w:ascii="宋体" w:hAnsi="宋体" w:eastAsia="宋体" w:cs="仿宋"/>
                <w:bCs/>
                <w:color w:val="000000"/>
                <w:sz w:val="21"/>
                <w:szCs w:val="21"/>
                <w:lang w:val="en-US" w:eastAsia="zh-CN"/>
              </w:rPr>
            </w:pPr>
            <w:r>
              <w:rPr>
                <w:rFonts w:hint="eastAsia" w:ascii="宋体" w:hAnsi="宋体" w:eastAsia="宋体" w:cs="仿宋"/>
                <w:bCs/>
                <w:color w:val="000000"/>
                <w:sz w:val="21"/>
                <w:szCs w:val="21"/>
                <w:lang w:val="en-US" w:eastAsia="zh-CN"/>
              </w:rPr>
              <w:t>维保服务</w:t>
            </w:r>
          </w:p>
        </w:tc>
        <w:tc>
          <w:tcPr>
            <w:tcW w:w="2410" w:type="dxa"/>
            <w:noWrap/>
            <w:vAlign w:val="center"/>
          </w:tcPr>
          <w:p w14:paraId="1AA4FB01">
            <w:pPr>
              <w:pStyle w:val="112"/>
              <w:spacing w:line="500" w:lineRule="exact"/>
              <w:jc w:val="center"/>
              <w:rPr>
                <w:rFonts w:hint="default" w:ascii="宋体" w:hAnsi="宋体" w:eastAsia="宋体" w:cs="仿宋"/>
                <w:bCs/>
                <w:color w:val="000000"/>
                <w:sz w:val="21"/>
                <w:szCs w:val="21"/>
                <w:lang w:val="en-US" w:eastAsia="zh-CN"/>
              </w:rPr>
            </w:pPr>
            <w:r>
              <w:rPr>
                <w:rFonts w:hint="eastAsia" w:ascii="宋体" w:hAnsi="宋体" w:eastAsia="宋体" w:cs="仿宋"/>
                <w:bCs/>
                <w:color w:val="000000"/>
                <w:sz w:val="21"/>
                <w:szCs w:val="21"/>
                <w:lang w:val="en-US" w:eastAsia="zh-CN"/>
              </w:rPr>
              <w:t>53800</w:t>
            </w:r>
          </w:p>
        </w:tc>
      </w:tr>
      <w:tr w14:paraId="00C0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0" w:type="dxa"/>
            <w:noWrap/>
            <w:vAlign w:val="center"/>
          </w:tcPr>
          <w:p w14:paraId="7B37099C">
            <w:pPr>
              <w:pStyle w:val="112"/>
              <w:spacing w:line="500" w:lineRule="exact"/>
              <w:jc w:val="center"/>
              <w:rPr>
                <w:rFonts w:ascii="宋体" w:hAnsi="宋体" w:eastAsia="宋体" w:cs="仿宋"/>
                <w:bCs/>
                <w:color w:val="000000"/>
                <w:sz w:val="21"/>
                <w:szCs w:val="21"/>
              </w:rPr>
            </w:pPr>
            <w:r>
              <w:rPr>
                <w:rFonts w:hint="eastAsia" w:ascii="宋体" w:hAnsi="宋体" w:eastAsia="宋体" w:cs="仿宋"/>
                <w:bCs/>
                <w:color w:val="000000"/>
                <w:sz w:val="21"/>
                <w:szCs w:val="21"/>
              </w:rPr>
              <w:t>2</w:t>
            </w:r>
          </w:p>
        </w:tc>
        <w:tc>
          <w:tcPr>
            <w:tcW w:w="3118" w:type="dxa"/>
            <w:noWrap/>
            <w:vAlign w:val="center"/>
          </w:tcPr>
          <w:p w14:paraId="33345EF3">
            <w:pPr>
              <w:pStyle w:val="112"/>
              <w:spacing w:line="500" w:lineRule="exact"/>
              <w:jc w:val="center"/>
              <w:rPr>
                <w:rFonts w:ascii="宋体" w:hAnsi="宋体" w:eastAsia="宋体" w:cs="仿宋"/>
                <w:bCs/>
                <w:color w:val="000000"/>
                <w:sz w:val="21"/>
                <w:szCs w:val="21"/>
              </w:rPr>
            </w:pPr>
            <w:r>
              <w:rPr>
                <w:rFonts w:hint="eastAsia" w:ascii="宋体" w:hAnsi="宋体" w:eastAsia="宋体" w:cs="Times New Roman"/>
                <w:color w:val="000000"/>
                <w:sz w:val="21"/>
                <w:szCs w:val="21"/>
              </w:rPr>
              <w:t>消防安全评估报告</w:t>
            </w:r>
          </w:p>
        </w:tc>
        <w:tc>
          <w:tcPr>
            <w:tcW w:w="1418" w:type="dxa"/>
            <w:noWrap/>
            <w:vAlign w:val="center"/>
          </w:tcPr>
          <w:p w14:paraId="16205D10">
            <w:pPr>
              <w:pStyle w:val="112"/>
              <w:spacing w:line="500" w:lineRule="exact"/>
              <w:jc w:val="center"/>
              <w:rPr>
                <w:rFonts w:ascii="宋体" w:hAnsi="宋体" w:eastAsia="宋体" w:cs="仿宋"/>
                <w:bCs/>
                <w:color w:val="000000"/>
                <w:sz w:val="21"/>
                <w:szCs w:val="21"/>
              </w:rPr>
            </w:pPr>
            <w:r>
              <w:rPr>
                <w:rFonts w:hint="eastAsia" w:ascii="宋体" w:hAnsi="宋体" w:eastAsia="宋体" w:cs="仿宋"/>
                <w:bCs/>
                <w:color w:val="000000"/>
                <w:sz w:val="21"/>
                <w:szCs w:val="21"/>
              </w:rPr>
              <w:t>维保服务</w:t>
            </w:r>
          </w:p>
        </w:tc>
        <w:tc>
          <w:tcPr>
            <w:tcW w:w="2410" w:type="dxa"/>
            <w:noWrap/>
            <w:vAlign w:val="center"/>
          </w:tcPr>
          <w:p w14:paraId="5A6BE10C">
            <w:pPr>
              <w:pStyle w:val="112"/>
              <w:spacing w:line="500" w:lineRule="exact"/>
              <w:jc w:val="center"/>
              <w:rPr>
                <w:rFonts w:hint="default" w:ascii="宋体" w:hAnsi="宋体" w:eastAsia="宋体" w:cs="仿宋"/>
                <w:bCs/>
                <w:color w:val="000000"/>
                <w:sz w:val="21"/>
                <w:szCs w:val="21"/>
                <w:lang w:val="en-US"/>
              </w:rPr>
            </w:pPr>
            <w:r>
              <w:rPr>
                <w:rFonts w:hint="eastAsia" w:ascii="宋体" w:hAnsi="宋体" w:eastAsia="宋体" w:cs="仿宋"/>
                <w:bCs/>
                <w:color w:val="000000"/>
                <w:sz w:val="21"/>
                <w:szCs w:val="21"/>
                <w:lang w:val="en-US" w:eastAsia="zh-CN"/>
              </w:rPr>
              <w:t>53800</w:t>
            </w:r>
          </w:p>
        </w:tc>
      </w:tr>
    </w:tbl>
    <w:p w14:paraId="63D24118">
      <w:pPr>
        <w:widowControl/>
        <w:snapToGrid w:val="0"/>
        <w:spacing w:line="500" w:lineRule="exact"/>
        <w:ind w:firstLine="480" w:firstLineChars="200"/>
        <w:rPr>
          <w:rFonts w:hint="eastAsia" w:ascii="宋体" w:hAnsi="宋体"/>
          <w:color w:val="000000"/>
          <w:sz w:val="24"/>
          <w:szCs w:val="24"/>
          <w:highlight w:val="yellow"/>
        </w:rPr>
      </w:pPr>
    </w:p>
    <w:p w14:paraId="4979571E">
      <w:pPr>
        <w:numPr>
          <w:ilvl w:val="0"/>
          <w:numId w:val="5"/>
        </w:numPr>
        <w:spacing w:line="400" w:lineRule="exact"/>
        <w:rPr>
          <w:rFonts w:hint="eastAsia" w:ascii="黑体" w:hAnsi="黑体" w:eastAsia="黑体" w:cs="黑体"/>
          <w:bCs/>
          <w:sz w:val="28"/>
          <w:szCs w:val="28"/>
        </w:rPr>
      </w:pPr>
      <w:r>
        <w:rPr>
          <w:rFonts w:hint="eastAsia" w:ascii="黑体" w:hAnsi="黑体" w:eastAsia="黑体" w:cs="黑体"/>
          <w:bCs/>
          <w:sz w:val="28"/>
          <w:szCs w:val="28"/>
        </w:rPr>
        <w:t>服务内容及要求</w:t>
      </w:r>
    </w:p>
    <w:p w14:paraId="6B12A007">
      <w:pPr>
        <w:widowControl/>
        <w:snapToGrid w:val="0"/>
        <w:spacing w:line="500" w:lineRule="exact"/>
        <w:ind w:firstLine="482" w:firstLineChars="200"/>
        <w:rPr>
          <w:rFonts w:hint="eastAsia" w:ascii="宋体" w:hAnsi="宋体" w:eastAsia="宋体" w:cs="宋体"/>
          <w:b/>
          <w:color w:val="000000"/>
          <w:kern w:val="0"/>
          <w:sz w:val="24"/>
          <w:szCs w:val="24"/>
          <w:lang w:eastAsia="zh-CN"/>
        </w:rPr>
      </w:pPr>
      <w:r>
        <w:rPr>
          <w:rFonts w:hint="eastAsia" w:ascii="宋体" w:hAnsi="宋体" w:cs="宋体"/>
          <w:b/>
          <w:color w:val="000000"/>
          <w:kern w:val="0"/>
          <w:sz w:val="24"/>
          <w:szCs w:val="24"/>
          <w:lang w:bidi="ar"/>
        </w:rPr>
        <w:t>1、维修保养依据及标准</w:t>
      </w:r>
      <w:r>
        <w:rPr>
          <w:rFonts w:hint="eastAsia" w:ascii="宋体" w:hAnsi="宋体" w:cs="宋体"/>
          <w:b/>
          <w:color w:val="000000"/>
          <w:kern w:val="0"/>
          <w:sz w:val="24"/>
          <w:szCs w:val="24"/>
          <w:lang w:eastAsia="zh-CN" w:bidi="ar"/>
        </w:rPr>
        <w:t>：</w:t>
      </w:r>
    </w:p>
    <w:p w14:paraId="053BE2E4">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（1）《建筑设计防火规范》GB50016-2014</w:t>
      </w:r>
    </w:p>
    <w:p w14:paraId="5940EA7B">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（2）《火灾自动报警系统施工及验收规范》GB50166-2007</w:t>
      </w:r>
    </w:p>
    <w:p w14:paraId="1ED6AD6C">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（3）《自动喷水灭火系统施工及验收规范》GB50261-2017</w:t>
      </w:r>
    </w:p>
    <w:p w14:paraId="7C86E895">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（4）《消防给水及消火栓系统技术规范》GB50974-2014等</w:t>
      </w:r>
    </w:p>
    <w:p w14:paraId="6B4EA651">
      <w:pPr>
        <w:widowControl/>
        <w:snapToGrid w:val="0"/>
        <w:spacing w:line="500" w:lineRule="exact"/>
        <w:ind w:firstLine="482" w:firstLineChars="200"/>
        <w:rPr>
          <w:rFonts w:ascii="宋体" w:hAnsi="宋体" w:cs="宋体"/>
          <w:b/>
          <w:color w:val="000000"/>
          <w:kern w:val="0"/>
          <w:sz w:val="24"/>
          <w:szCs w:val="24"/>
        </w:rPr>
      </w:pPr>
      <w:r>
        <w:rPr>
          <w:rFonts w:hint="eastAsia" w:ascii="宋体" w:hAnsi="宋体" w:cs="宋体"/>
          <w:b/>
          <w:color w:val="000000"/>
          <w:kern w:val="0"/>
          <w:sz w:val="24"/>
          <w:szCs w:val="24"/>
          <w:lang w:bidi="ar"/>
        </w:rPr>
        <w:t>2、消防系统每月保养服务内容：</w:t>
      </w:r>
    </w:p>
    <w:p w14:paraId="2DC56578">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（1）根据设备运行情况，每月对消防设备进行维护、检测工作；</w:t>
      </w:r>
    </w:p>
    <w:p w14:paraId="367077FC">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（2）对检查、检测过程中发现的消防系统各部分存在的故障和隐患进行维修、整改；</w:t>
      </w:r>
    </w:p>
    <w:p w14:paraId="52EB3BB0">
      <w:pPr>
        <w:keepNext w:val="0"/>
        <w:keepLines w:val="0"/>
        <w:pageBreakBefore w:val="0"/>
        <w:widowControl/>
        <w:kinsoku/>
        <w:wordWrap/>
        <w:overflowPunct/>
        <w:topLinePunct w:val="0"/>
        <w:autoSpaceDE/>
        <w:autoSpaceDN/>
        <w:bidi w:val="0"/>
        <w:adjustRightInd/>
        <w:snapToGrid w:val="0"/>
        <w:spacing w:line="500" w:lineRule="exact"/>
        <w:ind w:firstLine="420" w:firstLineChars="200"/>
        <w:textAlignment w:val="auto"/>
        <w:rPr>
          <w:rFonts w:ascii="宋体" w:hAnsi="宋体" w:cs="宋体"/>
          <w:color w:val="000000"/>
          <w:kern w:val="0"/>
          <w:sz w:val="21"/>
          <w:szCs w:val="21"/>
        </w:rPr>
      </w:pPr>
      <w:r>
        <w:rPr>
          <w:rFonts w:hint="eastAsia" w:ascii="宋体" w:hAnsi="宋体" w:cs="宋体"/>
          <w:color w:val="000000"/>
          <w:kern w:val="0"/>
          <w:sz w:val="21"/>
          <w:szCs w:val="21"/>
          <w:lang w:bidi="ar"/>
        </w:rPr>
        <w:t>（3）负责配合消防系统的第三方检测工作；</w:t>
      </w:r>
    </w:p>
    <w:p w14:paraId="3C1FC0BD">
      <w:pPr>
        <w:keepNext w:val="0"/>
        <w:keepLines w:val="0"/>
        <w:pageBreakBefore w:val="0"/>
        <w:widowControl/>
        <w:kinsoku/>
        <w:wordWrap/>
        <w:overflowPunct/>
        <w:topLinePunct w:val="0"/>
        <w:autoSpaceDE/>
        <w:autoSpaceDN/>
        <w:bidi w:val="0"/>
        <w:adjustRightInd/>
        <w:snapToGrid w:val="0"/>
        <w:spacing w:line="500" w:lineRule="exact"/>
        <w:ind w:firstLine="420" w:firstLineChars="200"/>
        <w:textAlignment w:val="auto"/>
        <w:rPr>
          <w:rFonts w:hint="eastAsia" w:ascii="宋体" w:hAnsi="宋体" w:cs="宋体"/>
          <w:color w:val="000000"/>
          <w:kern w:val="0"/>
          <w:sz w:val="21"/>
          <w:szCs w:val="21"/>
          <w:lang w:eastAsia="zh-CN" w:bidi="ar"/>
        </w:rPr>
      </w:pPr>
      <w:r>
        <w:rPr>
          <w:rFonts w:hint="eastAsia" w:ascii="宋体" w:hAnsi="宋体" w:cs="宋体"/>
          <w:color w:val="000000"/>
          <w:kern w:val="0"/>
          <w:sz w:val="21"/>
          <w:szCs w:val="21"/>
          <w:lang w:val="en-US" w:eastAsia="zh-CN" w:bidi="ar"/>
        </w:rPr>
        <w:t>（4）</w:t>
      </w:r>
      <w:r>
        <w:rPr>
          <w:rFonts w:hint="eastAsia" w:ascii="宋体" w:hAnsi="宋体" w:cs="宋体"/>
          <w:color w:val="000000"/>
          <w:kern w:val="0"/>
          <w:sz w:val="21"/>
          <w:szCs w:val="21"/>
          <w:lang w:bidi="ar"/>
        </w:rPr>
        <w:t>负责更换日常备品备件</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保证系统正常工作</w:t>
      </w:r>
      <w:r>
        <w:rPr>
          <w:rFonts w:hint="eastAsia" w:ascii="宋体" w:hAnsi="宋体" w:cs="宋体"/>
          <w:color w:val="000000"/>
          <w:kern w:val="0"/>
          <w:sz w:val="21"/>
          <w:szCs w:val="21"/>
          <w:lang w:eastAsia="zh-CN" w:bidi="ar"/>
        </w:rPr>
        <w:t>；</w:t>
      </w:r>
    </w:p>
    <w:p w14:paraId="7183C75B">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5</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对系统运行过程中出现的故障在接到指令后1小时内赶到现场，对故障设备进行应急处理并及时维修使系统恢复正常工作；</w:t>
      </w:r>
    </w:p>
    <w:p w14:paraId="479D735A">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（6）</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有重大活动时派技术人员现场保驾；</w:t>
      </w:r>
    </w:p>
    <w:p w14:paraId="67D9C313">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（7）探测器清洗：对脏的探测器进行清洗；</w:t>
      </w:r>
    </w:p>
    <w:p w14:paraId="4DCE01E1">
      <w:pPr>
        <w:widowControl/>
        <w:snapToGrid w:val="0"/>
        <w:spacing w:line="500" w:lineRule="exact"/>
        <w:ind w:firstLine="420" w:firstLineChars="200"/>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（8）负责对系统进行免费升级；</w:t>
      </w:r>
    </w:p>
    <w:p w14:paraId="0424B79F">
      <w:pPr>
        <w:widowControl/>
        <w:snapToGrid w:val="0"/>
        <w:spacing w:line="500" w:lineRule="exact"/>
        <w:ind w:firstLine="420" w:firstLineChars="200"/>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（9）建立消防设施定期检查记录以及维修保养的记录档案；</w:t>
      </w:r>
    </w:p>
    <w:p w14:paraId="1E0895F1">
      <w:pPr>
        <w:widowControl/>
        <w:snapToGrid w:val="0"/>
        <w:spacing w:line="500" w:lineRule="exact"/>
        <w:ind w:firstLine="420" w:firstLineChars="200"/>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bidi="ar"/>
        </w:rPr>
        <w:t>（10）场馆重大活动前，需针对该场馆消防系统进行检测，</w:t>
      </w:r>
      <w:r>
        <w:rPr>
          <w:rFonts w:hint="eastAsia" w:ascii="宋体" w:hAnsi="宋体" w:cs="宋体"/>
          <w:color w:val="000000"/>
          <w:kern w:val="0"/>
          <w:sz w:val="21"/>
          <w:szCs w:val="21"/>
          <w:lang w:val="en-US" w:eastAsia="zh-CN" w:bidi="ar"/>
        </w:rPr>
        <w:t>确保消防设施正常运行；</w:t>
      </w:r>
    </w:p>
    <w:p w14:paraId="0C89B27D">
      <w:pPr>
        <w:widowControl/>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（11）场馆重大活动时，需对活动主办方搭建过程中的材料防火等级、防火间隔及电气防火安全等事项进行跟踪，如发现问题及时让活动搭建方整改；</w:t>
      </w:r>
    </w:p>
    <w:p w14:paraId="2B0C7BDA">
      <w:pPr>
        <w:widowControl/>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（12）场馆重大活动前，需针对该活动特征制定相应的应急预案，并组织有关演练。</w:t>
      </w:r>
    </w:p>
    <w:p w14:paraId="056D00C5">
      <w:pPr>
        <w:widowControl/>
        <w:snapToGrid w:val="0"/>
        <w:spacing w:line="500" w:lineRule="exact"/>
        <w:ind w:firstLine="482" w:firstLineChars="200"/>
        <w:rPr>
          <w:rFonts w:hint="eastAsia" w:ascii="宋体" w:hAnsi="宋体" w:eastAsia="宋体" w:cs="宋体"/>
          <w:b/>
          <w:color w:val="000000"/>
          <w:kern w:val="0"/>
          <w:sz w:val="24"/>
          <w:szCs w:val="24"/>
          <w:lang w:eastAsia="zh-CN"/>
        </w:rPr>
      </w:pPr>
      <w:r>
        <w:rPr>
          <w:rFonts w:hint="eastAsia" w:ascii="宋体" w:hAnsi="宋体" w:cs="宋体"/>
          <w:b/>
          <w:color w:val="000000"/>
          <w:kern w:val="0"/>
          <w:sz w:val="24"/>
          <w:szCs w:val="24"/>
          <w:lang w:bidi="ar"/>
        </w:rPr>
        <w:t>3、每周检维修保养工作要求</w:t>
      </w:r>
      <w:r>
        <w:rPr>
          <w:rFonts w:hint="eastAsia" w:ascii="宋体" w:hAnsi="宋体" w:cs="宋体"/>
          <w:b/>
          <w:color w:val="000000"/>
          <w:kern w:val="0"/>
          <w:sz w:val="24"/>
          <w:szCs w:val="24"/>
          <w:lang w:eastAsia="zh-CN" w:bidi="ar"/>
        </w:rPr>
        <w:t>：</w:t>
      </w:r>
    </w:p>
    <w:p w14:paraId="1B261ABB">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（1）检查主机报警情况及故障显示；</w:t>
      </w:r>
    </w:p>
    <w:p w14:paraId="0BFE255C">
      <w:pPr>
        <w:widowControl/>
        <w:tabs>
          <w:tab w:val="left" w:pos="220"/>
        </w:tabs>
        <w:spacing w:line="500" w:lineRule="exact"/>
        <w:ind w:firstLine="420" w:firstLineChars="200"/>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（2）对重点区域泵房、湿式报警阀间、高位水箱等相关设备进行巡检1次；</w:t>
      </w:r>
    </w:p>
    <w:p w14:paraId="38E8FCD5">
      <w:pPr>
        <w:widowControl/>
        <w:tabs>
          <w:tab w:val="left" w:pos="220"/>
        </w:tabs>
        <w:spacing w:line="500" w:lineRule="exact"/>
        <w:ind w:firstLine="420" w:firstLineChars="200"/>
        <w:rPr>
          <w:rFonts w:hint="eastAsia" w:ascii="宋体" w:hAnsi="宋体" w:cs="宋体"/>
          <w:color w:val="000000"/>
          <w:kern w:val="0"/>
          <w:sz w:val="21"/>
          <w:szCs w:val="21"/>
          <w:lang w:bidi="ar"/>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3</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对气体灭火系统及管道每周巡查1次；</w:t>
      </w:r>
    </w:p>
    <w:p w14:paraId="02316E71">
      <w:pPr>
        <w:widowControl/>
        <w:tabs>
          <w:tab w:val="left" w:pos="220"/>
        </w:tabs>
        <w:spacing w:line="500" w:lineRule="exact"/>
        <w:ind w:firstLine="420" w:firstLineChars="200"/>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（4）对各消防控制室巡查1次；</w:t>
      </w:r>
    </w:p>
    <w:p w14:paraId="327F08C0">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（5）处理每周检修报警故障及填写相关记录；</w:t>
      </w:r>
    </w:p>
    <w:p w14:paraId="2544D5EF">
      <w:pPr>
        <w:widowControl/>
        <w:tabs>
          <w:tab w:val="left" w:pos="220"/>
        </w:tabs>
        <w:spacing w:line="500" w:lineRule="exact"/>
        <w:ind w:firstLine="420" w:firstLineChars="200"/>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（6）对主要设施设备进行清洁除尘除锈，保持设备完整好用，清洁干净；</w:t>
      </w:r>
    </w:p>
    <w:p w14:paraId="1CDEA359">
      <w:pPr>
        <w:widowControl/>
        <w:tabs>
          <w:tab w:val="left" w:pos="220"/>
        </w:tabs>
        <w:spacing w:line="500" w:lineRule="exact"/>
        <w:ind w:firstLine="420" w:firstLineChars="200"/>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（7）对两场一馆存放蓄电池的场所进行巡查；</w:t>
      </w:r>
    </w:p>
    <w:p w14:paraId="6DEC2023">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w:t>
      </w: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）产生噪音的系统联动检测时间应与场馆开放时间错开进行。</w:t>
      </w:r>
    </w:p>
    <w:p w14:paraId="45EDCC14">
      <w:pPr>
        <w:widowControl/>
        <w:snapToGrid w:val="0"/>
        <w:spacing w:line="500" w:lineRule="exact"/>
        <w:ind w:firstLine="482" w:firstLineChars="200"/>
        <w:rPr>
          <w:rFonts w:ascii="宋体" w:hAnsi="宋体" w:cs="宋体"/>
          <w:b/>
          <w:color w:val="000000"/>
          <w:kern w:val="0"/>
          <w:sz w:val="24"/>
          <w:szCs w:val="24"/>
          <w:lang w:bidi="ar"/>
        </w:rPr>
      </w:pPr>
      <w:r>
        <w:rPr>
          <w:rFonts w:hint="eastAsia" w:ascii="宋体" w:hAnsi="宋体" w:cs="宋体"/>
          <w:b/>
          <w:color w:val="000000"/>
          <w:kern w:val="0"/>
          <w:sz w:val="24"/>
          <w:szCs w:val="24"/>
          <w:lang w:bidi="ar"/>
        </w:rPr>
        <w:t>4、每月巡查各系统及设备维修保养具体要求：</w:t>
      </w:r>
    </w:p>
    <w:p w14:paraId="082ECB88">
      <w:pPr>
        <w:widowControl/>
        <w:tabs>
          <w:tab w:val="left" w:pos="709"/>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（1）消防报警系统</w:t>
      </w:r>
    </w:p>
    <w:p w14:paraId="686F04A3">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包括消防报警及联动系统、消防电话系统、消防广播系统的管线，现场报警、警报声光设备，消防中控室设备等。</w:t>
      </w:r>
    </w:p>
    <w:p w14:paraId="3F0DA037">
      <w:pPr>
        <w:widowControl/>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①系统管线维护</w:t>
      </w:r>
    </w:p>
    <w:p w14:paraId="47DD4542">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包括：消防报警系统的回路总线、信号线、电源线、直拉线、接地线等。</w:t>
      </w:r>
    </w:p>
    <w:p w14:paraId="251E0167">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当各种线路出现故障时，依照国家有关标准测量线路的绝缘性，接地电阻，修理或更换线路管路，排除线路的短路、断路和接地故障。</w:t>
      </w:r>
    </w:p>
    <w:p w14:paraId="70AC8C3B">
      <w:pPr>
        <w:widowControl/>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②报警触发设备</w:t>
      </w:r>
    </w:p>
    <w:p w14:paraId="72DC6E61">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包括：烟感、温感、可燃气体等火灾探测器、手动报警按钮、消火栓按钮等。</w:t>
      </w:r>
    </w:p>
    <w:p w14:paraId="1ED11C7F">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保养：每月定期进行设备的清洗、除尘和接线端子的紧固等；</w:t>
      </w:r>
    </w:p>
    <w:p w14:paraId="49D2FDCB">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维修：烟感、温感探测器出现故障时，如因脏污原因，及时替换清洗探测器，如本身故障，更换探测器；手动报警器、消火栓按钮出现故障时，更换备品备件。</w:t>
      </w:r>
    </w:p>
    <w:p w14:paraId="03A1F7FF">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分批对感烟探测器、感温探测器进行测试清洗脏污的探测器；更换故障或失效的探测器，更换率为100%。每月应按场馆实际安装数量的15％～20％的比例对消防自动报警系统前端的报警设施（如：烟感、温感、手报按钮等）进行抽验，年度检测率应达到200%以上。</w:t>
      </w:r>
    </w:p>
    <w:p w14:paraId="7772B142">
      <w:pPr>
        <w:widowControl/>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③火灾警报装置</w:t>
      </w:r>
    </w:p>
    <w:p w14:paraId="5AC69513">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包括：报警闪灯、警铃、气体释放指示灯、紧急启动按钮等火灾警报设备。</w:t>
      </w:r>
    </w:p>
    <w:p w14:paraId="009AE62E">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保养：定期进行设备的除尘、接线端子的紧固等；</w:t>
      </w:r>
    </w:p>
    <w:p w14:paraId="5EA0BD15">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5A4549C3">
      <w:pPr>
        <w:widowControl/>
        <w:adjustRightInd w:val="0"/>
        <w:snapToGrid w:val="0"/>
        <w:spacing w:line="500" w:lineRule="exact"/>
        <w:ind w:firstLine="420" w:firstLineChars="200"/>
        <w:rPr>
          <w:rFonts w:ascii="宋体" w:cs="宋体"/>
          <w:color w:val="000000"/>
          <w:kern w:val="0"/>
          <w:sz w:val="21"/>
          <w:szCs w:val="21"/>
        </w:rPr>
      </w:pPr>
      <w:r>
        <w:rPr>
          <w:rFonts w:hint="eastAsia" w:ascii="宋体" w:cs="宋体"/>
          <w:color w:val="000000"/>
          <w:kern w:val="0"/>
          <w:sz w:val="21"/>
          <w:szCs w:val="21"/>
          <w:lang w:bidi="ar"/>
        </w:rPr>
        <w:t>定期检查：每月检查，填写《月检记录登记表》，分批对火灾警报装置进行测试；</w:t>
      </w:r>
    </w:p>
    <w:p w14:paraId="2E08411F">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cs="宋体"/>
          <w:color w:val="000000"/>
          <w:kern w:val="0"/>
          <w:sz w:val="21"/>
          <w:szCs w:val="21"/>
          <w:lang w:bidi="ar"/>
        </w:rPr>
        <w:t>更换故障或失效的报警按钮或报警器，更换率为100%。每月应按场馆实际安装数量的15％～20％的比例对火灾警报装置（如：</w:t>
      </w:r>
      <w:r>
        <w:rPr>
          <w:rFonts w:hint="eastAsia" w:ascii="宋体" w:hAnsi="宋体" w:cs="宋体"/>
          <w:color w:val="000000"/>
          <w:kern w:val="0"/>
          <w:sz w:val="21"/>
          <w:szCs w:val="21"/>
          <w:lang w:bidi="ar"/>
        </w:rPr>
        <w:t>报警闪灯、警铃、气体释放指示灯、紧急启动按钮</w:t>
      </w:r>
      <w:r>
        <w:rPr>
          <w:rFonts w:hint="eastAsia" w:ascii="宋体" w:cs="宋体"/>
          <w:color w:val="000000"/>
          <w:kern w:val="0"/>
          <w:sz w:val="21"/>
          <w:szCs w:val="21"/>
          <w:lang w:bidi="ar"/>
        </w:rPr>
        <w:t>等）进行抽验，年度检测率应达到200%以上。</w:t>
      </w:r>
    </w:p>
    <w:p w14:paraId="6EDAF10E">
      <w:pPr>
        <w:widowControl/>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④火灾联动装置</w:t>
      </w:r>
    </w:p>
    <w:p w14:paraId="616CD1FA">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包括：输入模块、输出模块、电话模块、隔离保护器等。</w:t>
      </w:r>
    </w:p>
    <w:p w14:paraId="71570F96">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保养：定期进行设备的除尘、接线端子的紧固等；</w:t>
      </w:r>
    </w:p>
    <w:p w14:paraId="4BFE35A7">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0006E7C0">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定期检查：每月对各区域进行联动功能测试，年度覆盖率不低于200%。</w:t>
      </w:r>
    </w:p>
    <w:p w14:paraId="276D5154">
      <w:pPr>
        <w:widowControl/>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⑤火灾报警控制主机、水炮主机、电气火灾报警主机、应急照明主机</w:t>
      </w:r>
    </w:p>
    <w:p w14:paraId="25C3941D">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包括：火灾报警及联动控制主机、水炮主机、电气火灾报警主机、应急照明主机。</w:t>
      </w:r>
    </w:p>
    <w:p w14:paraId="642E7516">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保养：每月进行UPS</w:t>
      </w:r>
      <w:r>
        <w:rPr>
          <w:rFonts w:hint="eastAsia" w:ascii="宋体" w:hAnsi="宋体" w:cs="宋体"/>
          <w:color w:val="000000"/>
          <w:kern w:val="0"/>
          <w:sz w:val="21"/>
          <w:szCs w:val="21"/>
          <w:lang w:val="en-US" w:eastAsia="zh-CN" w:bidi="ar"/>
        </w:rPr>
        <w:t>及EPS</w:t>
      </w:r>
      <w:r>
        <w:rPr>
          <w:rFonts w:hint="eastAsia" w:ascii="宋体" w:hAnsi="宋体" w:cs="宋体"/>
          <w:color w:val="000000"/>
          <w:kern w:val="0"/>
          <w:sz w:val="21"/>
          <w:szCs w:val="21"/>
          <w:lang w:bidi="ar"/>
        </w:rPr>
        <w:t>主板、回路板、电源板等功能电路板清洗、除尘及线路插接的固定；硬件设备的通风散热；电脑、UPS</w:t>
      </w:r>
      <w:r>
        <w:rPr>
          <w:rFonts w:hint="eastAsia" w:ascii="宋体" w:hAnsi="宋体" w:cs="宋体"/>
          <w:color w:val="000000"/>
          <w:kern w:val="0"/>
          <w:sz w:val="21"/>
          <w:szCs w:val="21"/>
          <w:lang w:val="en-US" w:eastAsia="zh-CN" w:bidi="ar"/>
        </w:rPr>
        <w:t>及EPS</w:t>
      </w:r>
      <w:r>
        <w:rPr>
          <w:rFonts w:hint="eastAsia" w:ascii="宋体" w:hAnsi="宋体" w:cs="宋体"/>
          <w:color w:val="000000"/>
          <w:kern w:val="0"/>
          <w:sz w:val="21"/>
          <w:szCs w:val="21"/>
          <w:lang w:bidi="ar"/>
        </w:rPr>
        <w:t>硬件的清洗、除尘及端子连接的固定；按需求对各类主机软件进行升级、维护；</w:t>
      </w:r>
    </w:p>
    <w:p w14:paraId="3607DDCC">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主机的报警、监控出现故障时，分别检查主机回路板和异常的报警点和监控点，更换出现故障的主机回路板或有故障的报警点和监控点；电池出现故障时，检查其外观，判断有无漏液；测量电压。如电池液泄漏或电压过低，无法上充，则更换电池；主机的联动出现故障时，分别检查联动控制板和联动控制点，更换出现故障的器件；主机的图形功能出现故障时，检查电脑的软硬件功能，修理出现故障的电脑软硬件；消防系统用电脑出现故障时，检查电脑的软硬件，修理电脑硬件部分，重新安装电脑软件，恢复电脑的功能；UPS</w:t>
      </w:r>
      <w:r>
        <w:rPr>
          <w:rFonts w:hint="eastAsia" w:ascii="宋体" w:hAnsi="宋体" w:cs="宋体"/>
          <w:color w:val="000000"/>
          <w:kern w:val="0"/>
          <w:sz w:val="21"/>
          <w:szCs w:val="21"/>
          <w:lang w:val="en-US" w:eastAsia="zh-CN" w:bidi="ar"/>
        </w:rPr>
        <w:t>及EPS</w:t>
      </w:r>
      <w:r>
        <w:rPr>
          <w:rFonts w:hint="eastAsia" w:ascii="宋体" w:hAnsi="宋体" w:cs="宋体"/>
          <w:color w:val="000000"/>
          <w:kern w:val="0"/>
          <w:sz w:val="21"/>
          <w:szCs w:val="21"/>
          <w:lang w:bidi="ar"/>
        </w:rPr>
        <w:t>出现故障时，联系生产厂家进行修理；</w:t>
      </w:r>
    </w:p>
    <w:p w14:paraId="7203BEE4">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每月检查，填写《月检记录登记表》，每月对消防控制室主、备电源检查，切断主电源，电池运行状态，看主电源是否换到备用电源供电；报警记忆、报警显示、系统自检、火警优先、故障报警、消音复位、主备电源切换等功能进行检查；</w:t>
      </w:r>
    </w:p>
    <w:p w14:paraId="43DD2C73">
      <w:pPr>
        <w:widowControl/>
        <w:tabs>
          <w:tab w:val="left" w:pos="1980"/>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⑥消防联动控制台</w:t>
      </w:r>
    </w:p>
    <w:p w14:paraId="415CF707">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包括：消防联动控制盘、电源等设备。</w:t>
      </w:r>
    </w:p>
    <w:p w14:paraId="2F681DF0">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保养：控制柜内布线、除尘、通风散热；控制柜内布线、除尘、台面信号显示故障处理、电源、接地保护等。</w:t>
      </w:r>
    </w:p>
    <w:p w14:paraId="7911AF2F">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48EE6DA6">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每月检查，填写《月检记录登记表》，每月对所有联动控制台</w:t>
      </w:r>
      <w:r>
        <w:rPr>
          <w:rFonts w:hint="eastAsia" w:ascii="宋体" w:hAnsi="宋体" w:cs="宋体"/>
          <w:color w:val="000000"/>
          <w:kern w:val="0"/>
          <w:sz w:val="21"/>
          <w:szCs w:val="21"/>
          <w:lang w:bidi="ar"/>
        </w:rPr>
        <w:t>自动或手动检查其控制显示功能。</w:t>
      </w:r>
    </w:p>
    <w:p w14:paraId="5CE4AA4D">
      <w:pPr>
        <w:widowControl/>
        <w:tabs>
          <w:tab w:val="left" w:pos="1980"/>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⑦消防通讯设备</w:t>
      </w:r>
    </w:p>
    <w:p w14:paraId="62EC77D5">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包括：消防电话主机、电话插孔、电话分机等。</w:t>
      </w:r>
    </w:p>
    <w:p w14:paraId="4B90CC60">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保养：设备除尘，电话柜内布线维护。</w:t>
      </w:r>
    </w:p>
    <w:p w14:paraId="530327B5">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570B6963">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每月检查，填写《月检记录登记表》，每月</w:t>
      </w:r>
      <w:r>
        <w:rPr>
          <w:rFonts w:hint="eastAsia" w:ascii="宋体" w:hAnsi="宋体" w:cs="宋体"/>
          <w:color w:val="000000"/>
          <w:kern w:val="0"/>
          <w:sz w:val="21"/>
          <w:szCs w:val="21"/>
          <w:lang w:bidi="ar"/>
        </w:rPr>
        <w:t>手动检查消防通讯设备报警及通话功能，年度检测率大于200%。</w:t>
      </w:r>
    </w:p>
    <w:p w14:paraId="2CB37CB4">
      <w:pPr>
        <w:widowControl/>
        <w:tabs>
          <w:tab w:val="left" w:pos="1980"/>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⑧消防广播设备</w:t>
      </w:r>
    </w:p>
    <w:p w14:paraId="4D55DEAB">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包括：消防广播主机、电话插孔、电话分机等。</w:t>
      </w:r>
    </w:p>
    <w:p w14:paraId="626BC084">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保养：设备除尘，广播柜内布线维护。</w:t>
      </w:r>
    </w:p>
    <w:p w14:paraId="23BA94B6">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7B4CE7EB">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每月检查，填写《月检记录登记表》，每月按场馆实际安装数量的15%-20%的比例，</w:t>
      </w:r>
      <w:r>
        <w:rPr>
          <w:rFonts w:hint="eastAsia" w:ascii="宋体" w:hAnsi="宋体" w:cs="宋体"/>
          <w:color w:val="000000"/>
          <w:kern w:val="0"/>
          <w:sz w:val="21"/>
          <w:szCs w:val="21"/>
          <w:lang w:bidi="ar"/>
        </w:rPr>
        <w:t>手动检查消防应急广播与背景音乐切换功能，年度检测率大于200%。</w:t>
      </w:r>
    </w:p>
    <w:p w14:paraId="284331B8">
      <w:pPr>
        <w:widowControl/>
        <w:tabs>
          <w:tab w:val="left" w:pos="709"/>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（2）消防自动喷水系统、消火栓系统</w:t>
      </w:r>
    </w:p>
    <w:p w14:paraId="7B56AF81">
      <w:pPr>
        <w:widowControl/>
        <w:adjustRightInd w:val="0"/>
        <w:spacing w:line="500" w:lineRule="exact"/>
        <w:ind w:firstLine="420" w:firstLineChars="200"/>
        <w:rPr>
          <w:rFonts w:ascii="宋体" w:hAnsi="宋体" w:cs="宋体"/>
          <w:color w:val="000000"/>
          <w:kern w:val="0"/>
          <w:sz w:val="21"/>
          <w:szCs w:val="21"/>
        </w:rPr>
      </w:pPr>
      <w:r>
        <w:rPr>
          <w:rFonts w:hint="eastAsia" w:ascii="宋体" w:hAnsi="宋体" w:cs="宋体"/>
          <w:bCs/>
          <w:color w:val="000000"/>
          <w:kern w:val="0"/>
          <w:sz w:val="21"/>
          <w:szCs w:val="21"/>
          <w:lang w:bidi="ar"/>
        </w:rPr>
        <w:t>包括：</w:t>
      </w:r>
      <w:r>
        <w:rPr>
          <w:rFonts w:hint="eastAsia" w:ascii="宋体" w:hAnsi="宋体" w:cs="宋体"/>
          <w:color w:val="000000"/>
          <w:kern w:val="0"/>
          <w:sz w:val="21"/>
          <w:szCs w:val="21"/>
          <w:lang w:bidi="ar"/>
        </w:rPr>
        <w:t>消防泵、喷淋泵、水炮泵、</w:t>
      </w:r>
      <w:r>
        <w:rPr>
          <w:rFonts w:hint="eastAsia" w:ascii="宋体" w:hAnsi="宋体" w:cs="宋体"/>
          <w:color w:val="000000"/>
          <w:kern w:val="0"/>
          <w:sz w:val="21"/>
          <w:szCs w:val="21"/>
          <w:highlight w:val="none"/>
          <w:lang w:bidi="ar"/>
        </w:rPr>
        <w:t>水泵接合器</w:t>
      </w:r>
      <w:r>
        <w:rPr>
          <w:rFonts w:hint="eastAsia" w:ascii="宋体" w:hAnsi="宋体" w:cs="宋体"/>
          <w:color w:val="000000"/>
          <w:kern w:val="0"/>
          <w:sz w:val="21"/>
          <w:szCs w:val="21"/>
          <w:lang w:bidi="ar"/>
        </w:rPr>
        <w:t>、增压稳压设备、湿式报警阀、加压阀、消防水池、消防水箱水流指示器、信号阀、闸阀、蝶阀、自动排气阀、末端试水装置、喷头、消火栓箱及组件、系统管线等。</w:t>
      </w:r>
    </w:p>
    <w:p w14:paraId="2EEB0307">
      <w:pPr>
        <w:widowControl/>
        <w:adjustRightInd w:val="0"/>
        <w:spacing w:line="500" w:lineRule="exact"/>
        <w:ind w:firstLine="420" w:firstLineChars="200"/>
        <w:rPr>
          <w:rFonts w:ascii="宋体" w:hAnsi="宋体" w:cs="宋体"/>
          <w:color w:val="000000"/>
          <w:kern w:val="0"/>
          <w:sz w:val="21"/>
          <w:szCs w:val="21"/>
        </w:rPr>
      </w:pPr>
      <w:r>
        <w:rPr>
          <w:rFonts w:hint="eastAsia" w:ascii="宋体" w:hAnsi="宋体" w:cs="宋体"/>
          <w:bCs/>
          <w:color w:val="000000"/>
          <w:kern w:val="0"/>
          <w:sz w:val="21"/>
          <w:szCs w:val="21"/>
          <w:lang w:bidi="ar"/>
        </w:rPr>
        <w:t>保养：</w:t>
      </w:r>
      <w:r>
        <w:rPr>
          <w:rFonts w:hint="eastAsia" w:ascii="宋体" w:hAnsi="宋体" w:cs="宋体"/>
          <w:color w:val="000000"/>
          <w:kern w:val="0"/>
          <w:sz w:val="21"/>
          <w:szCs w:val="21"/>
          <w:lang w:bidi="ar"/>
        </w:rPr>
        <w:t>每月进行消防泵、喷淋泵、水炮泵、水泵接合器、增压稳压设备、湿式报警阀、加压阀、消防水池、消防水箱水流指示器、信号阀、闸阀、蝶阀、自动排气阀、末端试水装置、喷头、消火栓箱及组件、系统管线的润滑、防锈；消防泵、喷淋泵、水炮泵设备的润滑、防锈、防腐蚀。</w:t>
      </w:r>
    </w:p>
    <w:p w14:paraId="06F94D8A">
      <w:pPr>
        <w:widowControl/>
        <w:tabs>
          <w:tab w:val="left" w:pos="851"/>
        </w:tabs>
        <w:adjustRightInd w:val="0"/>
        <w:spacing w:line="500" w:lineRule="exact"/>
        <w:ind w:firstLine="420" w:firstLineChars="200"/>
        <w:rPr>
          <w:rFonts w:ascii="宋体" w:hAnsi="宋体" w:cs="宋体"/>
          <w:bCs/>
          <w:color w:val="000000"/>
          <w:kern w:val="0"/>
          <w:sz w:val="21"/>
          <w:szCs w:val="21"/>
        </w:rPr>
      </w:pPr>
      <w:r>
        <w:rPr>
          <w:rFonts w:hint="eastAsia" w:ascii="宋体" w:hAnsi="宋体" w:cs="宋体"/>
          <w:bCs/>
          <w:color w:val="000000"/>
          <w:kern w:val="0"/>
          <w:sz w:val="21"/>
          <w:szCs w:val="21"/>
          <w:lang w:bidi="ar"/>
        </w:rPr>
        <w:t>维修：</w:t>
      </w:r>
      <w:r>
        <w:rPr>
          <w:rFonts w:hint="eastAsia" w:ascii="宋体" w:hAnsi="宋体" w:cs="宋体"/>
          <w:color w:val="000000"/>
          <w:kern w:val="0"/>
          <w:sz w:val="21"/>
          <w:szCs w:val="21"/>
          <w:lang w:bidi="ar"/>
        </w:rPr>
        <w:t>消防泵、喷淋泵、水炮泵、</w:t>
      </w:r>
      <w:r>
        <w:rPr>
          <w:rFonts w:hint="eastAsia" w:ascii="宋体" w:hAnsi="宋体" w:cs="宋体"/>
          <w:color w:val="000000"/>
          <w:kern w:val="0"/>
          <w:sz w:val="21"/>
          <w:szCs w:val="21"/>
          <w:highlight w:val="none"/>
          <w:lang w:bidi="ar"/>
        </w:rPr>
        <w:t>水泵接合器</w:t>
      </w:r>
      <w:r>
        <w:rPr>
          <w:rFonts w:hint="eastAsia" w:ascii="宋体" w:hAnsi="宋体" w:cs="宋体"/>
          <w:color w:val="000000"/>
          <w:kern w:val="0"/>
          <w:sz w:val="21"/>
          <w:szCs w:val="21"/>
          <w:lang w:bidi="ar"/>
        </w:rPr>
        <w:t>、增压稳压设备、湿式报警阀、加压阀、消防水池、消防水箱水流指示器、信号阀、闸阀、蝶阀、自动排气阀、末端试水装置、喷头、消火栓箱及组件、系统管线出现故障时，及时维修或更换全部故障或失效的设备；各类水喷头上有异物时及时清除、各类水喷头出现漏水或喷水故障时，如因密封不严造成，则重新紧固喷头；如喷头损坏，更换喷头；消火栓箱即组件出现损坏时，及时更换破损组件，保证消火栓箱完好；联动控制水泵、水流指示器联动等方式出现故障时，检查泵控制模块和界面、泵运行反馈信号模块和界面；更换全部故障或失效的模块和界面；更换锈蚀、渗漏的管道，紧固支吊架；系统上各类阀的铅封、锁链有破损或者损坏的及时修理更换。</w:t>
      </w:r>
    </w:p>
    <w:p w14:paraId="1863F7F3">
      <w:pPr>
        <w:widowControl/>
        <w:tabs>
          <w:tab w:val="left" w:pos="851"/>
        </w:tabs>
        <w:adjustRightInd w:val="0"/>
        <w:spacing w:line="500" w:lineRule="exact"/>
        <w:ind w:firstLine="420" w:firstLineChars="200"/>
        <w:rPr>
          <w:rFonts w:ascii="宋体" w:hAnsi="宋体" w:cs="宋体"/>
          <w:color w:val="000000"/>
          <w:kern w:val="0"/>
          <w:sz w:val="21"/>
          <w:szCs w:val="21"/>
        </w:rPr>
      </w:pPr>
      <w:r>
        <w:rPr>
          <w:rFonts w:hint="eastAsia" w:ascii="宋体" w:hAnsi="宋体" w:cs="宋体"/>
          <w:bCs/>
          <w:color w:val="000000"/>
          <w:kern w:val="0"/>
          <w:sz w:val="21"/>
          <w:szCs w:val="21"/>
          <w:lang w:bidi="ar"/>
        </w:rPr>
        <w:t>定期检查：</w:t>
      </w:r>
      <w:r>
        <w:rPr>
          <w:rFonts w:hint="eastAsia" w:ascii="宋体" w:hAnsi="宋体" w:cs="宋体"/>
          <w:color w:val="000000"/>
          <w:kern w:val="0"/>
          <w:sz w:val="21"/>
          <w:szCs w:val="21"/>
          <w:lang w:bidi="ar"/>
        </w:rPr>
        <w:t>每月检查，填写《月检记录登记表》，每月对工作泵、备用泵转换运行不</w:t>
      </w:r>
      <w:r>
        <w:rPr>
          <w:rFonts w:hint="eastAsia" w:ascii="宋体" w:cs="宋体"/>
          <w:color w:val="000000"/>
          <w:kern w:val="0"/>
          <w:sz w:val="21"/>
          <w:szCs w:val="21"/>
          <w:lang w:bidi="ar"/>
        </w:rPr>
        <w:t>少于1次，每月在消防控制室内操作启、停泵不少于1次，每月应对消防泵、喷淋泵、水炮泵、水泵接合器、增压稳压设备、湿式报警阀、加压阀、消防水池、消防水箱水流指示器、信号阀、闸阀、蝶阀、自动排气阀、末端试水装置、喷头、消火栓箱及组件水流指示器、等按实际安装数量的15％～20％的比例进行试验，年度检测率应达到200%以上。</w:t>
      </w:r>
    </w:p>
    <w:p w14:paraId="440AACF4">
      <w:pPr>
        <w:widowControl/>
        <w:tabs>
          <w:tab w:val="left" w:pos="709"/>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（3）气体灭火系统</w:t>
      </w:r>
    </w:p>
    <w:p w14:paraId="1BC6B6DD">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包括：七氟丙烷钢瓶、氮气启动瓶、气体灭火控制箱、手动紧急按钮、放气指示灯及系统管路等。</w:t>
      </w:r>
    </w:p>
    <w:p w14:paraId="5BADF237">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保养：对钢瓶、阀门等重要设备定期做防尘、润滑、防锈处理，增压启动装置的压力检查、灭火剂储存钢瓶的压力、重量检查，管线连接的紧固。</w:t>
      </w:r>
    </w:p>
    <w:p w14:paraId="1400E33C">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维修：对气瓶储存压力低于设计压力时，补充压力，维修更换单向阀、选择阀等阀门，检查灭火剂重量是否符合设计要求，灭火剂净重不小于设计量的95%，如有泄露，及时提出维修方案，由</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负责确认是否维修。</w:t>
      </w:r>
    </w:p>
    <w:p w14:paraId="77948CA5">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每月进行灭火剂储存装置外观检查，选择阀外观检查，单向阀的外观检查，高压软管的外观检查，集流管的外观检查电磁启动阀的外观检查，启动管路的外观检查及各喷嘴孔口检查。</w:t>
      </w:r>
    </w:p>
    <w:p w14:paraId="435DE10E">
      <w:pPr>
        <w:widowControl/>
        <w:tabs>
          <w:tab w:val="left" w:pos="709"/>
        </w:tabs>
        <w:snapToGrid w:val="0"/>
        <w:spacing w:line="500" w:lineRule="exact"/>
        <w:ind w:left="482"/>
        <w:rPr>
          <w:rFonts w:ascii="宋体" w:hAnsi="宋体" w:cs="宋体"/>
          <w:b/>
          <w:color w:val="000000"/>
          <w:kern w:val="0"/>
          <w:sz w:val="21"/>
          <w:szCs w:val="21"/>
        </w:rPr>
      </w:pPr>
      <w:r>
        <w:rPr>
          <w:rFonts w:hint="eastAsia" w:ascii="宋体" w:hAnsi="宋体" w:cs="宋体"/>
          <w:b/>
          <w:bCs/>
          <w:color w:val="000000"/>
          <w:kern w:val="0"/>
          <w:sz w:val="21"/>
          <w:szCs w:val="21"/>
          <w:lang w:bidi="ar"/>
        </w:rPr>
        <w:t>（4）防火卷帘</w:t>
      </w:r>
      <w:r>
        <w:rPr>
          <w:rFonts w:hint="eastAsia" w:ascii="宋体" w:hAnsi="宋体" w:cs="宋体"/>
          <w:b/>
          <w:color w:val="000000"/>
          <w:kern w:val="0"/>
          <w:sz w:val="21"/>
          <w:szCs w:val="21"/>
          <w:lang w:bidi="ar"/>
        </w:rPr>
        <w:t>系统</w:t>
      </w:r>
    </w:p>
    <w:p w14:paraId="4CC03A3D">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包括：防火卷帘门、配电箱、卷帘电源箱、控制按钮及系统管路等。</w:t>
      </w:r>
    </w:p>
    <w:p w14:paraId="4B862421">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保养：设备除尘，电源箱内布线维护，卷帘反馈信号测试。</w:t>
      </w:r>
    </w:p>
    <w:p w14:paraId="0A36BD70">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19218C2F">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w:t>
      </w:r>
      <w:r>
        <w:rPr>
          <w:rFonts w:hint="eastAsia" w:ascii="宋体" w:hAnsi="宋体" w:cs="宋体"/>
          <w:color w:val="000000"/>
          <w:kern w:val="0"/>
          <w:sz w:val="21"/>
          <w:szCs w:val="21"/>
          <w:lang w:bidi="ar"/>
        </w:rPr>
        <w:t>每月应按实际安装数量的15～20％的比例检验防火卷帘的联动控制功能，其控制功能、信号反馈均应正常，每月应定期检查该系统的配电箱，自动控制系统，电气线路及机械系统，年度检测率应达到200%以上。</w:t>
      </w:r>
    </w:p>
    <w:p w14:paraId="3073E5A7">
      <w:pPr>
        <w:widowControl/>
        <w:tabs>
          <w:tab w:val="left" w:pos="709"/>
        </w:tabs>
        <w:snapToGrid w:val="0"/>
        <w:spacing w:line="500" w:lineRule="exact"/>
        <w:ind w:left="482"/>
        <w:rPr>
          <w:rFonts w:ascii="宋体" w:hAnsi="宋体" w:cs="宋体"/>
          <w:b/>
          <w:bCs/>
          <w:color w:val="000000"/>
          <w:kern w:val="0"/>
          <w:sz w:val="21"/>
          <w:szCs w:val="21"/>
        </w:rPr>
      </w:pPr>
      <w:r>
        <w:rPr>
          <w:rFonts w:hint="eastAsia" w:ascii="宋体" w:hAnsi="宋体" w:cs="宋体"/>
          <w:b/>
          <w:bCs/>
          <w:color w:val="000000"/>
          <w:kern w:val="0"/>
          <w:sz w:val="21"/>
          <w:szCs w:val="21"/>
          <w:lang w:bidi="ar"/>
        </w:rPr>
        <w:t>（5）火灾应急照明及疏散标志系统</w:t>
      </w:r>
    </w:p>
    <w:p w14:paraId="7235FA8C">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包括：应急灯、疏散指示标志、配电箱、控制箱、蓄电池组及系统管路等。</w:t>
      </w:r>
    </w:p>
    <w:p w14:paraId="0306C0FB">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保养：设备除尘，配电箱、控制箱内布线维护。</w:t>
      </w:r>
    </w:p>
    <w:p w14:paraId="134E1B8E">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6459B472">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w:t>
      </w:r>
      <w:r>
        <w:rPr>
          <w:rFonts w:hint="eastAsia" w:ascii="宋体" w:hAnsi="宋体" w:cs="宋体"/>
          <w:color w:val="000000"/>
          <w:kern w:val="0"/>
          <w:sz w:val="21"/>
          <w:szCs w:val="21"/>
          <w:lang w:bidi="ar"/>
        </w:rPr>
        <w:t>每月需检查按场馆安装的实际数量15%-20%的比例对</w:t>
      </w:r>
      <w:r>
        <w:rPr>
          <w:rFonts w:hint="eastAsia" w:ascii="Arial" w:hAnsi="Arial" w:cs="宋体"/>
          <w:color w:val="000000"/>
          <w:kern w:val="0"/>
          <w:sz w:val="21"/>
          <w:szCs w:val="21"/>
          <w:lang w:bidi="ar"/>
        </w:rPr>
        <w:t>应急照明系统的应急灯具、疏散标牌、系统的配管、线路、断电切换点亮功能进行检查，年度检测率应达</w:t>
      </w:r>
      <w:r>
        <w:rPr>
          <w:rFonts w:hint="eastAsia" w:ascii="宋体" w:hAnsi="宋体" w:cs="宋体"/>
          <w:color w:val="000000"/>
          <w:kern w:val="0"/>
          <w:sz w:val="21"/>
          <w:szCs w:val="21"/>
          <w:lang w:bidi="ar"/>
        </w:rPr>
        <w:t>到200%以上。</w:t>
      </w:r>
    </w:p>
    <w:p w14:paraId="57AF6109">
      <w:pPr>
        <w:widowControl/>
        <w:tabs>
          <w:tab w:val="left" w:pos="709"/>
        </w:tabs>
        <w:snapToGrid w:val="0"/>
        <w:spacing w:line="500" w:lineRule="exact"/>
        <w:ind w:left="482"/>
        <w:rPr>
          <w:rFonts w:ascii="宋体" w:hAnsi="宋体" w:cs="宋体"/>
          <w:b/>
          <w:color w:val="000000"/>
          <w:kern w:val="0"/>
          <w:sz w:val="21"/>
          <w:szCs w:val="21"/>
        </w:rPr>
      </w:pPr>
      <w:r>
        <w:rPr>
          <w:rFonts w:hint="eastAsia" w:ascii="宋体" w:hAnsi="宋体" w:cs="宋体"/>
          <w:b/>
          <w:color w:val="000000"/>
          <w:kern w:val="0"/>
          <w:sz w:val="21"/>
          <w:szCs w:val="21"/>
          <w:lang w:bidi="ar"/>
        </w:rPr>
        <w:t>（6）</w:t>
      </w:r>
      <w:r>
        <w:rPr>
          <w:rFonts w:hint="eastAsia" w:ascii="宋体" w:hAnsi="宋体" w:cs="宋体"/>
          <w:b/>
          <w:bCs/>
          <w:color w:val="000000"/>
          <w:kern w:val="0"/>
          <w:sz w:val="21"/>
          <w:szCs w:val="21"/>
          <w:lang w:bidi="ar"/>
        </w:rPr>
        <w:t>防排烟系统</w:t>
      </w:r>
      <w:r>
        <w:rPr>
          <w:rFonts w:hint="eastAsia" w:ascii="宋体" w:hAnsi="宋体" w:cs="宋体"/>
          <w:b/>
          <w:color w:val="000000"/>
          <w:kern w:val="0"/>
          <w:sz w:val="21"/>
          <w:szCs w:val="21"/>
          <w:lang w:bidi="ar"/>
        </w:rPr>
        <w:t>系统</w:t>
      </w:r>
    </w:p>
    <w:p w14:paraId="708001E5">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包括：排烟机、正压送风机、配电控制柜、排烟阀、正压送风阀、防火阀及系统管路等。</w:t>
      </w:r>
    </w:p>
    <w:p w14:paraId="5222C5BE">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保养：设备除尘，配电控制柜内布线维护。</w:t>
      </w:r>
    </w:p>
    <w:p w14:paraId="47AF8780">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44730AB0">
      <w:pPr>
        <w:widowControl/>
        <w:adjustRightInd w:val="0"/>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w:t>
      </w:r>
      <w:r>
        <w:rPr>
          <w:rFonts w:hint="eastAsia" w:ascii="宋体" w:hAnsi="宋体" w:cs="宋体"/>
          <w:color w:val="000000"/>
          <w:kern w:val="0"/>
          <w:sz w:val="21"/>
          <w:szCs w:val="21"/>
          <w:lang w:bidi="ar"/>
        </w:rPr>
        <w:t>每月检查应按实际安装数量的15％～20％的比例进行联动控制功能检查，每月检查该系统的消防风机配电箱，自动控制系统、机械系统等，年度检测率应达到200%以上。</w:t>
      </w:r>
    </w:p>
    <w:p w14:paraId="4152370D">
      <w:pPr>
        <w:widowControl/>
        <w:tabs>
          <w:tab w:val="left" w:pos="709"/>
        </w:tabs>
        <w:snapToGrid w:val="0"/>
        <w:spacing w:line="500" w:lineRule="exact"/>
        <w:ind w:left="482"/>
        <w:rPr>
          <w:rFonts w:ascii="宋体" w:hAnsi="宋体" w:cs="宋体"/>
          <w:b/>
          <w:color w:val="000000"/>
          <w:kern w:val="0"/>
          <w:sz w:val="21"/>
          <w:szCs w:val="21"/>
        </w:rPr>
      </w:pPr>
      <w:r>
        <w:rPr>
          <w:rFonts w:hint="eastAsia" w:ascii="宋体" w:hAnsi="宋体" w:cs="宋体"/>
          <w:b/>
          <w:color w:val="000000"/>
          <w:kern w:val="0"/>
          <w:sz w:val="21"/>
          <w:szCs w:val="21"/>
          <w:lang w:bidi="ar"/>
        </w:rPr>
        <w:t>（7）</w:t>
      </w:r>
      <w:r>
        <w:rPr>
          <w:rFonts w:hint="eastAsia" w:ascii="宋体" w:hAnsi="宋体" w:cs="宋体"/>
          <w:b/>
          <w:bCs/>
          <w:color w:val="000000"/>
          <w:kern w:val="0"/>
          <w:sz w:val="21"/>
          <w:szCs w:val="21"/>
          <w:lang w:bidi="ar"/>
        </w:rPr>
        <w:t>疏散通道</w:t>
      </w:r>
    </w:p>
    <w:p w14:paraId="26997BB3">
      <w:pPr>
        <w:widowControl/>
        <w:adjustRightInd w:val="0"/>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包括：安全出口、防火门、疏散楼梯、天桥、逃生孔以及疏散保护区域等</w:t>
      </w:r>
    </w:p>
    <w:p w14:paraId="30946FB7">
      <w:pPr>
        <w:widowControl/>
        <w:adjustRightInd w:val="0"/>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定期检查：每月检查，填写《月检记录登记表》，每月检查消防设施、器材或者消防安全标志的配置、设置是否符合国家标准、行业标准，是否保持完好有效的；损坏、挪用或者擅自拆除、停用消防设施、器材的；是否存在占用、堵塞、封闭疏散通道、安全出口或者有其他妨碍安全疏散行为的；是否埋压、圈占、遮挡消火栓或者占用防火间距的；是否占用、堵塞、封闭消防车通道，妨碍消防车通行的；</w:t>
      </w:r>
    </w:p>
    <w:p w14:paraId="797C4D9B">
      <w:pPr>
        <w:widowControl/>
        <w:tabs>
          <w:tab w:val="left" w:pos="220"/>
        </w:tabs>
        <w:spacing w:line="500" w:lineRule="exact"/>
        <w:ind w:firstLine="422" w:firstLineChars="200"/>
        <w:rPr>
          <w:rFonts w:ascii="宋体" w:hAnsi="宋体" w:cs="宋体"/>
          <w:b/>
          <w:color w:val="000000"/>
          <w:kern w:val="0"/>
          <w:sz w:val="21"/>
          <w:szCs w:val="21"/>
          <w:lang w:bidi="ar"/>
        </w:rPr>
      </w:pPr>
      <w:r>
        <w:rPr>
          <w:rFonts w:hint="eastAsia" w:ascii="宋体" w:hAnsi="宋体" w:cs="宋体"/>
          <w:b/>
          <w:color w:val="000000"/>
          <w:kern w:val="0"/>
          <w:sz w:val="21"/>
          <w:szCs w:val="21"/>
          <w:lang w:bidi="ar"/>
        </w:rPr>
        <w:t>5、场馆消防设施保养及检测内容时间参考表</w:t>
      </w:r>
    </w:p>
    <w:p w14:paraId="531D3E4C">
      <w:pPr>
        <w:widowControl/>
        <w:adjustRightInd w:val="0"/>
        <w:snapToGrid w:val="0"/>
        <w:spacing w:line="500" w:lineRule="exact"/>
        <w:rPr>
          <w:rFonts w:ascii="宋体" w:hAnsi="宋体" w:cs="宋体"/>
          <w:color w:val="000000"/>
          <w:kern w:val="0"/>
          <w:sz w:val="21"/>
          <w:szCs w:val="21"/>
          <w:lang w:bidi="ar"/>
        </w:rPr>
      </w:pPr>
      <w:r>
        <w:rPr>
          <w:rFonts w:hint="eastAsia" w:ascii="宋体" w:hAnsi="宋体" w:cs="宋体"/>
          <w:color w:val="000000"/>
          <w:kern w:val="0"/>
          <w:sz w:val="21"/>
          <w:szCs w:val="21"/>
          <w:highlight w:val="none"/>
          <w:lang w:bidi="ar"/>
        </w:rPr>
        <w:t>合肥</w:t>
      </w:r>
      <w:r>
        <w:rPr>
          <w:rFonts w:hint="eastAsia" w:ascii="宋体" w:hAnsi="宋体" w:cs="宋体"/>
          <w:color w:val="000000"/>
          <w:kern w:val="0"/>
          <w:sz w:val="21"/>
          <w:szCs w:val="21"/>
          <w:highlight w:val="none"/>
          <w:lang w:val="en-US" w:eastAsia="zh-CN" w:bidi="ar"/>
        </w:rPr>
        <w:t>市妇女儿童活动</w:t>
      </w:r>
      <w:r>
        <w:rPr>
          <w:rFonts w:hint="eastAsia" w:ascii="宋体" w:hAnsi="宋体" w:cs="宋体"/>
          <w:color w:val="000000"/>
          <w:kern w:val="0"/>
          <w:sz w:val="21"/>
          <w:szCs w:val="21"/>
          <w:highlight w:val="none"/>
          <w:lang w:bidi="ar"/>
        </w:rPr>
        <w:t>中心</w:t>
      </w:r>
      <w:r>
        <w:rPr>
          <w:rFonts w:hint="eastAsia" w:ascii="宋体" w:hAnsi="宋体" w:cs="宋体"/>
          <w:color w:val="000000"/>
          <w:kern w:val="0"/>
          <w:sz w:val="21"/>
          <w:szCs w:val="21"/>
          <w:lang w:bidi="ar"/>
        </w:rPr>
        <w:t>开放时间分别为：早9：00—晚21：00</w:t>
      </w:r>
    </w:p>
    <w:p w14:paraId="2777BDF5">
      <w:pPr>
        <w:pStyle w:val="5"/>
        <w:numPr>
          <w:ilvl w:val="3"/>
          <w:numId w:val="0"/>
        </w:numPr>
        <w:spacing w:line="500" w:lineRule="exact"/>
        <w:ind w:firstLine="482" w:firstLineChars="200"/>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注：设备检测产生噪音的应与场馆开放时间错开进行，下表为设备检测参考时间，具体时间及工作内容以</w:t>
      </w:r>
      <w:r>
        <w:rPr>
          <w:rFonts w:hint="eastAsia" w:ascii="宋体" w:hAnsi="宋体"/>
          <w:color w:val="000000"/>
          <w:sz w:val="24"/>
          <w:szCs w:val="24"/>
          <w:lang w:val="en-US" w:eastAsia="zh-CN"/>
        </w:rPr>
        <w:t>招标人</w:t>
      </w:r>
      <w:r>
        <w:rPr>
          <w:rFonts w:hint="eastAsia" w:ascii="宋体" w:hAnsi="宋体" w:eastAsia="宋体" w:cs="宋体"/>
          <w:color w:val="000000"/>
          <w:kern w:val="0"/>
          <w:sz w:val="24"/>
          <w:szCs w:val="24"/>
          <w:lang w:bidi="ar"/>
        </w:rPr>
        <w:t>实际需求为准。</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644"/>
        <w:gridCol w:w="3950"/>
        <w:gridCol w:w="1181"/>
        <w:gridCol w:w="1342"/>
      </w:tblGrid>
      <w:tr w14:paraId="404D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05" w:type="dxa"/>
            <w:noWrap w:val="0"/>
            <w:vAlign w:val="center"/>
          </w:tcPr>
          <w:p w14:paraId="02F86DFF">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系统</w:t>
            </w:r>
          </w:p>
        </w:tc>
        <w:tc>
          <w:tcPr>
            <w:tcW w:w="1644" w:type="dxa"/>
            <w:noWrap w:val="0"/>
            <w:vAlign w:val="center"/>
          </w:tcPr>
          <w:p w14:paraId="58C90598">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设备名称</w:t>
            </w:r>
          </w:p>
        </w:tc>
        <w:tc>
          <w:tcPr>
            <w:tcW w:w="3950" w:type="dxa"/>
            <w:noWrap w:val="0"/>
            <w:vAlign w:val="center"/>
          </w:tcPr>
          <w:p w14:paraId="739F3751">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维保内容</w:t>
            </w:r>
          </w:p>
        </w:tc>
        <w:tc>
          <w:tcPr>
            <w:tcW w:w="1181" w:type="dxa"/>
            <w:noWrap w:val="0"/>
            <w:vAlign w:val="center"/>
          </w:tcPr>
          <w:p w14:paraId="1368183A">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工作类别</w:t>
            </w:r>
          </w:p>
        </w:tc>
        <w:tc>
          <w:tcPr>
            <w:tcW w:w="1342" w:type="dxa"/>
            <w:noWrap w:val="0"/>
            <w:vAlign w:val="center"/>
          </w:tcPr>
          <w:p w14:paraId="2E8C4134">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时间</w:t>
            </w:r>
          </w:p>
        </w:tc>
      </w:tr>
      <w:tr w14:paraId="1988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19AE1926">
            <w:pPr>
              <w:jc w:val="center"/>
              <w:rPr>
                <w:rFonts w:ascii="宋体" w:hAnsi="宋体" w:cs="宋体"/>
                <w:color w:val="000000"/>
                <w:kern w:val="0"/>
                <w:sz w:val="24"/>
                <w:szCs w:val="24"/>
                <w:lang w:bidi="ar"/>
              </w:rPr>
            </w:pPr>
          </w:p>
          <w:p w14:paraId="11CBF6EA">
            <w:pPr>
              <w:jc w:val="center"/>
              <w:rPr>
                <w:rFonts w:ascii="宋体" w:hAnsi="宋体" w:cs="宋体"/>
                <w:color w:val="000000"/>
                <w:kern w:val="0"/>
                <w:sz w:val="24"/>
                <w:szCs w:val="24"/>
                <w:lang w:bidi="ar"/>
              </w:rPr>
            </w:pPr>
          </w:p>
          <w:p w14:paraId="0A07A324">
            <w:pPr>
              <w:jc w:val="center"/>
              <w:rPr>
                <w:rFonts w:ascii="宋体" w:hAnsi="宋体" w:cs="宋体"/>
                <w:color w:val="000000"/>
                <w:kern w:val="0"/>
                <w:sz w:val="24"/>
                <w:szCs w:val="24"/>
                <w:lang w:bidi="ar"/>
              </w:rPr>
            </w:pPr>
          </w:p>
          <w:p w14:paraId="41050BCD">
            <w:pPr>
              <w:jc w:val="center"/>
              <w:rPr>
                <w:rFonts w:ascii="宋体" w:hAnsi="宋体" w:cs="宋体"/>
                <w:color w:val="000000"/>
                <w:kern w:val="0"/>
                <w:sz w:val="24"/>
                <w:szCs w:val="24"/>
                <w:lang w:bidi="ar"/>
              </w:rPr>
            </w:pPr>
          </w:p>
          <w:p w14:paraId="6F2F4803">
            <w:pPr>
              <w:jc w:val="center"/>
              <w:rPr>
                <w:rFonts w:ascii="宋体" w:hAnsi="宋体" w:cs="宋体"/>
                <w:color w:val="000000"/>
                <w:kern w:val="0"/>
                <w:sz w:val="24"/>
                <w:szCs w:val="24"/>
                <w:lang w:bidi="ar"/>
              </w:rPr>
            </w:pPr>
          </w:p>
          <w:p w14:paraId="6E8D80CB">
            <w:pPr>
              <w:jc w:val="center"/>
              <w:rPr>
                <w:rFonts w:ascii="宋体" w:hAnsi="宋体" w:cs="宋体"/>
                <w:color w:val="000000"/>
                <w:kern w:val="0"/>
                <w:sz w:val="24"/>
                <w:szCs w:val="24"/>
                <w:lang w:bidi="ar"/>
              </w:rPr>
            </w:pPr>
          </w:p>
          <w:p w14:paraId="371CF3E4">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火灾自动报警系统</w:t>
            </w:r>
          </w:p>
        </w:tc>
        <w:tc>
          <w:tcPr>
            <w:tcW w:w="1644" w:type="dxa"/>
            <w:vMerge w:val="restart"/>
            <w:noWrap w:val="0"/>
            <w:vAlign w:val="bottom"/>
          </w:tcPr>
          <w:p w14:paraId="2EC2D28F">
            <w:pPr>
              <w:jc w:val="center"/>
              <w:rPr>
                <w:rFonts w:ascii="宋体" w:hAnsi="宋体" w:cs="宋体"/>
                <w:color w:val="000000"/>
                <w:kern w:val="0"/>
                <w:sz w:val="24"/>
                <w:szCs w:val="24"/>
                <w:lang w:bidi="ar"/>
              </w:rPr>
            </w:pPr>
            <w:r>
              <w:rPr>
                <w:rFonts w:hint="eastAsia" w:ascii="Times New Roman" w:hAnsi="宋体" w:eastAsia="宋体" w:cs="宋体"/>
                <w:color w:val="000000"/>
                <w:w w:val="95"/>
                <w:kern w:val="2"/>
                <w:sz w:val="21"/>
                <w:szCs w:val="21"/>
                <w:lang w:val="en-US" w:eastAsia="zh-CN" w:bidi="ar-SA"/>
              </w:rPr>
              <w:t>报警控制器</w:t>
            </w:r>
          </w:p>
        </w:tc>
        <w:tc>
          <w:tcPr>
            <w:tcW w:w="3950" w:type="dxa"/>
            <w:noWrap w:val="0"/>
            <w:vAlign w:val="center"/>
          </w:tcPr>
          <w:p w14:paraId="03A09584">
            <w:pPr>
              <w:rPr>
                <w:rFonts w:ascii="宋体" w:hAnsi="宋体" w:cs="宋体"/>
                <w:color w:val="000000"/>
                <w:kern w:val="0"/>
                <w:sz w:val="24"/>
                <w:szCs w:val="24"/>
                <w:lang w:bidi="ar"/>
              </w:rPr>
            </w:pPr>
            <w:r>
              <w:rPr>
                <w:rFonts w:hint="eastAsia" w:ascii="宋体" w:hAnsi="宋体" w:cs="宋体"/>
                <w:color w:val="000000"/>
                <w:kern w:val="0"/>
                <w:szCs w:val="21"/>
                <w:lang w:bidi="ar"/>
              </w:rPr>
              <w:t>对其各项功能进行测试</w:t>
            </w:r>
          </w:p>
        </w:tc>
        <w:tc>
          <w:tcPr>
            <w:tcW w:w="1181" w:type="dxa"/>
            <w:vMerge w:val="restart"/>
            <w:noWrap w:val="0"/>
            <w:vAlign w:val="center"/>
          </w:tcPr>
          <w:p w14:paraId="42F7698A">
            <w:pPr>
              <w:pStyle w:val="16"/>
              <w:jc w:val="center"/>
              <w:rPr>
                <w:color w:val="000000"/>
                <w:kern w:val="0"/>
                <w:szCs w:val="24"/>
                <w:lang w:val="en-US" w:eastAsia="zh-CN" w:bidi="ar"/>
              </w:rPr>
            </w:pPr>
            <w:r>
              <w:rPr>
                <w:rFonts w:hint="eastAsia" w:hAnsi="宋体" w:cs="宋体"/>
                <w:color w:val="000000"/>
                <w:kern w:val="0"/>
                <w:sz w:val="21"/>
                <w:szCs w:val="21"/>
                <w:lang w:val="en-US" w:eastAsia="zh-CN" w:bidi="ar"/>
              </w:rPr>
              <w:t>测试</w:t>
            </w:r>
          </w:p>
        </w:tc>
        <w:tc>
          <w:tcPr>
            <w:tcW w:w="1342" w:type="dxa"/>
            <w:noWrap w:val="0"/>
            <w:vAlign w:val="center"/>
          </w:tcPr>
          <w:p w14:paraId="745E1B96">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475A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9FC5F14">
            <w:pPr>
              <w:rPr>
                <w:rFonts w:ascii="宋体" w:hAnsi="宋体" w:cs="宋体"/>
                <w:color w:val="000000"/>
                <w:kern w:val="0"/>
                <w:sz w:val="24"/>
                <w:szCs w:val="24"/>
                <w:lang w:bidi="ar"/>
              </w:rPr>
            </w:pPr>
          </w:p>
        </w:tc>
        <w:tc>
          <w:tcPr>
            <w:tcW w:w="1644" w:type="dxa"/>
            <w:vMerge w:val="continue"/>
            <w:noWrap w:val="0"/>
            <w:vAlign w:val="top"/>
          </w:tcPr>
          <w:p w14:paraId="6B9D397D">
            <w:pPr>
              <w:rPr>
                <w:rFonts w:ascii="宋体" w:hAnsi="宋体" w:cs="宋体"/>
                <w:color w:val="000000"/>
                <w:kern w:val="0"/>
                <w:sz w:val="24"/>
                <w:szCs w:val="24"/>
                <w:lang w:bidi="ar"/>
              </w:rPr>
            </w:pPr>
          </w:p>
        </w:tc>
        <w:tc>
          <w:tcPr>
            <w:tcW w:w="3950" w:type="dxa"/>
            <w:noWrap w:val="0"/>
            <w:vAlign w:val="center"/>
          </w:tcPr>
          <w:p w14:paraId="187F45C0">
            <w:pPr>
              <w:pStyle w:val="16"/>
              <w:rPr>
                <w:color w:val="000000"/>
                <w:kern w:val="0"/>
                <w:szCs w:val="24"/>
                <w:lang w:val="en-US" w:eastAsia="zh-CN" w:bidi="ar"/>
              </w:rPr>
            </w:pPr>
            <w:r>
              <w:rPr>
                <w:rFonts w:hint="eastAsia" w:hAnsi="宋体" w:cs="宋体"/>
                <w:color w:val="000000"/>
                <w:kern w:val="0"/>
                <w:sz w:val="21"/>
                <w:szCs w:val="21"/>
                <w:lang w:val="en-US" w:eastAsia="zh-CN" w:bidi="ar"/>
              </w:rPr>
              <w:t>主备电切换、电池充放电功能</w:t>
            </w:r>
          </w:p>
          <w:p w14:paraId="17D8FA1E">
            <w:pPr>
              <w:rPr>
                <w:rFonts w:ascii="宋体" w:hAnsi="宋体" w:cs="宋体"/>
                <w:color w:val="000000"/>
                <w:kern w:val="0"/>
                <w:sz w:val="24"/>
                <w:szCs w:val="24"/>
                <w:lang w:bidi="ar"/>
              </w:rPr>
            </w:pPr>
          </w:p>
        </w:tc>
        <w:tc>
          <w:tcPr>
            <w:tcW w:w="1181" w:type="dxa"/>
            <w:vMerge w:val="continue"/>
            <w:noWrap w:val="0"/>
            <w:vAlign w:val="top"/>
          </w:tcPr>
          <w:p w14:paraId="4A12DD56">
            <w:pPr>
              <w:rPr>
                <w:rFonts w:ascii="宋体" w:hAnsi="宋体" w:cs="宋体"/>
                <w:color w:val="000000"/>
                <w:kern w:val="0"/>
                <w:sz w:val="24"/>
                <w:szCs w:val="24"/>
                <w:lang w:bidi="ar"/>
              </w:rPr>
            </w:pPr>
          </w:p>
        </w:tc>
        <w:tc>
          <w:tcPr>
            <w:tcW w:w="1342" w:type="dxa"/>
            <w:noWrap w:val="0"/>
            <w:vAlign w:val="center"/>
          </w:tcPr>
          <w:p w14:paraId="509491C3">
            <w:pPr>
              <w:pStyle w:val="16"/>
              <w:rPr>
                <w:color w:val="000000"/>
                <w:kern w:val="0"/>
                <w:szCs w:val="24"/>
                <w:lang w:val="en-US" w:eastAsia="zh-CN" w:bidi="ar"/>
              </w:rPr>
            </w:pPr>
            <w:r>
              <w:rPr>
                <w:rFonts w:hint="eastAsia" w:hAnsi="宋体" w:cs="宋体"/>
                <w:color w:val="000000"/>
                <w:kern w:val="0"/>
                <w:sz w:val="21"/>
                <w:szCs w:val="21"/>
                <w:lang w:val="en-US" w:eastAsia="zh-CN" w:bidi="ar"/>
              </w:rPr>
              <w:t>非开放时间</w:t>
            </w:r>
          </w:p>
        </w:tc>
      </w:tr>
      <w:tr w14:paraId="140B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A754710">
            <w:pPr>
              <w:rPr>
                <w:rFonts w:ascii="宋体" w:hAnsi="宋体" w:cs="宋体"/>
                <w:color w:val="000000"/>
                <w:kern w:val="0"/>
                <w:sz w:val="24"/>
                <w:szCs w:val="24"/>
                <w:lang w:bidi="ar"/>
              </w:rPr>
            </w:pPr>
          </w:p>
        </w:tc>
        <w:tc>
          <w:tcPr>
            <w:tcW w:w="1644" w:type="dxa"/>
            <w:vMerge w:val="continue"/>
            <w:noWrap w:val="0"/>
            <w:vAlign w:val="top"/>
          </w:tcPr>
          <w:p w14:paraId="6FC7128D">
            <w:pPr>
              <w:rPr>
                <w:rFonts w:ascii="宋体" w:hAnsi="宋体" w:cs="宋体"/>
                <w:color w:val="000000"/>
                <w:kern w:val="0"/>
                <w:sz w:val="24"/>
                <w:szCs w:val="24"/>
                <w:lang w:bidi="ar"/>
              </w:rPr>
            </w:pPr>
          </w:p>
        </w:tc>
        <w:tc>
          <w:tcPr>
            <w:tcW w:w="3950" w:type="dxa"/>
            <w:noWrap w:val="0"/>
            <w:vAlign w:val="center"/>
          </w:tcPr>
          <w:p w14:paraId="435EF245">
            <w:pPr>
              <w:rPr>
                <w:rFonts w:ascii="宋体" w:hAnsi="宋体" w:cs="宋体"/>
                <w:color w:val="000000"/>
                <w:kern w:val="0"/>
                <w:sz w:val="24"/>
                <w:szCs w:val="24"/>
                <w:lang w:bidi="ar"/>
              </w:rPr>
            </w:pPr>
            <w:r>
              <w:rPr>
                <w:rFonts w:hint="eastAsia" w:ascii="宋体" w:hAnsi="宋体" w:cs="宋体"/>
                <w:color w:val="000000"/>
                <w:kern w:val="0"/>
                <w:szCs w:val="21"/>
                <w:lang w:bidi="ar"/>
              </w:rPr>
              <w:t>信号线、电源线绝缘电阻以及接地线接地</w:t>
            </w:r>
          </w:p>
        </w:tc>
        <w:tc>
          <w:tcPr>
            <w:tcW w:w="1181" w:type="dxa"/>
            <w:vMerge w:val="continue"/>
            <w:noWrap w:val="0"/>
            <w:vAlign w:val="top"/>
          </w:tcPr>
          <w:p w14:paraId="49113630">
            <w:pPr>
              <w:rPr>
                <w:rFonts w:ascii="宋体" w:hAnsi="宋体" w:cs="宋体"/>
                <w:color w:val="000000"/>
                <w:kern w:val="0"/>
                <w:sz w:val="24"/>
                <w:szCs w:val="24"/>
                <w:lang w:bidi="ar"/>
              </w:rPr>
            </w:pPr>
          </w:p>
        </w:tc>
        <w:tc>
          <w:tcPr>
            <w:tcW w:w="1342" w:type="dxa"/>
            <w:noWrap w:val="0"/>
            <w:vAlign w:val="top"/>
          </w:tcPr>
          <w:p w14:paraId="5B81F249">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1B0B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AA4DDDB">
            <w:pPr>
              <w:rPr>
                <w:rFonts w:ascii="宋体" w:hAnsi="宋体" w:cs="宋体"/>
                <w:color w:val="000000"/>
                <w:kern w:val="0"/>
                <w:sz w:val="24"/>
                <w:szCs w:val="24"/>
                <w:lang w:bidi="ar"/>
              </w:rPr>
            </w:pPr>
          </w:p>
        </w:tc>
        <w:tc>
          <w:tcPr>
            <w:tcW w:w="1644" w:type="dxa"/>
            <w:vMerge w:val="continue"/>
            <w:noWrap w:val="0"/>
            <w:vAlign w:val="top"/>
          </w:tcPr>
          <w:p w14:paraId="35C405D9">
            <w:pPr>
              <w:rPr>
                <w:rFonts w:ascii="宋体" w:hAnsi="宋体" w:cs="宋体"/>
                <w:color w:val="000000"/>
                <w:kern w:val="0"/>
                <w:sz w:val="24"/>
                <w:szCs w:val="24"/>
                <w:lang w:bidi="ar"/>
              </w:rPr>
            </w:pPr>
          </w:p>
        </w:tc>
        <w:tc>
          <w:tcPr>
            <w:tcW w:w="3950" w:type="dxa"/>
            <w:noWrap w:val="0"/>
            <w:vAlign w:val="center"/>
          </w:tcPr>
          <w:p w14:paraId="23974AA0">
            <w:pPr>
              <w:rPr>
                <w:rFonts w:ascii="宋体" w:hAnsi="宋体" w:cs="宋体"/>
                <w:color w:val="000000"/>
                <w:kern w:val="0"/>
                <w:sz w:val="24"/>
                <w:szCs w:val="24"/>
                <w:lang w:bidi="ar"/>
              </w:rPr>
            </w:pPr>
            <w:r>
              <w:rPr>
                <w:rFonts w:hint="eastAsia" w:ascii="宋体" w:hAnsi="宋体" w:cs="宋体"/>
                <w:color w:val="000000"/>
                <w:kern w:val="0"/>
                <w:szCs w:val="21"/>
                <w:lang w:bidi="ar"/>
              </w:rPr>
              <w:t>电器元件、电子板除锈、除尘</w:t>
            </w:r>
          </w:p>
        </w:tc>
        <w:tc>
          <w:tcPr>
            <w:tcW w:w="1181" w:type="dxa"/>
            <w:vMerge w:val="restart"/>
            <w:noWrap w:val="0"/>
            <w:vAlign w:val="center"/>
          </w:tcPr>
          <w:p w14:paraId="63535948">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w:t>
            </w:r>
          </w:p>
        </w:tc>
        <w:tc>
          <w:tcPr>
            <w:tcW w:w="1342" w:type="dxa"/>
            <w:noWrap w:val="0"/>
            <w:vAlign w:val="top"/>
          </w:tcPr>
          <w:p w14:paraId="5BA86373">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37B4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96CEE01">
            <w:pPr>
              <w:rPr>
                <w:rFonts w:ascii="宋体" w:hAnsi="宋体" w:cs="宋体"/>
                <w:color w:val="000000"/>
                <w:kern w:val="0"/>
                <w:sz w:val="24"/>
                <w:szCs w:val="24"/>
                <w:lang w:bidi="ar"/>
              </w:rPr>
            </w:pPr>
          </w:p>
        </w:tc>
        <w:tc>
          <w:tcPr>
            <w:tcW w:w="1644" w:type="dxa"/>
            <w:vMerge w:val="continue"/>
            <w:noWrap w:val="0"/>
            <w:vAlign w:val="top"/>
          </w:tcPr>
          <w:p w14:paraId="386CF88C">
            <w:pPr>
              <w:rPr>
                <w:rFonts w:ascii="宋体" w:hAnsi="宋体" w:cs="宋体"/>
                <w:color w:val="000000"/>
                <w:kern w:val="0"/>
                <w:sz w:val="24"/>
                <w:szCs w:val="24"/>
                <w:lang w:bidi="ar"/>
              </w:rPr>
            </w:pPr>
          </w:p>
        </w:tc>
        <w:tc>
          <w:tcPr>
            <w:tcW w:w="3950" w:type="dxa"/>
            <w:noWrap w:val="0"/>
            <w:vAlign w:val="center"/>
          </w:tcPr>
          <w:p w14:paraId="3126E0E3">
            <w:pPr>
              <w:rPr>
                <w:rFonts w:ascii="宋体" w:hAnsi="宋体" w:cs="宋体"/>
                <w:color w:val="000000"/>
                <w:kern w:val="0"/>
                <w:szCs w:val="21"/>
                <w:lang w:bidi="ar"/>
              </w:rPr>
            </w:pPr>
            <w:r>
              <w:rPr>
                <w:rFonts w:hint="eastAsia" w:ascii="宋体" w:hAnsi="宋体" w:cs="宋体"/>
                <w:color w:val="000000"/>
                <w:szCs w:val="21"/>
              </w:rPr>
              <w:t>箱体内外表面清洁</w:t>
            </w:r>
          </w:p>
        </w:tc>
        <w:tc>
          <w:tcPr>
            <w:tcW w:w="1181" w:type="dxa"/>
            <w:vMerge w:val="continue"/>
            <w:noWrap w:val="0"/>
            <w:vAlign w:val="top"/>
          </w:tcPr>
          <w:p w14:paraId="5FDBF8CB">
            <w:pPr>
              <w:rPr>
                <w:rFonts w:ascii="宋体" w:hAnsi="宋体" w:cs="宋体"/>
                <w:color w:val="000000"/>
                <w:kern w:val="0"/>
                <w:sz w:val="24"/>
                <w:szCs w:val="24"/>
                <w:lang w:bidi="ar"/>
              </w:rPr>
            </w:pPr>
          </w:p>
        </w:tc>
        <w:tc>
          <w:tcPr>
            <w:tcW w:w="1342" w:type="dxa"/>
            <w:noWrap w:val="0"/>
            <w:vAlign w:val="top"/>
          </w:tcPr>
          <w:p w14:paraId="2508BBFC">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3D298FEE">
        <w:tblPrEx>
          <w:tblCellMar>
            <w:top w:w="0" w:type="dxa"/>
            <w:left w:w="108" w:type="dxa"/>
            <w:bottom w:w="0" w:type="dxa"/>
            <w:right w:w="108" w:type="dxa"/>
          </w:tblCellMar>
        </w:tblPrEx>
        <w:tc>
          <w:tcPr>
            <w:tcW w:w="405" w:type="dxa"/>
            <w:vMerge w:val="continue"/>
            <w:noWrap w:val="0"/>
            <w:vAlign w:val="top"/>
          </w:tcPr>
          <w:p w14:paraId="23C507B6">
            <w:pPr>
              <w:rPr>
                <w:rFonts w:ascii="宋体" w:hAnsi="宋体" w:cs="宋体"/>
                <w:color w:val="000000"/>
                <w:kern w:val="0"/>
                <w:sz w:val="24"/>
                <w:szCs w:val="24"/>
                <w:lang w:bidi="ar"/>
              </w:rPr>
            </w:pPr>
          </w:p>
        </w:tc>
        <w:tc>
          <w:tcPr>
            <w:tcW w:w="1644" w:type="dxa"/>
            <w:vMerge w:val="continue"/>
            <w:noWrap w:val="0"/>
            <w:vAlign w:val="top"/>
          </w:tcPr>
          <w:p w14:paraId="4BCE9873">
            <w:pPr>
              <w:rPr>
                <w:rFonts w:ascii="宋体" w:hAnsi="宋体" w:cs="宋体"/>
                <w:color w:val="000000"/>
                <w:kern w:val="0"/>
                <w:sz w:val="24"/>
                <w:szCs w:val="24"/>
                <w:lang w:bidi="ar"/>
              </w:rPr>
            </w:pPr>
          </w:p>
        </w:tc>
        <w:tc>
          <w:tcPr>
            <w:tcW w:w="3950" w:type="dxa"/>
            <w:noWrap w:val="0"/>
            <w:vAlign w:val="center"/>
          </w:tcPr>
          <w:p w14:paraId="377D0A5F">
            <w:pPr>
              <w:pStyle w:val="16"/>
              <w:rPr>
                <w:color w:val="000000"/>
                <w:sz w:val="21"/>
                <w:szCs w:val="21"/>
                <w:lang w:val="en-US" w:eastAsia="zh-CN"/>
              </w:rPr>
            </w:pPr>
            <w:r>
              <w:rPr>
                <w:rFonts w:hint="eastAsia" w:hAnsi="宋体" w:cs="宋体"/>
                <w:color w:val="000000"/>
                <w:sz w:val="21"/>
                <w:szCs w:val="21"/>
                <w:lang w:val="en-US" w:eastAsia="zh-CN"/>
              </w:rPr>
              <w:t>设备元器件、标识的完好情况</w:t>
            </w:r>
          </w:p>
        </w:tc>
        <w:tc>
          <w:tcPr>
            <w:tcW w:w="1181" w:type="dxa"/>
            <w:vMerge w:val="restart"/>
            <w:noWrap w:val="0"/>
            <w:vAlign w:val="center"/>
          </w:tcPr>
          <w:p w14:paraId="5E828EB0">
            <w:pPr>
              <w:jc w:val="center"/>
              <w:rPr>
                <w:rFonts w:ascii="宋体" w:hAnsi="宋体" w:cs="宋体"/>
                <w:color w:val="000000"/>
                <w:kern w:val="0"/>
                <w:sz w:val="24"/>
                <w:szCs w:val="24"/>
                <w:lang w:bidi="ar"/>
              </w:rPr>
            </w:pPr>
            <w:r>
              <w:rPr>
                <w:rFonts w:hint="eastAsia" w:ascii="宋体" w:hAnsi="宋体" w:cs="宋体"/>
                <w:color w:val="000000"/>
                <w:szCs w:val="21"/>
              </w:rPr>
              <w:t>检查</w:t>
            </w:r>
          </w:p>
        </w:tc>
        <w:tc>
          <w:tcPr>
            <w:tcW w:w="1342" w:type="dxa"/>
            <w:noWrap w:val="0"/>
            <w:vAlign w:val="top"/>
          </w:tcPr>
          <w:p w14:paraId="19BE0622">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6DE2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CA8E2AC">
            <w:pPr>
              <w:rPr>
                <w:rFonts w:ascii="宋体" w:hAnsi="宋体" w:cs="宋体"/>
                <w:color w:val="000000"/>
                <w:kern w:val="0"/>
                <w:sz w:val="24"/>
                <w:szCs w:val="24"/>
                <w:lang w:bidi="ar"/>
              </w:rPr>
            </w:pPr>
          </w:p>
        </w:tc>
        <w:tc>
          <w:tcPr>
            <w:tcW w:w="1644" w:type="dxa"/>
            <w:vMerge w:val="continue"/>
            <w:noWrap w:val="0"/>
            <w:vAlign w:val="top"/>
          </w:tcPr>
          <w:p w14:paraId="7E2DF9A2">
            <w:pPr>
              <w:rPr>
                <w:rFonts w:ascii="宋体" w:hAnsi="宋体" w:cs="宋体"/>
                <w:color w:val="000000"/>
                <w:kern w:val="0"/>
                <w:sz w:val="24"/>
                <w:szCs w:val="24"/>
                <w:lang w:bidi="ar"/>
              </w:rPr>
            </w:pPr>
          </w:p>
        </w:tc>
        <w:tc>
          <w:tcPr>
            <w:tcW w:w="3950" w:type="dxa"/>
            <w:noWrap w:val="0"/>
            <w:vAlign w:val="center"/>
          </w:tcPr>
          <w:p w14:paraId="76FDFCB1">
            <w:pPr>
              <w:pStyle w:val="16"/>
              <w:rPr>
                <w:color w:val="000000"/>
                <w:sz w:val="21"/>
                <w:szCs w:val="21"/>
                <w:lang w:val="en-US" w:eastAsia="zh-CN"/>
              </w:rPr>
            </w:pPr>
            <w:r>
              <w:rPr>
                <w:rFonts w:hint="eastAsia" w:hAnsi="宋体" w:cs="宋体"/>
                <w:color w:val="000000"/>
                <w:sz w:val="21"/>
                <w:szCs w:val="21"/>
                <w:lang w:val="en-US" w:eastAsia="zh-CN"/>
              </w:rPr>
              <w:t>接线端子接线进行整理、紧固</w:t>
            </w:r>
          </w:p>
        </w:tc>
        <w:tc>
          <w:tcPr>
            <w:tcW w:w="1181" w:type="dxa"/>
            <w:vMerge w:val="continue"/>
            <w:noWrap w:val="0"/>
            <w:vAlign w:val="top"/>
          </w:tcPr>
          <w:p w14:paraId="3526A65F">
            <w:pPr>
              <w:rPr>
                <w:rFonts w:ascii="宋体" w:hAnsi="宋体" w:cs="宋体"/>
                <w:color w:val="000000"/>
                <w:kern w:val="0"/>
                <w:sz w:val="24"/>
                <w:szCs w:val="24"/>
                <w:lang w:bidi="ar"/>
              </w:rPr>
            </w:pPr>
          </w:p>
        </w:tc>
        <w:tc>
          <w:tcPr>
            <w:tcW w:w="1342" w:type="dxa"/>
            <w:noWrap w:val="0"/>
            <w:vAlign w:val="top"/>
          </w:tcPr>
          <w:p w14:paraId="3350C292">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53D2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CFE94EB">
            <w:pPr>
              <w:rPr>
                <w:rFonts w:ascii="宋体" w:hAnsi="宋体" w:cs="宋体"/>
                <w:color w:val="000000"/>
                <w:kern w:val="0"/>
                <w:sz w:val="24"/>
                <w:szCs w:val="24"/>
                <w:lang w:bidi="ar"/>
              </w:rPr>
            </w:pPr>
          </w:p>
        </w:tc>
        <w:tc>
          <w:tcPr>
            <w:tcW w:w="1644" w:type="dxa"/>
            <w:vMerge w:val="restart"/>
            <w:noWrap w:val="0"/>
            <w:vAlign w:val="top"/>
          </w:tcPr>
          <w:p w14:paraId="6DF6FE2C">
            <w:pPr>
              <w:pStyle w:val="16"/>
              <w:rPr>
                <w:color w:val="000000"/>
                <w:kern w:val="0"/>
                <w:szCs w:val="24"/>
                <w:lang w:val="en-US" w:eastAsia="zh-CN" w:bidi="ar"/>
              </w:rPr>
            </w:pPr>
            <w:r>
              <w:rPr>
                <w:rFonts w:hint="eastAsia" w:hAnsi="宋体" w:cs="宋体"/>
                <w:color w:val="000000"/>
                <w:w w:val="95"/>
                <w:sz w:val="21"/>
                <w:szCs w:val="21"/>
                <w:lang w:val="en-US" w:eastAsia="zh-CN"/>
              </w:rPr>
              <w:t>图文终端（显示器、主机、打印机、UPS）</w:t>
            </w:r>
          </w:p>
        </w:tc>
        <w:tc>
          <w:tcPr>
            <w:tcW w:w="3950" w:type="dxa"/>
            <w:noWrap w:val="0"/>
            <w:vAlign w:val="center"/>
          </w:tcPr>
          <w:p w14:paraId="2C614B60">
            <w:pPr>
              <w:pStyle w:val="16"/>
              <w:rPr>
                <w:color w:val="000000"/>
                <w:sz w:val="21"/>
                <w:szCs w:val="21"/>
                <w:lang w:val="en-US" w:eastAsia="zh-CN"/>
              </w:rPr>
            </w:pPr>
            <w:r>
              <w:rPr>
                <w:rFonts w:hint="eastAsia" w:hAnsi="宋体" w:cs="宋体"/>
                <w:color w:val="000000"/>
                <w:sz w:val="21"/>
                <w:szCs w:val="21"/>
                <w:lang w:val="en-US" w:eastAsia="zh-CN"/>
              </w:rPr>
              <w:t>UPS 电源运行状况</w:t>
            </w:r>
          </w:p>
        </w:tc>
        <w:tc>
          <w:tcPr>
            <w:tcW w:w="1181" w:type="dxa"/>
            <w:vMerge w:val="restart"/>
            <w:noWrap w:val="0"/>
            <w:vAlign w:val="center"/>
          </w:tcPr>
          <w:p w14:paraId="7799682D">
            <w:pPr>
              <w:jc w:val="center"/>
              <w:rPr>
                <w:rFonts w:ascii="宋体" w:hAnsi="宋体" w:cs="宋体"/>
                <w:color w:val="000000"/>
                <w:kern w:val="0"/>
                <w:sz w:val="24"/>
                <w:szCs w:val="24"/>
                <w:lang w:bidi="ar"/>
              </w:rPr>
            </w:pPr>
            <w:r>
              <w:rPr>
                <w:rFonts w:hint="eastAsia" w:ascii="宋体" w:hAnsi="宋体" w:cs="宋体"/>
                <w:color w:val="000000"/>
                <w:kern w:val="0"/>
                <w:szCs w:val="21"/>
                <w:lang w:bidi="ar"/>
              </w:rPr>
              <w:t>测试</w:t>
            </w:r>
          </w:p>
        </w:tc>
        <w:tc>
          <w:tcPr>
            <w:tcW w:w="1342" w:type="dxa"/>
            <w:noWrap w:val="0"/>
            <w:vAlign w:val="top"/>
          </w:tcPr>
          <w:p w14:paraId="3707590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71F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BFFDADE">
            <w:pPr>
              <w:rPr>
                <w:rFonts w:ascii="宋体" w:hAnsi="宋体" w:cs="宋体"/>
                <w:color w:val="000000"/>
                <w:kern w:val="0"/>
                <w:sz w:val="24"/>
                <w:szCs w:val="24"/>
                <w:lang w:bidi="ar"/>
              </w:rPr>
            </w:pPr>
          </w:p>
        </w:tc>
        <w:tc>
          <w:tcPr>
            <w:tcW w:w="1644" w:type="dxa"/>
            <w:vMerge w:val="continue"/>
            <w:noWrap w:val="0"/>
            <w:vAlign w:val="top"/>
          </w:tcPr>
          <w:p w14:paraId="641FF6E1">
            <w:pPr>
              <w:rPr>
                <w:rFonts w:ascii="宋体" w:hAnsi="宋体" w:cs="宋体"/>
                <w:color w:val="000000"/>
                <w:kern w:val="0"/>
                <w:sz w:val="24"/>
                <w:szCs w:val="24"/>
                <w:lang w:bidi="ar"/>
              </w:rPr>
            </w:pPr>
          </w:p>
        </w:tc>
        <w:tc>
          <w:tcPr>
            <w:tcW w:w="3950" w:type="dxa"/>
            <w:noWrap w:val="0"/>
            <w:vAlign w:val="center"/>
          </w:tcPr>
          <w:p w14:paraId="20BFA04B">
            <w:pPr>
              <w:pStyle w:val="16"/>
              <w:rPr>
                <w:color w:val="000000"/>
                <w:sz w:val="21"/>
                <w:szCs w:val="21"/>
                <w:lang w:val="en-US" w:eastAsia="zh-CN"/>
              </w:rPr>
            </w:pPr>
            <w:r>
              <w:rPr>
                <w:rFonts w:hint="eastAsia" w:hAnsi="宋体" w:cs="宋体"/>
                <w:color w:val="000000"/>
                <w:sz w:val="21"/>
                <w:szCs w:val="21"/>
                <w:lang w:val="en-US" w:eastAsia="zh-CN"/>
              </w:rPr>
              <w:t>对其各项功能进行测试</w:t>
            </w:r>
          </w:p>
        </w:tc>
        <w:tc>
          <w:tcPr>
            <w:tcW w:w="1181" w:type="dxa"/>
            <w:vMerge w:val="continue"/>
            <w:noWrap w:val="0"/>
            <w:vAlign w:val="top"/>
          </w:tcPr>
          <w:p w14:paraId="07929037">
            <w:pPr>
              <w:rPr>
                <w:rFonts w:ascii="宋体" w:hAnsi="宋体" w:cs="宋体"/>
                <w:color w:val="000000"/>
                <w:kern w:val="0"/>
                <w:sz w:val="24"/>
                <w:szCs w:val="24"/>
                <w:lang w:bidi="ar"/>
              </w:rPr>
            </w:pPr>
          </w:p>
        </w:tc>
        <w:tc>
          <w:tcPr>
            <w:tcW w:w="1342" w:type="dxa"/>
            <w:noWrap w:val="0"/>
            <w:vAlign w:val="top"/>
          </w:tcPr>
          <w:p w14:paraId="6F53E79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361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081E29C">
            <w:pPr>
              <w:rPr>
                <w:rFonts w:ascii="宋体" w:hAnsi="宋体" w:cs="宋体"/>
                <w:color w:val="000000"/>
                <w:kern w:val="0"/>
                <w:sz w:val="24"/>
                <w:szCs w:val="24"/>
                <w:lang w:bidi="ar"/>
              </w:rPr>
            </w:pPr>
          </w:p>
        </w:tc>
        <w:tc>
          <w:tcPr>
            <w:tcW w:w="1644" w:type="dxa"/>
            <w:vMerge w:val="continue"/>
            <w:noWrap w:val="0"/>
            <w:vAlign w:val="top"/>
          </w:tcPr>
          <w:p w14:paraId="2DBC1C22">
            <w:pPr>
              <w:rPr>
                <w:rFonts w:ascii="宋体" w:hAnsi="宋体" w:cs="宋体"/>
                <w:color w:val="000000"/>
                <w:kern w:val="0"/>
                <w:sz w:val="24"/>
                <w:szCs w:val="24"/>
                <w:lang w:bidi="ar"/>
              </w:rPr>
            </w:pPr>
          </w:p>
        </w:tc>
        <w:tc>
          <w:tcPr>
            <w:tcW w:w="3950" w:type="dxa"/>
            <w:noWrap w:val="0"/>
            <w:vAlign w:val="center"/>
          </w:tcPr>
          <w:p w14:paraId="2E83BE7F">
            <w:pPr>
              <w:pStyle w:val="16"/>
              <w:rPr>
                <w:color w:val="000000"/>
                <w:sz w:val="21"/>
                <w:szCs w:val="21"/>
                <w:lang w:val="en-US" w:eastAsia="zh-CN"/>
              </w:rPr>
            </w:pPr>
            <w:r>
              <w:rPr>
                <w:rFonts w:hint="eastAsia" w:hAnsi="宋体" w:cs="宋体"/>
                <w:color w:val="000000"/>
                <w:sz w:val="21"/>
                <w:szCs w:val="21"/>
                <w:lang w:val="en-US" w:eastAsia="zh-CN"/>
              </w:rPr>
              <w:t>手/自动打印功能、打印清晰度</w:t>
            </w:r>
          </w:p>
        </w:tc>
        <w:tc>
          <w:tcPr>
            <w:tcW w:w="1181" w:type="dxa"/>
            <w:vMerge w:val="continue"/>
            <w:noWrap w:val="0"/>
            <w:vAlign w:val="top"/>
          </w:tcPr>
          <w:p w14:paraId="3184BB9C">
            <w:pPr>
              <w:rPr>
                <w:rFonts w:ascii="宋体" w:hAnsi="宋体" w:cs="宋体"/>
                <w:color w:val="000000"/>
                <w:kern w:val="0"/>
                <w:sz w:val="24"/>
                <w:szCs w:val="24"/>
                <w:lang w:bidi="ar"/>
              </w:rPr>
            </w:pPr>
          </w:p>
        </w:tc>
        <w:tc>
          <w:tcPr>
            <w:tcW w:w="1342" w:type="dxa"/>
            <w:noWrap w:val="0"/>
            <w:vAlign w:val="top"/>
          </w:tcPr>
          <w:p w14:paraId="6E4848F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01A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35FE491">
            <w:pPr>
              <w:rPr>
                <w:rFonts w:ascii="宋体" w:hAnsi="宋体" w:cs="宋体"/>
                <w:color w:val="000000"/>
                <w:kern w:val="0"/>
                <w:sz w:val="24"/>
                <w:szCs w:val="24"/>
                <w:lang w:bidi="ar"/>
              </w:rPr>
            </w:pPr>
          </w:p>
        </w:tc>
        <w:tc>
          <w:tcPr>
            <w:tcW w:w="1644" w:type="dxa"/>
            <w:vMerge w:val="continue"/>
            <w:noWrap w:val="0"/>
            <w:vAlign w:val="top"/>
          </w:tcPr>
          <w:p w14:paraId="5522179F">
            <w:pPr>
              <w:rPr>
                <w:rFonts w:ascii="宋体" w:hAnsi="宋体" w:cs="宋体"/>
                <w:color w:val="000000"/>
                <w:kern w:val="0"/>
                <w:sz w:val="24"/>
                <w:szCs w:val="24"/>
                <w:lang w:bidi="ar"/>
              </w:rPr>
            </w:pPr>
          </w:p>
        </w:tc>
        <w:tc>
          <w:tcPr>
            <w:tcW w:w="3950" w:type="dxa"/>
            <w:noWrap w:val="0"/>
            <w:vAlign w:val="center"/>
          </w:tcPr>
          <w:p w14:paraId="3E96B120">
            <w:pPr>
              <w:pStyle w:val="16"/>
              <w:rPr>
                <w:color w:val="000000"/>
                <w:sz w:val="21"/>
                <w:szCs w:val="21"/>
                <w:lang w:val="en-US" w:eastAsia="zh-CN"/>
              </w:rPr>
            </w:pPr>
            <w:r>
              <w:rPr>
                <w:rFonts w:hint="eastAsia" w:hAnsi="宋体" w:cs="宋体"/>
                <w:color w:val="000000"/>
                <w:sz w:val="21"/>
                <w:szCs w:val="21"/>
                <w:lang w:val="en-US" w:eastAsia="zh-CN"/>
              </w:rPr>
              <w:t>显示器图文显示功能</w:t>
            </w:r>
          </w:p>
        </w:tc>
        <w:tc>
          <w:tcPr>
            <w:tcW w:w="1181" w:type="dxa"/>
            <w:vMerge w:val="continue"/>
            <w:noWrap w:val="0"/>
            <w:vAlign w:val="top"/>
          </w:tcPr>
          <w:p w14:paraId="641BA711">
            <w:pPr>
              <w:rPr>
                <w:rFonts w:ascii="宋体" w:hAnsi="宋体" w:cs="宋体"/>
                <w:color w:val="000000"/>
                <w:kern w:val="0"/>
                <w:sz w:val="24"/>
                <w:szCs w:val="24"/>
                <w:lang w:bidi="ar"/>
              </w:rPr>
            </w:pPr>
          </w:p>
        </w:tc>
        <w:tc>
          <w:tcPr>
            <w:tcW w:w="1342" w:type="dxa"/>
            <w:noWrap w:val="0"/>
            <w:vAlign w:val="top"/>
          </w:tcPr>
          <w:p w14:paraId="6504545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8D9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DCE4DD8">
            <w:pPr>
              <w:rPr>
                <w:rFonts w:ascii="宋体" w:hAnsi="宋体" w:cs="宋体"/>
                <w:color w:val="000000"/>
                <w:kern w:val="0"/>
                <w:sz w:val="24"/>
                <w:szCs w:val="24"/>
                <w:lang w:bidi="ar"/>
              </w:rPr>
            </w:pPr>
          </w:p>
        </w:tc>
        <w:tc>
          <w:tcPr>
            <w:tcW w:w="1644" w:type="dxa"/>
            <w:vMerge w:val="restart"/>
            <w:noWrap w:val="0"/>
            <w:vAlign w:val="center"/>
          </w:tcPr>
          <w:p w14:paraId="1FB44317">
            <w:pPr>
              <w:jc w:val="center"/>
              <w:rPr>
                <w:rFonts w:ascii="宋体" w:hAnsi="宋体" w:cs="宋体"/>
                <w:color w:val="000000"/>
                <w:kern w:val="0"/>
                <w:sz w:val="24"/>
                <w:szCs w:val="24"/>
                <w:lang w:bidi="ar"/>
              </w:rPr>
            </w:pPr>
            <w:r>
              <w:rPr>
                <w:rFonts w:hint="eastAsia" w:ascii="宋体" w:hAnsi="宋体" w:cs="宋体"/>
                <w:color w:val="000000"/>
                <w:w w:val="95"/>
                <w:szCs w:val="21"/>
              </w:rPr>
              <w:t>联动控制柜</w:t>
            </w:r>
          </w:p>
        </w:tc>
        <w:tc>
          <w:tcPr>
            <w:tcW w:w="3950" w:type="dxa"/>
            <w:noWrap w:val="0"/>
            <w:vAlign w:val="center"/>
          </w:tcPr>
          <w:p w14:paraId="459E158E">
            <w:pPr>
              <w:rPr>
                <w:rFonts w:ascii="宋体" w:hAnsi="宋体" w:cs="宋体"/>
                <w:color w:val="000000"/>
                <w:szCs w:val="21"/>
              </w:rPr>
            </w:pPr>
            <w:r>
              <w:rPr>
                <w:rFonts w:hint="eastAsia" w:ascii="宋体" w:hAnsi="宋体" w:cs="宋体"/>
                <w:color w:val="000000"/>
                <w:szCs w:val="21"/>
              </w:rPr>
              <w:t>对其各项功能进行测试</w:t>
            </w:r>
          </w:p>
        </w:tc>
        <w:tc>
          <w:tcPr>
            <w:tcW w:w="1181" w:type="dxa"/>
            <w:vMerge w:val="restart"/>
            <w:noWrap w:val="0"/>
            <w:vAlign w:val="center"/>
          </w:tcPr>
          <w:p w14:paraId="2608097C">
            <w:pPr>
              <w:jc w:val="center"/>
              <w:rPr>
                <w:rFonts w:ascii="宋体" w:hAnsi="宋体" w:cs="宋体"/>
                <w:color w:val="000000"/>
                <w:kern w:val="0"/>
                <w:sz w:val="24"/>
                <w:szCs w:val="24"/>
                <w:lang w:bidi="ar"/>
              </w:rPr>
            </w:pPr>
            <w:r>
              <w:rPr>
                <w:rFonts w:hint="eastAsia" w:ascii="宋体" w:hAnsi="宋体" w:cs="宋体"/>
                <w:color w:val="000000"/>
                <w:kern w:val="0"/>
                <w:szCs w:val="21"/>
                <w:lang w:bidi="ar"/>
              </w:rPr>
              <w:t>测试</w:t>
            </w:r>
          </w:p>
        </w:tc>
        <w:tc>
          <w:tcPr>
            <w:tcW w:w="1342" w:type="dxa"/>
            <w:noWrap w:val="0"/>
            <w:vAlign w:val="top"/>
          </w:tcPr>
          <w:p w14:paraId="0AD97F66">
            <w:pPr>
              <w:rPr>
                <w:rFonts w:ascii="宋体" w:hAnsi="宋体" w:cs="宋体"/>
                <w:color w:val="000000"/>
                <w:kern w:val="0"/>
                <w:szCs w:val="21"/>
                <w:lang w:bidi="ar"/>
              </w:rPr>
            </w:pPr>
            <w:r>
              <w:rPr>
                <w:rFonts w:hint="eastAsia" w:ascii="宋体" w:hAnsi="宋体" w:cs="宋体"/>
                <w:color w:val="000000"/>
                <w:kern w:val="0"/>
                <w:szCs w:val="21"/>
                <w:lang w:bidi="ar"/>
              </w:rPr>
              <w:t>非开放时间</w:t>
            </w:r>
          </w:p>
        </w:tc>
      </w:tr>
      <w:tr w14:paraId="3E3E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F868977">
            <w:pPr>
              <w:rPr>
                <w:rFonts w:ascii="宋体" w:hAnsi="宋体" w:cs="宋体"/>
                <w:color w:val="000000"/>
                <w:kern w:val="0"/>
                <w:sz w:val="24"/>
                <w:szCs w:val="24"/>
                <w:lang w:bidi="ar"/>
              </w:rPr>
            </w:pPr>
          </w:p>
        </w:tc>
        <w:tc>
          <w:tcPr>
            <w:tcW w:w="1644" w:type="dxa"/>
            <w:vMerge w:val="continue"/>
            <w:noWrap w:val="0"/>
            <w:vAlign w:val="top"/>
          </w:tcPr>
          <w:p w14:paraId="0B03683D">
            <w:pPr>
              <w:rPr>
                <w:rFonts w:ascii="宋体" w:hAnsi="宋体" w:cs="宋体"/>
                <w:color w:val="000000"/>
                <w:w w:val="95"/>
                <w:szCs w:val="21"/>
              </w:rPr>
            </w:pPr>
          </w:p>
        </w:tc>
        <w:tc>
          <w:tcPr>
            <w:tcW w:w="3950" w:type="dxa"/>
            <w:noWrap w:val="0"/>
            <w:vAlign w:val="center"/>
          </w:tcPr>
          <w:p w14:paraId="55B79306">
            <w:pPr>
              <w:pStyle w:val="16"/>
              <w:rPr>
                <w:color w:val="000000"/>
                <w:sz w:val="21"/>
                <w:szCs w:val="21"/>
                <w:lang w:val="en-US" w:eastAsia="zh-CN"/>
              </w:rPr>
            </w:pPr>
            <w:r>
              <w:rPr>
                <w:rFonts w:hint="eastAsia" w:hAnsi="宋体" w:cs="宋体"/>
                <w:color w:val="000000"/>
                <w:sz w:val="21"/>
                <w:szCs w:val="21"/>
                <w:lang w:val="en-US" w:eastAsia="zh-CN"/>
              </w:rPr>
              <w:t>主备电切换、电池充放电功能</w:t>
            </w:r>
          </w:p>
        </w:tc>
        <w:tc>
          <w:tcPr>
            <w:tcW w:w="1181" w:type="dxa"/>
            <w:vMerge w:val="continue"/>
            <w:noWrap w:val="0"/>
            <w:vAlign w:val="top"/>
          </w:tcPr>
          <w:p w14:paraId="51008E96">
            <w:pPr>
              <w:rPr>
                <w:rFonts w:ascii="宋体" w:hAnsi="宋体" w:cs="宋体"/>
                <w:color w:val="000000"/>
                <w:kern w:val="0"/>
                <w:sz w:val="24"/>
                <w:szCs w:val="24"/>
                <w:lang w:bidi="ar"/>
              </w:rPr>
            </w:pPr>
          </w:p>
        </w:tc>
        <w:tc>
          <w:tcPr>
            <w:tcW w:w="1342" w:type="dxa"/>
            <w:noWrap w:val="0"/>
            <w:vAlign w:val="top"/>
          </w:tcPr>
          <w:p w14:paraId="62B9F3E6">
            <w:pPr>
              <w:rPr>
                <w:rFonts w:ascii="宋体" w:hAnsi="宋体" w:cs="宋体"/>
                <w:color w:val="000000"/>
                <w:kern w:val="0"/>
                <w:szCs w:val="21"/>
                <w:lang w:bidi="ar"/>
              </w:rPr>
            </w:pPr>
            <w:r>
              <w:rPr>
                <w:rFonts w:hint="eastAsia" w:ascii="宋体" w:hAnsi="宋体" w:cs="宋体"/>
                <w:color w:val="000000"/>
                <w:kern w:val="0"/>
                <w:szCs w:val="21"/>
                <w:lang w:bidi="ar"/>
              </w:rPr>
              <w:t>非开放时间</w:t>
            </w:r>
          </w:p>
        </w:tc>
      </w:tr>
      <w:tr w14:paraId="5A2E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A1BBD91">
            <w:pPr>
              <w:rPr>
                <w:rFonts w:ascii="宋体" w:hAnsi="宋体" w:cs="宋体"/>
                <w:color w:val="000000"/>
                <w:kern w:val="0"/>
                <w:sz w:val="24"/>
                <w:szCs w:val="24"/>
                <w:lang w:bidi="ar"/>
              </w:rPr>
            </w:pPr>
          </w:p>
        </w:tc>
        <w:tc>
          <w:tcPr>
            <w:tcW w:w="1644" w:type="dxa"/>
            <w:vMerge w:val="continue"/>
            <w:noWrap w:val="0"/>
            <w:vAlign w:val="top"/>
          </w:tcPr>
          <w:p w14:paraId="09291703">
            <w:pPr>
              <w:rPr>
                <w:rFonts w:ascii="宋体" w:hAnsi="宋体" w:cs="宋体"/>
                <w:color w:val="000000"/>
                <w:w w:val="95"/>
                <w:szCs w:val="21"/>
              </w:rPr>
            </w:pPr>
          </w:p>
        </w:tc>
        <w:tc>
          <w:tcPr>
            <w:tcW w:w="3950" w:type="dxa"/>
            <w:noWrap w:val="0"/>
            <w:vAlign w:val="center"/>
          </w:tcPr>
          <w:p w14:paraId="503A42FE">
            <w:pPr>
              <w:pStyle w:val="16"/>
              <w:rPr>
                <w:color w:val="000000"/>
                <w:sz w:val="21"/>
                <w:szCs w:val="21"/>
                <w:lang w:val="en-US" w:eastAsia="zh-CN"/>
              </w:rPr>
            </w:pPr>
            <w:r>
              <w:rPr>
                <w:rFonts w:hint="eastAsia" w:hAnsi="宋体" w:cs="宋体"/>
                <w:color w:val="000000"/>
                <w:sz w:val="21"/>
                <w:szCs w:val="21"/>
                <w:lang w:val="en-US" w:eastAsia="zh-CN"/>
              </w:rPr>
              <w:t>信号线、电源线绝缘电阻以及接地线接地</w:t>
            </w:r>
          </w:p>
        </w:tc>
        <w:tc>
          <w:tcPr>
            <w:tcW w:w="1181" w:type="dxa"/>
            <w:vMerge w:val="continue"/>
            <w:noWrap w:val="0"/>
            <w:vAlign w:val="top"/>
          </w:tcPr>
          <w:p w14:paraId="0BFEAC17">
            <w:pPr>
              <w:rPr>
                <w:rFonts w:ascii="宋体" w:hAnsi="宋体" w:cs="宋体"/>
                <w:color w:val="000000"/>
                <w:kern w:val="0"/>
                <w:sz w:val="24"/>
                <w:szCs w:val="24"/>
                <w:lang w:bidi="ar"/>
              </w:rPr>
            </w:pPr>
          </w:p>
        </w:tc>
        <w:tc>
          <w:tcPr>
            <w:tcW w:w="1342" w:type="dxa"/>
            <w:noWrap w:val="0"/>
            <w:vAlign w:val="top"/>
          </w:tcPr>
          <w:p w14:paraId="083657C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92C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D173AF3">
            <w:pPr>
              <w:rPr>
                <w:rFonts w:ascii="宋体" w:hAnsi="宋体" w:cs="宋体"/>
                <w:color w:val="000000"/>
                <w:kern w:val="0"/>
                <w:sz w:val="24"/>
                <w:szCs w:val="24"/>
                <w:lang w:bidi="ar"/>
              </w:rPr>
            </w:pPr>
          </w:p>
        </w:tc>
        <w:tc>
          <w:tcPr>
            <w:tcW w:w="1644" w:type="dxa"/>
            <w:vMerge w:val="continue"/>
            <w:noWrap w:val="0"/>
            <w:vAlign w:val="top"/>
          </w:tcPr>
          <w:p w14:paraId="794759A2">
            <w:pPr>
              <w:rPr>
                <w:rFonts w:ascii="宋体" w:hAnsi="宋体" w:cs="宋体"/>
                <w:color w:val="000000"/>
                <w:w w:val="95"/>
                <w:szCs w:val="21"/>
              </w:rPr>
            </w:pPr>
          </w:p>
        </w:tc>
        <w:tc>
          <w:tcPr>
            <w:tcW w:w="3950" w:type="dxa"/>
            <w:noWrap w:val="0"/>
            <w:vAlign w:val="center"/>
          </w:tcPr>
          <w:p w14:paraId="24465596">
            <w:pPr>
              <w:rPr>
                <w:rFonts w:ascii="宋体" w:hAnsi="宋体" w:cs="宋体"/>
                <w:color w:val="000000"/>
                <w:szCs w:val="21"/>
              </w:rPr>
            </w:pPr>
            <w:r>
              <w:rPr>
                <w:rFonts w:hint="eastAsia" w:ascii="宋体" w:hAnsi="宋体" w:cs="宋体"/>
                <w:color w:val="000000"/>
                <w:szCs w:val="21"/>
              </w:rPr>
              <w:t>电器元件、电子板除锈、除尘</w:t>
            </w:r>
          </w:p>
        </w:tc>
        <w:tc>
          <w:tcPr>
            <w:tcW w:w="1181" w:type="dxa"/>
            <w:vMerge w:val="restart"/>
            <w:noWrap w:val="0"/>
            <w:vAlign w:val="center"/>
          </w:tcPr>
          <w:p w14:paraId="45BF6391">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清洁、检查</w:t>
            </w:r>
          </w:p>
        </w:tc>
        <w:tc>
          <w:tcPr>
            <w:tcW w:w="1342" w:type="dxa"/>
            <w:noWrap w:val="0"/>
            <w:vAlign w:val="top"/>
          </w:tcPr>
          <w:p w14:paraId="4200E8A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1AD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A5C8500">
            <w:pPr>
              <w:rPr>
                <w:rFonts w:ascii="宋体" w:hAnsi="宋体" w:cs="宋体"/>
                <w:color w:val="000000"/>
                <w:kern w:val="0"/>
                <w:sz w:val="24"/>
                <w:szCs w:val="24"/>
                <w:lang w:bidi="ar"/>
              </w:rPr>
            </w:pPr>
          </w:p>
        </w:tc>
        <w:tc>
          <w:tcPr>
            <w:tcW w:w="1644" w:type="dxa"/>
            <w:vMerge w:val="continue"/>
            <w:noWrap w:val="0"/>
            <w:vAlign w:val="top"/>
          </w:tcPr>
          <w:p w14:paraId="088F80A7">
            <w:pPr>
              <w:rPr>
                <w:rFonts w:ascii="宋体" w:hAnsi="宋体" w:cs="宋体"/>
                <w:color w:val="000000"/>
                <w:w w:val="95"/>
                <w:szCs w:val="21"/>
              </w:rPr>
            </w:pPr>
          </w:p>
        </w:tc>
        <w:tc>
          <w:tcPr>
            <w:tcW w:w="3950" w:type="dxa"/>
            <w:noWrap w:val="0"/>
            <w:vAlign w:val="center"/>
          </w:tcPr>
          <w:p w14:paraId="4770800D">
            <w:pPr>
              <w:pStyle w:val="16"/>
              <w:rPr>
                <w:color w:val="000000"/>
                <w:sz w:val="21"/>
                <w:szCs w:val="21"/>
                <w:lang w:val="en-US" w:eastAsia="zh-CN"/>
              </w:rPr>
            </w:pPr>
            <w:r>
              <w:rPr>
                <w:rFonts w:hint="eastAsia" w:hAnsi="宋体" w:cs="宋体"/>
                <w:color w:val="000000"/>
                <w:sz w:val="21"/>
                <w:szCs w:val="21"/>
                <w:lang w:val="en-US" w:eastAsia="zh-CN"/>
              </w:rPr>
              <w:t>箱体内外表面清洁</w:t>
            </w:r>
          </w:p>
        </w:tc>
        <w:tc>
          <w:tcPr>
            <w:tcW w:w="1181" w:type="dxa"/>
            <w:vMerge w:val="continue"/>
            <w:noWrap w:val="0"/>
            <w:vAlign w:val="top"/>
          </w:tcPr>
          <w:p w14:paraId="7AC8634C">
            <w:pPr>
              <w:rPr>
                <w:rFonts w:ascii="宋体" w:hAnsi="宋体" w:cs="宋体"/>
                <w:color w:val="000000"/>
                <w:kern w:val="0"/>
                <w:sz w:val="24"/>
                <w:szCs w:val="24"/>
                <w:lang w:bidi="ar"/>
              </w:rPr>
            </w:pPr>
          </w:p>
        </w:tc>
        <w:tc>
          <w:tcPr>
            <w:tcW w:w="1342" w:type="dxa"/>
            <w:noWrap w:val="0"/>
            <w:vAlign w:val="top"/>
          </w:tcPr>
          <w:p w14:paraId="7934A4B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99B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B6E6737">
            <w:pPr>
              <w:rPr>
                <w:rFonts w:ascii="宋体" w:hAnsi="宋体" w:cs="宋体"/>
                <w:color w:val="000000"/>
                <w:kern w:val="0"/>
                <w:sz w:val="24"/>
                <w:szCs w:val="24"/>
                <w:lang w:bidi="ar"/>
              </w:rPr>
            </w:pPr>
          </w:p>
        </w:tc>
        <w:tc>
          <w:tcPr>
            <w:tcW w:w="1644" w:type="dxa"/>
            <w:vMerge w:val="continue"/>
            <w:noWrap w:val="0"/>
            <w:vAlign w:val="top"/>
          </w:tcPr>
          <w:p w14:paraId="5110A6E7">
            <w:pPr>
              <w:rPr>
                <w:rFonts w:ascii="宋体" w:hAnsi="宋体" w:cs="宋体"/>
                <w:color w:val="000000"/>
                <w:w w:val="95"/>
                <w:szCs w:val="21"/>
              </w:rPr>
            </w:pPr>
          </w:p>
        </w:tc>
        <w:tc>
          <w:tcPr>
            <w:tcW w:w="3950" w:type="dxa"/>
            <w:noWrap w:val="0"/>
            <w:vAlign w:val="center"/>
          </w:tcPr>
          <w:p w14:paraId="2905336C">
            <w:pPr>
              <w:rPr>
                <w:rFonts w:ascii="宋体" w:hAnsi="宋体" w:cs="宋体"/>
                <w:color w:val="000000"/>
                <w:szCs w:val="21"/>
              </w:rPr>
            </w:pPr>
            <w:r>
              <w:rPr>
                <w:rFonts w:hint="eastAsia" w:ascii="宋体" w:hAnsi="宋体" w:cs="宋体"/>
                <w:color w:val="000000"/>
                <w:szCs w:val="21"/>
              </w:rPr>
              <w:t>设备元器件、标识的完好情况</w:t>
            </w:r>
          </w:p>
        </w:tc>
        <w:tc>
          <w:tcPr>
            <w:tcW w:w="1181" w:type="dxa"/>
            <w:vMerge w:val="continue"/>
            <w:noWrap w:val="0"/>
            <w:vAlign w:val="top"/>
          </w:tcPr>
          <w:p w14:paraId="7306BB2C">
            <w:pPr>
              <w:rPr>
                <w:rFonts w:ascii="宋体" w:hAnsi="宋体" w:cs="宋体"/>
                <w:color w:val="000000"/>
                <w:kern w:val="0"/>
                <w:sz w:val="24"/>
                <w:szCs w:val="24"/>
                <w:lang w:bidi="ar"/>
              </w:rPr>
            </w:pPr>
          </w:p>
        </w:tc>
        <w:tc>
          <w:tcPr>
            <w:tcW w:w="1342" w:type="dxa"/>
            <w:noWrap w:val="0"/>
            <w:vAlign w:val="top"/>
          </w:tcPr>
          <w:p w14:paraId="3A99758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65E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24326AC">
            <w:pPr>
              <w:rPr>
                <w:rFonts w:ascii="宋体" w:hAnsi="宋体" w:cs="宋体"/>
                <w:color w:val="000000"/>
                <w:kern w:val="0"/>
                <w:sz w:val="24"/>
                <w:szCs w:val="24"/>
                <w:lang w:bidi="ar"/>
              </w:rPr>
            </w:pPr>
          </w:p>
        </w:tc>
        <w:tc>
          <w:tcPr>
            <w:tcW w:w="1644" w:type="dxa"/>
            <w:vMerge w:val="continue"/>
            <w:noWrap w:val="0"/>
            <w:vAlign w:val="top"/>
          </w:tcPr>
          <w:p w14:paraId="3836BF53">
            <w:pPr>
              <w:rPr>
                <w:rFonts w:ascii="宋体" w:hAnsi="宋体" w:cs="宋体"/>
                <w:color w:val="000000"/>
                <w:w w:val="95"/>
                <w:szCs w:val="21"/>
              </w:rPr>
            </w:pPr>
          </w:p>
        </w:tc>
        <w:tc>
          <w:tcPr>
            <w:tcW w:w="3950" w:type="dxa"/>
            <w:noWrap w:val="0"/>
            <w:vAlign w:val="center"/>
          </w:tcPr>
          <w:p w14:paraId="14F706E0">
            <w:pPr>
              <w:rPr>
                <w:rFonts w:ascii="宋体" w:hAnsi="宋体" w:cs="宋体"/>
                <w:color w:val="000000"/>
                <w:szCs w:val="21"/>
              </w:rPr>
            </w:pPr>
            <w:r>
              <w:rPr>
                <w:rFonts w:hint="eastAsia" w:ascii="宋体" w:hAnsi="宋体" w:cs="宋体"/>
                <w:color w:val="000000"/>
                <w:szCs w:val="21"/>
              </w:rPr>
              <w:t>接线端子接线进行整理、紧固</w:t>
            </w:r>
          </w:p>
        </w:tc>
        <w:tc>
          <w:tcPr>
            <w:tcW w:w="1181" w:type="dxa"/>
            <w:vMerge w:val="continue"/>
            <w:noWrap w:val="0"/>
            <w:vAlign w:val="top"/>
          </w:tcPr>
          <w:p w14:paraId="618B8308">
            <w:pPr>
              <w:rPr>
                <w:rFonts w:ascii="宋体" w:hAnsi="宋体" w:cs="宋体"/>
                <w:color w:val="000000"/>
                <w:kern w:val="0"/>
                <w:sz w:val="24"/>
                <w:szCs w:val="24"/>
                <w:lang w:bidi="ar"/>
              </w:rPr>
            </w:pPr>
          </w:p>
        </w:tc>
        <w:tc>
          <w:tcPr>
            <w:tcW w:w="1342" w:type="dxa"/>
            <w:noWrap w:val="0"/>
            <w:vAlign w:val="top"/>
          </w:tcPr>
          <w:p w14:paraId="0405C4C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EA0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D9AF5D2">
            <w:pPr>
              <w:rPr>
                <w:rFonts w:ascii="宋体" w:hAnsi="宋体" w:cs="宋体"/>
                <w:color w:val="000000"/>
                <w:kern w:val="0"/>
                <w:sz w:val="24"/>
                <w:szCs w:val="24"/>
                <w:lang w:bidi="ar"/>
              </w:rPr>
            </w:pPr>
          </w:p>
        </w:tc>
        <w:tc>
          <w:tcPr>
            <w:tcW w:w="1644" w:type="dxa"/>
            <w:vMerge w:val="restart"/>
            <w:noWrap w:val="0"/>
            <w:vAlign w:val="center"/>
          </w:tcPr>
          <w:p w14:paraId="67F1F450">
            <w:pPr>
              <w:pStyle w:val="16"/>
              <w:jc w:val="center"/>
              <w:rPr>
                <w:color w:val="000000"/>
                <w:w w:val="95"/>
                <w:sz w:val="21"/>
                <w:szCs w:val="21"/>
                <w:lang w:val="en-US" w:eastAsia="zh-CN"/>
              </w:rPr>
            </w:pPr>
            <w:r>
              <w:rPr>
                <w:rFonts w:hint="eastAsia" w:hAnsi="宋体" w:cs="宋体"/>
                <w:color w:val="000000"/>
                <w:kern w:val="0"/>
                <w:sz w:val="21"/>
                <w:szCs w:val="21"/>
                <w:lang w:val="en-US" w:eastAsia="zh-CN" w:bidi="ar"/>
              </w:rPr>
              <w:t>220V电源箱、24V电源箱、电池箱</w:t>
            </w:r>
          </w:p>
        </w:tc>
        <w:tc>
          <w:tcPr>
            <w:tcW w:w="3950" w:type="dxa"/>
            <w:noWrap w:val="0"/>
            <w:vAlign w:val="center"/>
          </w:tcPr>
          <w:p w14:paraId="64C28BD8">
            <w:pPr>
              <w:rPr>
                <w:rFonts w:ascii="宋体" w:hAnsi="宋体" w:cs="宋体"/>
                <w:color w:val="000000"/>
                <w:szCs w:val="21"/>
              </w:rPr>
            </w:pPr>
            <w:r>
              <w:rPr>
                <w:rFonts w:hint="eastAsia" w:ascii="宋体" w:hAnsi="宋体" w:cs="宋体"/>
                <w:color w:val="000000"/>
                <w:szCs w:val="21"/>
              </w:rPr>
              <w:t>电源线绝缘电阻以及接地线接地</w:t>
            </w:r>
          </w:p>
        </w:tc>
        <w:tc>
          <w:tcPr>
            <w:tcW w:w="1181" w:type="dxa"/>
            <w:noWrap w:val="0"/>
            <w:vAlign w:val="center"/>
          </w:tcPr>
          <w:p w14:paraId="4B07ABE3">
            <w:pPr>
              <w:jc w:val="center"/>
              <w:rPr>
                <w:rFonts w:ascii="宋体" w:hAnsi="宋体" w:cs="宋体"/>
                <w:color w:val="000000"/>
                <w:kern w:val="0"/>
                <w:sz w:val="24"/>
                <w:szCs w:val="24"/>
                <w:lang w:bidi="ar"/>
              </w:rPr>
            </w:pPr>
            <w:r>
              <w:rPr>
                <w:rFonts w:hint="eastAsia" w:ascii="宋体" w:hAnsi="宋体" w:cs="宋体"/>
                <w:color w:val="000000"/>
                <w:kern w:val="0"/>
                <w:szCs w:val="21"/>
                <w:lang w:bidi="ar"/>
              </w:rPr>
              <w:t>测试</w:t>
            </w:r>
          </w:p>
        </w:tc>
        <w:tc>
          <w:tcPr>
            <w:tcW w:w="1342" w:type="dxa"/>
            <w:noWrap w:val="0"/>
            <w:vAlign w:val="top"/>
          </w:tcPr>
          <w:p w14:paraId="15B6023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864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BCB447D">
            <w:pPr>
              <w:rPr>
                <w:rFonts w:ascii="宋体" w:hAnsi="宋体" w:cs="宋体"/>
                <w:color w:val="000000"/>
                <w:kern w:val="0"/>
                <w:sz w:val="24"/>
                <w:szCs w:val="24"/>
                <w:lang w:bidi="ar"/>
              </w:rPr>
            </w:pPr>
          </w:p>
        </w:tc>
        <w:tc>
          <w:tcPr>
            <w:tcW w:w="1644" w:type="dxa"/>
            <w:vMerge w:val="continue"/>
            <w:noWrap w:val="0"/>
            <w:vAlign w:val="top"/>
          </w:tcPr>
          <w:p w14:paraId="11205CF8">
            <w:pPr>
              <w:rPr>
                <w:rFonts w:ascii="宋体" w:hAnsi="宋体" w:cs="宋体"/>
                <w:color w:val="000000"/>
                <w:w w:val="95"/>
                <w:szCs w:val="21"/>
              </w:rPr>
            </w:pPr>
          </w:p>
        </w:tc>
        <w:tc>
          <w:tcPr>
            <w:tcW w:w="3950" w:type="dxa"/>
            <w:noWrap w:val="0"/>
            <w:vAlign w:val="center"/>
          </w:tcPr>
          <w:p w14:paraId="0391553B">
            <w:pPr>
              <w:rPr>
                <w:rFonts w:ascii="宋体" w:hAnsi="宋体" w:cs="宋体"/>
                <w:color w:val="000000"/>
                <w:szCs w:val="21"/>
              </w:rPr>
            </w:pPr>
            <w:r>
              <w:rPr>
                <w:rFonts w:hint="eastAsia" w:ascii="宋体" w:hAnsi="宋体" w:cs="宋体"/>
                <w:color w:val="000000"/>
                <w:szCs w:val="21"/>
              </w:rPr>
              <w:t>电器元件、电子板除锈、除尘</w:t>
            </w:r>
          </w:p>
        </w:tc>
        <w:tc>
          <w:tcPr>
            <w:tcW w:w="1181" w:type="dxa"/>
            <w:vMerge w:val="restart"/>
            <w:noWrap w:val="0"/>
            <w:vAlign w:val="center"/>
          </w:tcPr>
          <w:p w14:paraId="385C4DD4">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清洁、检查</w:t>
            </w:r>
          </w:p>
        </w:tc>
        <w:tc>
          <w:tcPr>
            <w:tcW w:w="1342" w:type="dxa"/>
            <w:noWrap w:val="0"/>
            <w:vAlign w:val="top"/>
          </w:tcPr>
          <w:p w14:paraId="568803D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9E0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BD37A8E">
            <w:pPr>
              <w:rPr>
                <w:rFonts w:ascii="宋体" w:hAnsi="宋体" w:cs="宋体"/>
                <w:color w:val="000000"/>
                <w:kern w:val="0"/>
                <w:sz w:val="24"/>
                <w:szCs w:val="24"/>
                <w:lang w:bidi="ar"/>
              </w:rPr>
            </w:pPr>
          </w:p>
        </w:tc>
        <w:tc>
          <w:tcPr>
            <w:tcW w:w="1644" w:type="dxa"/>
            <w:vMerge w:val="continue"/>
            <w:noWrap w:val="0"/>
            <w:vAlign w:val="top"/>
          </w:tcPr>
          <w:p w14:paraId="46C525EA">
            <w:pPr>
              <w:rPr>
                <w:rFonts w:ascii="宋体" w:hAnsi="宋体" w:cs="宋体"/>
                <w:color w:val="000000"/>
                <w:w w:val="95"/>
                <w:szCs w:val="21"/>
              </w:rPr>
            </w:pPr>
          </w:p>
        </w:tc>
        <w:tc>
          <w:tcPr>
            <w:tcW w:w="3950" w:type="dxa"/>
            <w:noWrap w:val="0"/>
            <w:vAlign w:val="center"/>
          </w:tcPr>
          <w:p w14:paraId="668BD89F">
            <w:pPr>
              <w:pStyle w:val="16"/>
              <w:rPr>
                <w:color w:val="000000"/>
                <w:sz w:val="21"/>
                <w:szCs w:val="21"/>
                <w:lang w:val="en-US" w:eastAsia="zh-CN"/>
              </w:rPr>
            </w:pPr>
            <w:r>
              <w:rPr>
                <w:rFonts w:hint="eastAsia" w:hAnsi="宋体" w:cs="宋体"/>
                <w:color w:val="000000"/>
                <w:sz w:val="21"/>
                <w:szCs w:val="21"/>
                <w:lang w:val="en-US" w:eastAsia="zh-CN"/>
              </w:rPr>
              <w:t>箱体内外表面清洁</w:t>
            </w:r>
          </w:p>
        </w:tc>
        <w:tc>
          <w:tcPr>
            <w:tcW w:w="1181" w:type="dxa"/>
            <w:vMerge w:val="continue"/>
            <w:noWrap w:val="0"/>
            <w:vAlign w:val="top"/>
          </w:tcPr>
          <w:p w14:paraId="140B9901">
            <w:pPr>
              <w:rPr>
                <w:rFonts w:ascii="宋体" w:hAnsi="宋体" w:cs="宋体"/>
                <w:color w:val="000000"/>
                <w:kern w:val="0"/>
                <w:sz w:val="24"/>
                <w:szCs w:val="24"/>
                <w:lang w:bidi="ar"/>
              </w:rPr>
            </w:pPr>
          </w:p>
        </w:tc>
        <w:tc>
          <w:tcPr>
            <w:tcW w:w="1342" w:type="dxa"/>
            <w:noWrap w:val="0"/>
            <w:vAlign w:val="top"/>
          </w:tcPr>
          <w:p w14:paraId="07702AB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944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CD07E2B">
            <w:pPr>
              <w:rPr>
                <w:rFonts w:ascii="宋体" w:hAnsi="宋体" w:cs="宋体"/>
                <w:color w:val="000000"/>
                <w:kern w:val="0"/>
                <w:sz w:val="24"/>
                <w:szCs w:val="24"/>
                <w:lang w:bidi="ar"/>
              </w:rPr>
            </w:pPr>
          </w:p>
        </w:tc>
        <w:tc>
          <w:tcPr>
            <w:tcW w:w="1644" w:type="dxa"/>
            <w:vMerge w:val="continue"/>
            <w:noWrap w:val="0"/>
            <w:vAlign w:val="top"/>
          </w:tcPr>
          <w:p w14:paraId="73F5B3FC">
            <w:pPr>
              <w:rPr>
                <w:rFonts w:ascii="宋体" w:hAnsi="宋体" w:cs="宋体"/>
                <w:color w:val="000000"/>
                <w:w w:val="95"/>
                <w:szCs w:val="21"/>
              </w:rPr>
            </w:pPr>
          </w:p>
        </w:tc>
        <w:tc>
          <w:tcPr>
            <w:tcW w:w="3950" w:type="dxa"/>
            <w:noWrap w:val="0"/>
            <w:vAlign w:val="center"/>
          </w:tcPr>
          <w:p w14:paraId="509D18F1">
            <w:pPr>
              <w:pStyle w:val="16"/>
              <w:rPr>
                <w:color w:val="000000"/>
                <w:sz w:val="21"/>
                <w:szCs w:val="21"/>
                <w:lang w:val="en-US" w:eastAsia="zh-CN"/>
              </w:rPr>
            </w:pPr>
            <w:r>
              <w:rPr>
                <w:rFonts w:hint="eastAsia" w:hAnsi="宋体" w:cs="宋体"/>
                <w:color w:val="000000"/>
                <w:sz w:val="21"/>
                <w:szCs w:val="21"/>
                <w:lang w:val="en-US" w:eastAsia="zh-CN"/>
              </w:rPr>
              <w:t>设备元器件、标识的完好情况</w:t>
            </w:r>
          </w:p>
        </w:tc>
        <w:tc>
          <w:tcPr>
            <w:tcW w:w="1181" w:type="dxa"/>
            <w:vMerge w:val="continue"/>
            <w:noWrap w:val="0"/>
            <w:vAlign w:val="top"/>
          </w:tcPr>
          <w:p w14:paraId="57DD6018">
            <w:pPr>
              <w:rPr>
                <w:rFonts w:ascii="宋体" w:hAnsi="宋体" w:cs="宋体"/>
                <w:color w:val="000000"/>
                <w:kern w:val="0"/>
                <w:sz w:val="24"/>
                <w:szCs w:val="24"/>
                <w:lang w:bidi="ar"/>
              </w:rPr>
            </w:pPr>
          </w:p>
        </w:tc>
        <w:tc>
          <w:tcPr>
            <w:tcW w:w="1342" w:type="dxa"/>
            <w:noWrap w:val="0"/>
            <w:vAlign w:val="top"/>
          </w:tcPr>
          <w:p w14:paraId="46247D8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636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A4978A0">
            <w:pPr>
              <w:rPr>
                <w:rFonts w:ascii="宋体" w:hAnsi="宋体" w:cs="宋体"/>
                <w:color w:val="000000"/>
                <w:kern w:val="0"/>
                <w:sz w:val="24"/>
                <w:szCs w:val="24"/>
                <w:lang w:bidi="ar"/>
              </w:rPr>
            </w:pPr>
          </w:p>
        </w:tc>
        <w:tc>
          <w:tcPr>
            <w:tcW w:w="1644" w:type="dxa"/>
            <w:vMerge w:val="continue"/>
            <w:noWrap w:val="0"/>
            <w:vAlign w:val="top"/>
          </w:tcPr>
          <w:p w14:paraId="3AEA45BF">
            <w:pPr>
              <w:rPr>
                <w:rFonts w:ascii="宋体" w:hAnsi="宋体" w:cs="宋体"/>
                <w:color w:val="000000"/>
                <w:w w:val="95"/>
                <w:szCs w:val="21"/>
              </w:rPr>
            </w:pPr>
          </w:p>
        </w:tc>
        <w:tc>
          <w:tcPr>
            <w:tcW w:w="3950" w:type="dxa"/>
            <w:noWrap w:val="0"/>
            <w:vAlign w:val="center"/>
          </w:tcPr>
          <w:p w14:paraId="2B172E5E">
            <w:pPr>
              <w:pStyle w:val="16"/>
              <w:rPr>
                <w:color w:val="000000"/>
                <w:sz w:val="21"/>
                <w:szCs w:val="21"/>
                <w:lang w:val="en-US" w:eastAsia="zh-CN"/>
              </w:rPr>
            </w:pPr>
            <w:r>
              <w:rPr>
                <w:rFonts w:hint="eastAsia" w:hAnsi="宋体" w:cs="宋体"/>
                <w:color w:val="000000"/>
                <w:sz w:val="21"/>
                <w:szCs w:val="21"/>
                <w:lang w:val="en-US" w:eastAsia="zh-CN"/>
              </w:rPr>
              <w:t>接线端子接线进行整理、紧固</w:t>
            </w:r>
          </w:p>
        </w:tc>
        <w:tc>
          <w:tcPr>
            <w:tcW w:w="1181" w:type="dxa"/>
            <w:vMerge w:val="continue"/>
            <w:noWrap w:val="0"/>
            <w:vAlign w:val="top"/>
          </w:tcPr>
          <w:p w14:paraId="5739CF00">
            <w:pPr>
              <w:rPr>
                <w:rFonts w:ascii="宋体" w:hAnsi="宋体" w:cs="宋体"/>
                <w:color w:val="000000"/>
                <w:kern w:val="0"/>
                <w:sz w:val="24"/>
                <w:szCs w:val="24"/>
                <w:lang w:bidi="ar"/>
              </w:rPr>
            </w:pPr>
          </w:p>
        </w:tc>
        <w:tc>
          <w:tcPr>
            <w:tcW w:w="1342" w:type="dxa"/>
            <w:noWrap w:val="0"/>
            <w:vAlign w:val="top"/>
          </w:tcPr>
          <w:p w14:paraId="6F5E28E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696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EB6C999">
            <w:pPr>
              <w:rPr>
                <w:rFonts w:ascii="宋体" w:hAnsi="宋体" w:cs="宋体"/>
                <w:color w:val="000000"/>
                <w:kern w:val="0"/>
                <w:sz w:val="24"/>
                <w:szCs w:val="24"/>
                <w:lang w:bidi="ar"/>
              </w:rPr>
            </w:pPr>
          </w:p>
        </w:tc>
        <w:tc>
          <w:tcPr>
            <w:tcW w:w="1644" w:type="dxa"/>
            <w:vMerge w:val="restart"/>
            <w:noWrap w:val="0"/>
            <w:vAlign w:val="center"/>
          </w:tcPr>
          <w:p w14:paraId="1CBCC15D">
            <w:pPr>
              <w:pStyle w:val="16"/>
              <w:jc w:val="center"/>
              <w:rPr>
                <w:color w:val="000000"/>
                <w:w w:val="95"/>
                <w:sz w:val="21"/>
                <w:szCs w:val="21"/>
                <w:lang w:val="en-US" w:eastAsia="zh-CN"/>
              </w:rPr>
            </w:pPr>
            <w:r>
              <w:rPr>
                <w:rFonts w:hint="eastAsia" w:hAnsi="宋体" w:cs="宋体"/>
                <w:color w:val="000000"/>
                <w:w w:val="95"/>
                <w:kern w:val="0"/>
                <w:sz w:val="21"/>
                <w:szCs w:val="21"/>
                <w:lang w:val="en-US" w:eastAsia="zh-CN" w:bidi="ar"/>
              </w:rPr>
              <w:t>模块箱、端子箱、模块</w:t>
            </w:r>
          </w:p>
        </w:tc>
        <w:tc>
          <w:tcPr>
            <w:tcW w:w="3950" w:type="dxa"/>
            <w:noWrap w:val="0"/>
            <w:vAlign w:val="center"/>
          </w:tcPr>
          <w:p w14:paraId="418C4BE6">
            <w:pPr>
              <w:rPr>
                <w:rFonts w:ascii="宋体" w:hAnsi="宋体" w:cs="宋体"/>
                <w:color w:val="000000"/>
                <w:szCs w:val="21"/>
              </w:rPr>
            </w:pPr>
            <w:r>
              <w:rPr>
                <w:rFonts w:hint="eastAsia" w:ascii="宋体" w:hAnsi="宋体" w:cs="宋体"/>
                <w:color w:val="000000"/>
                <w:szCs w:val="21"/>
              </w:rPr>
              <w:t>模块除锈、除尘</w:t>
            </w:r>
          </w:p>
        </w:tc>
        <w:tc>
          <w:tcPr>
            <w:tcW w:w="1181" w:type="dxa"/>
            <w:vMerge w:val="restart"/>
            <w:noWrap w:val="0"/>
            <w:vAlign w:val="center"/>
          </w:tcPr>
          <w:p w14:paraId="7E1FCD51">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清洁、检查</w:t>
            </w:r>
          </w:p>
        </w:tc>
        <w:tc>
          <w:tcPr>
            <w:tcW w:w="1342" w:type="dxa"/>
            <w:noWrap w:val="0"/>
            <w:vAlign w:val="top"/>
          </w:tcPr>
          <w:p w14:paraId="1B6DEE4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8E4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48B0853">
            <w:pPr>
              <w:rPr>
                <w:rFonts w:ascii="宋体" w:hAnsi="宋体" w:cs="宋体"/>
                <w:color w:val="000000"/>
                <w:kern w:val="0"/>
                <w:sz w:val="24"/>
                <w:szCs w:val="24"/>
                <w:lang w:bidi="ar"/>
              </w:rPr>
            </w:pPr>
          </w:p>
        </w:tc>
        <w:tc>
          <w:tcPr>
            <w:tcW w:w="1644" w:type="dxa"/>
            <w:vMerge w:val="continue"/>
            <w:noWrap w:val="0"/>
            <w:vAlign w:val="top"/>
          </w:tcPr>
          <w:p w14:paraId="6C0C2AD3">
            <w:pPr>
              <w:pStyle w:val="16"/>
              <w:rPr>
                <w:color w:val="000000"/>
                <w:w w:val="95"/>
                <w:kern w:val="0"/>
                <w:sz w:val="21"/>
                <w:szCs w:val="21"/>
                <w:lang w:val="en-US" w:eastAsia="zh-CN" w:bidi="ar"/>
              </w:rPr>
            </w:pPr>
          </w:p>
        </w:tc>
        <w:tc>
          <w:tcPr>
            <w:tcW w:w="3950" w:type="dxa"/>
            <w:noWrap w:val="0"/>
            <w:vAlign w:val="center"/>
          </w:tcPr>
          <w:p w14:paraId="1F6C9448">
            <w:pPr>
              <w:rPr>
                <w:rFonts w:ascii="宋体" w:hAnsi="宋体" w:cs="宋体"/>
                <w:color w:val="000000"/>
                <w:szCs w:val="21"/>
              </w:rPr>
            </w:pPr>
            <w:r>
              <w:rPr>
                <w:rFonts w:hint="eastAsia" w:ascii="宋体" w:hAnsi="宋体" w:cs="宋体"/>
                <w:color w:val="000000"/>
                <w:szCs w:val="21"/>
              </w:rPr>
              <w:t>箱体内外表面清洁</w:t>
            </w:r>
          </w:p>
        </w:tc>
        <w:tc>
          <w:tcPr>
            <w:tcW w:w="1181" w:type="dxa"/>
            <w:vMerge w:val="continue"/>
            <w:noWrap w:val="0"/>
            <w:vAlign w:val="top"/>
          </w:tcPr>
          <w:p w14:paraId="2B624245">
            <w:pPr>
              <w:rPr>
                <w:rFonts w:ascii="宋体" w:hAnsi="宋体" w:cs="宋体"/>
                <w:color w:val="000000"/>
                <w:kern w:val="0"/>
                <w:sz w:val="24"/>
                <w:szCs w:val="24"/>
                <w:lang w:bidi="ar"/>
              </w:rPr>
            </w:pPr>
          </w:p>
        </w:tc>
        <w:tc>
          <w:tcPr>
            <w:tcW w:w="1342" w:type="dxa"/>
            <w:noWrap w:val="0"/>
            <w:vAlign w:val="top"/>
          </w:tcPr>
          <w:p w14:paraId="72DCAC0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364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344B377">
            <w:pPr>
              <w:rPr>
                <w:rFonts w:ascii="宋体" w:hAnsi="宋体" w:cs="宋体"/>
                <w:color w:val="000000"/>
                <w:kern w:val="0"/>
                <w:sz w:val="24"/>
                <w:szCs w:val="24"/>
                <w:lang w:bidi="ar"/>
              </w:rPr>
            </w:pPr>
          </w:p>
        </w:tc>
        <w:tc>
          <w:tcPr>
            <w:tcW w:w="1644" w:type="dxa"/>
            <w:vMerge w:val="continue"/>
            <w:noWrap w:val="0"/>
            <w:vAlign w:val="top"/>
          </w:tcPr>
          <w:p w14:paraId="5A1E9CFC">
            <w:pPr>
              <w:pStyle w:val="16"/>
              <w:rPr>
                <w:color w:val="000000"/>
                <w:w w:val="95"/>
                <w:kern w:val="0"/>
                <w:sz w:val="21"/>
                <w:szCs w:val="21"/>
                <w:lang w:val="en-US" w:eastAsia="zh-CN" w:bidi="ar"/>
              </w:rPr>
            </w:pPr>
          </w:p>
        </w:tc>
        <w:tc>
          <w:tcPr>
            <w:tcW w:w="3950" w:type="dxa"/>
            <w:noWrap w:val="0"/>
            <w:vAlign w:val="top"/>
          </w:tcPr>
          <w:p w14:paraId="054CC19C">
            <w:pPr>
              <w:rPr>
                <w:rFonts w:ascii="宋体" w:hAnsi="宋体" w:cs="宋体"/>
                <w:color w:val="000000"/>
                <w:szCs w:val="21"/>
              </w:rPr>
            </w:pPr>
            <w:r>
              <w:rPr>
                <w:rFonts w:hint="eastAsia" w:ascii="宋体" w:hAnsi="宋体" w:cs="宋体"/>
                <w:color w:val="000000"/>
                <w:szCs w:val="21"/>
              </w:rPr>
              <w:t>接线端子接线进行整理、紧固</w:t>
            </w:r>
          </w:p>
        </w:tc>
        <w:tc>
          <w:tcPr>
            <w:tcW w:w="1181" w:type="dxa"/>
            <w:vMerge w:val="continue"/>
            <w:noWrap w:val="0"/>
            <w:vAlign w:val="top"/>
          </w:tcPr>
          <w:p w14:paraId="0698B297">
            <w:pPr>
              <w:rPr>
                <w:rFonts w:ascii="宋体" w:hAnsi="宋体" w:cs="宋体"/>
                <w:color w:val="000000"/>
                <w:kern w:val="0"/>
                <w:sz w:val="24"/>
                <w:szCs w:val="24"/>
                <w:lang w:bidi="ar"/>
              </w:rPr>
            </w:pPr>
          </w:p>
        </w:tc>
        <w:tc>
          <w:tcPr>
            <w:tcW w:w="1342" w:type="dxa"/>
            <w:noWrap w:val="0"/>
            <w:vAlign w:val="top"/>
          </w:tcPr>
          <w:p w14:paraId="534AC42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B13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3E85590">
            <w:pPr>
              <w:rPr>
                <w:rFonts w:ascii="宋体" w:hAnsi="宋体" w:cs="宋体"/>
                <w:color w:val="000000"/>
                <w:kern w:val="0"/>
                <w:sz w:val="24"/>
                <w:szCs w:val="24"/>
                <w:lang w:bidi="ar"/>
              </w:rPr>
            </w:pPr>
          </w:p>
        </w:tc>
        <w:tc>
          <w:tcPr>
            <w:tcW w:w="1644" w:type="dxa"/>
            <w:vMerge w:val="continue"/>
            <w:noWrap w:val="0"/>
            <w:vAlign w:val="top"/>
          </w:tcPr>
          <w:p w14:paraId="7ABD32A6">
            <w:pPr>
              <w:pStyle w:val="16"/>
              <w:rPr>
                <w:color w:val="000000"/>
                <w:w w:val="95"/>
                <w:kern w:val="0"/>
                <w:sz w:val="21"/>
                <w:szCs w:val="21"/>
                <w:lang w:val="en-US" w:eastAsia="zh-CN" w:bidi="ar"/>
              </w:rPr>
            </w:pPr>
          </w:p>
        </w:tc>
        <w:tc>
          <w:tcPr>
            <w:tcW w:w="3950" w:type="dxa"/>
            <w:noWrap w:val="0"/>
            <w:vAlign w:val="top"/>
          </w:tcPr>
          <w:p w14:paraId="2C446E9C">
            <w:pPr>
              <w:rPr>
                <w:rFonts w:ascii="宋体" w:hAnsi="宋体" w:cs="宋体"/>
                <w:color w:val="000000"/>
                <w:szCs w:val="21"/>
              </w:rPr>
            </w:pPr>
            <w:r>
              <w:rPr>
                <w:rFonts w:hint="eastAsia" w:ascii="宋体" w:hAnsi="宋体" w:cs="宋体"/>
                <w:color w:val="000000"/>
                <w:szCs w:val="21"/>
              </w:rPr>
              <w:t>箱体内外表面补漆</w:t>
            </w:r>
          </w:p>
        </w:tc>
        <w:tc>
          <w:tcPr>
            <w:tcW w:w="1181" w:type="dxa"/>
            <w:noWrap w:val="0"/>
            <w:vAlign w:val="center"/>
          </w:tcPr>
          <w:p w14:paraId="43052B0F">
            <w:pPr>
              <w:jc w:val="center"/>
              <w:rPr>
                <w:rFonts w:ascii="宋体" w:hAnsi="宋体" w:cs="宋体"/>
                <w:color w:val="000000"/>
                <w:kern w:val="0"/>
                <w:sz w:val="24"/>
                <w:szCs w:val="24"/>
                <w:lang w:bidi="ar"/>
              </w:rPr>
            </w:pPr>
            <w:r>
              <w:rPr>
                <w:rFonts w:hint="eastAsia" w:ascii="宋体" w:hAnsi="宋体" w:cs="宋体"/>
                <w:color w:val="000000"/>
                <w:kern w:val="0"/>
                <w:szCs w:val="21"/>
                <w:lang w:bidi="ar"/>
              </w:rPr>
              <w:t>补漆</w:t>
            </w:r>
          </w:p>
        </w:tc>
        <w:tc>
          <w:tcPr>
            <w:tcW w:w="1342" w:type="dxa"/>
            <w:noWrap w:val="0"/>
            <w:vAlign w:val="top"/>
          </w:tcPr>
          <w:p w14:paraId="68E6DB8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A85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8821352">
            <w:pPr>
              <w:rPr>
                <w:rFonts w:ascii="宋体" w:hAnsi="宋体" w:cs="宋体"/>
                <w:color w:val="000000"/>
                <w:kern w:val="0"/>
                <w:sz w:val="24"/>
                <w:szCs w:val="24"/>
                <w:lang w:bidi="ar"/>
              </w:rPr>
            </w:pPr>
          </w:p>
        </w:tc>
        <w:tc>
          <w:tcPr>
            <w:tcW w:w="1644" w:type="dxa"/>
            <w:vMerge w:val="restart"/>
            <w:noWrap w:val="0"/>
            <w:vAlign w:val="center"/>
          </w:tcPr>
          <w:p w14:paraId="7954A47C">
            <w:pPr>
              <w:pStyle w:val="16"/>
              <w:jc w:val="center"/>
              <w:rPr>
                <w:color w:val="000000"/>
                <w:w w:val="95"/>
                <w:kern w:val="0"/>
                <w:sz w:val="21"/>
                <w:szCs w:val="21"/>
                <w:lang w:val="en-US" w:eastAsia="zh-CN" w:bidi="ar"/>
              </w:rPr>
            </w:pPr>
            <w:r>
              <w:rPr>
                <w:rFonts w:hint="eastAsia" w:hAnsi="宋体" w:cs="宋体"/>
                <w:color w:val="000000"/>
                <w:w w:val="95"/>
                <w:kern w:val="0"/>
                <w:sz w:val="21"/>
                <w:szCs w:val="21"/>
                <w:lang w:val="en-US" w:eastAsia="zh-CN" w:bidi="ar"/>
              </w:rPr>
              <w:t>火灾探测器</w:t>
            </w:r>
          </w:p>
        </w:tc>
        <w:tc>
          <w:tcPr>
            <w:tcW w:w="3950" w:type="dxa"/>
            <w:noWrap w:val="0"/>
            <w:vAlign w:val="top"/>
          </w:tcPr>
          <w:p w14:paraId="70110C29">
            <w:pPr>
              <w:rPr>
                <w:rFonts w:ascii="宋体" w:hAnsi="宋体" w:cs="宋体"/>
                <w:color w:val="000000"/>
                <w:szCs w:val="21"/>
              </w:rPr>
            </w:pPr>
            <w:r>
              <w:rPr>
                <w:rFonts w:hint="eastAsia" w:ascii="宋体" w:hAnsi="宋体" w:cs="宋体"/>
                <w:color w:val="000000"/>
                <w:szCs w:val="21"/>
              </w:rPr>
              <w:t>检查报警功能、报警部位</w:t>
            </w:r>
          </w:p>
        </w:tc>
        <w:tc>
          <w:tcPr>
            <w:tcW w:w="1181" w:type="dxa"/>
            <w:noWrap w:val="0"/>
            <w:vAlign w:val="center"/>
          </w:tcPr>
          <w:p w14:paraId="77757047">
            <w:pPr>
              <w:jc w:val="center"/>
              <w:rPr>
                <w:rFonts w:ascii="宋体" w:hAnsi="宋体" w:cs="宋体"/>
                <w:color w:val="000000"/>
                <w:kern w:val="0"/>
                <w:sz w:val="24"/>
                <w:szCs w:val="24"/>
                <w:lang w:bidi="ar"/>
              </w:rPr>
            </w:pPr>
            <w:r>
              <w:rPr>
                <w:rFonts w:hint="eastAsia" w:ascii="宋体" w:hAnsi="宋体" w:cs="宋体"/>
                <w:color w:val="000000"/>
                <w:kern w:val="0"/>
                <w:szCs w:val="21"/>
                <w:lang w:bidi="ar"/>
              </w:rPr>
              <w:t>测试</w:t>
            </w:r>
          </w:p>
        </w:tc>
        <w:tc>
          <w:tcPr>
            <w:tcW w:w="1342" w:type="dxa"/>
            <w:noWrap w:val="0"/>
            <w:vAlign w:val="top"/>
          </w:tcPr>
          <w:p w14:paraId="643172E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608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FA6361B">
            <w:pPr>
              <w:rPr>
                <w:rFonts w:ascii="宋体" w:hAnsi="宋体" w:cs="宋体"/>
                <w:color w:val="000000"/>
                <w:kern w:val="0"/>
                <w:sz w:val="24"/>
                <w:szCs w:val="24"/>
                <w:lang w:bidi="ar"/>
              </w:rPr>
            </w:pPr>
          </w:p>
        </w:tc>
        <w:tc>
          <w:tcPr>
            <w:tcW w:w="1644" w:type="dxa"/>
            <w:vMerge w:val="continue"/>
            <w:noWrap w:val="0"/>
            <w:vAlign w:val="top"/>
          </w:tcPr>
          <w:p w14:paraId="214463B1">
            <w:pPr>
              <w:pStyle w:val="16"/>
              <w:rPr>
                <w:color w:val="000000"/>
                <w:w w:val="95"/>
                <w:kern w:val="0"/>
                <w:sz w:val="21"/>
                <w:szCs w:val="21"/>
                <w:lang w:val="en-US" w:eastAsia="zh-CN" w:bidi="ar"/>
              </w:rPr>
            </w:pPr>
          </w:p>
        </w:tc>
        <w:tc>
          <w:tcPr>
            <w:tcW w:w="3950" w:type="dxa"/>
            <w:noWrap w:val="0"/>
            <w:vAlign w:val="top"/>
          </w:tcPr>
          <w:p w14:paraId="462E2475">
            <w:pPr>
              <w:rPr>
                <w:rFonts w:ascii="宋体" w:hAnsi="宋体" w:cs="宋体"/>
                <w:color w:val="000000"/>
                <w:szCs w:val="21"/>
              </w:rPr>
            </w:pPr>
            <w:r>
              <w:rPr>
                <w:rFonts w:hint="eastAsia" w:ascii="宋体" w:hAnsi="宋体" w:cs="宋体"/>
                <w:color w:val="000000"/>
                <w:szCs w:val="21"/>
              </w:rPr>
              <w:t>清洗、接线端子紧固、安装牢固度</w:t>
            </w:r>
          </w:p>
        </w:tc>
        <w:tc>
          <w:tcPr>
            <w:tcW w:w="1181" w:type="dxa"/>
            <w:noWrap w:val="0"/>
            <w:vAlign w:val="center"/>
          </w:tcPr>
          <w:p w14:paraId="434B8D41">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清洁、检查</w:t>
            </w:r>
          </w:p>
        </w:tc>
        <w:tc>
          <w:tcPr>
            <w:tcW w:w="1342" w:type="dxa"/>
            <w:noWrap w:val="0"/>
            <w:vAlign w:val="top"/>
          </w:tcPr>
          <w:p w14:paraId="4FA5543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6C6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7FA4AA1">
            <w:pPr>
              <w:rPr>
                <w:rFonts w:ascii="宋体" w:hAnsi="宋体" w:cs="宋体"/>
                <w:color w:val="000000"/>
                <w:kern w:val="0"/>
                <w:sz w:val="24"/>
                <w:szCs w:val="24"/>
                <w:lang w:bidi="ar"/>
              </w:rPr>
            </w:pPr>
          </w:p>
        </w:tc>
        <w:tc>
          <w:tcPr>
            <w:tcW w:w="1644" w:type="dxa"/>
            <w:vMerge w:val="restart"/>
            <w:noWrap w:val="0"/>
            <w:vAlign w:val="top"/>
          </w:tcPr>
          <w:p w14:paraId="62B8BB5C">
            <w:pPr>
              <w:pStyle w:val="16"/>
              <w:rPr>
                <w:color w:val="000000"/>
                <w:w w:val="95"/>
                <w:kern w:val="0"/>
                <w:sz w:val="21"/>
                <w:szCs w:val="21"/>
                <w:lang w:val="en-US" w:eastAsia="zh-CN" w:bidi="ar"/>
              </w:rPr>
            </w:pPr>
            <w:r>
              <w:rPr>
                <w:rFonts w:hint="eastAsia" w:hAnsi="宋体" w:cs="宋体"/>
                <w:color w:val="000000"/>
                <w:w w:val="95"/>
                <w:kern w:val="0"/>
                <w:sz w:val="21"/>
                <w:szCs w:val="21"/>
                <w:lang w:val="en-US" w:eastAsia="zh-CN" w:bidi="ar"/>
              </w:rPr>
              <w:t>手动（消火栓）报警按钮</w:t>
            </w:r>
          </w:p>
        </w:tc>
        <w:tc>
          <w:tcPr>
            <w:tcW w:w="3950" w:type="dxa"/>
            <w:noWrap w:val="0"/>
            <w:vAlign w:val="center"/>
          </w:tcPr>
          <w:p w14:paraId="0954526F">
            <w:pPr>
              <w:rPr>
                <w:rFonts w:ascii="宋体" w:hAnsi="宋体" w:cs="宋体"/>
                <w:color w:val="000000"/>
                <w:w w:val="95"/>
                <w:kern w:val="0"/>
                <w:szCs w:val="21"/>
                <w:lang w:bidi="ar"/>
              </w:rPr>
            </w:pPr>
            <w:r>
              <w:rPr>
                <w:rFonts w:hint="eastAsia" w:ascii="宋体" w:hAnsi="宋体" w:cs="宋体"/>
                <w:color w:val="000000"/>
                <w:w w:val="95"/>
                <w:kern w:val="0"/>
                <w:szCs w:val="21"/>
                <w:lang w:bidi="ar"/>
              </w:rPr>
              <w:t>检查报警功能、报警部位</w:t>
            </w:r>
          </w:p>
        </w:tc>
        <w:tc>
          <w:tcPr>
            <w:tcW w:w="1181" w:type="dxa"/>
            <w:noWrap w:val="0"/>
            <w:vAlign w:val="center"/>
          </w:tcPr>
          <w:p w14:paraId="17A9F3C4">
            <w:pPr>
              <w:jc w:val="center"/>
              <w:rPr>
                <w:rFonts w:ascii="宋体" w:hAnsi="宋体" w:cs="宋体"/>
                <w:color w:val="000000"/>
                <w:kern w:val="0"/>
                <w:sz w:val="24"/>
                <w:szCs w:val="24"/>
                <w:lang w:bidi="ar"/>
              </w:rPr>
            </w:pPr>
            <w:r>
              <w:rPr>
                <w:rFonts w:hint="eastAsia" w:ascii="宋体" w:hAnsi="宋体" w:cs="宋体"/>
                <w:color w:val="000000"/>
                <w:kern w:val="0"/>
                <w:szCs w:val="21"/>
                <w:lang w:bidi="ar"/>
              </w:rPr>
              <w:t>测试</w:t>
            </w:r>
          </w:p>
        </w:tc>
        <w:tc>
          <w:tcPr>
            <w:tcW w:w="1342" w:type="dxa"/>
            <w:noWrap w:val="0"/>
            <w:vAlign w:val="top"/>
          </w:tcPr>
          <w:p w14:paraId="7C602FD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126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B4E3777">
            <w:pPr>
              <w:rPr>
                <w:rFonts w:ascii="宋体" w:hAnsi="宋体" w:cs="宋体"/>
                <w:color w:val="000000"/>
                <w:kern w:val="0"/>
                <w:sz w:val="24"/>
                <w:szCs w:val="24"/>
                <w:lang w:bidi="ar"/>
              </w:rPr>
            </w:pPr>
          </w:p>
        </w:tc>
        <w:tc>
          <w:tcPr>
            <w:tcW w:w="1644" w:type="dxa"/>
            <w:vMerge w:val="continue"/>
            <w:noWrap w:val="0"/>
            <w:vAlign w:val="top"/>
          </w:tcPr>
          <w:p w14:paraId="0FA84D1E">
            <w:pPr>
              <w:pStyle w:val="16"/>
              <w:rPr>
                <w:color w:val="000000"/>
                <w:w w:val="95"/>
                <w:kern w:val="0"/>
                <w:sz w:val="21"/>
                <w:szCs w:val="21"/>
                <w:lang w:val="en-US" w:eastAsia="zh-CN" w:bidi="ar"/>
              </w:rPr>
            </w:pPr>
          </w:p>
        </w:tc>
        <w:tc>
          <w:tcPr>
            <w:tcW w:w="3950" w:type="dxa"/>
            <w:noWrap w:val="0"/>
            <w:vAlign w:val="center"/>
          </w:tcPr>
          <w:p w14:paraId="1DD9A5CE">
            <w:pPr>
              <w:pStyle w:val="113"/>
              <w:spacing w:before="16"/>
              <w:ind w:right="45"/>
              <w:jc w:val="both"/>
              <w:rPr>
                <w:rFonts w:hint="default"/>
                <w:color w:val="000000"/>
                <w:sz w:val="21"/>
                <w:szCs w:val="21"/>
              </w:rPr>
            </w:pPr>
            <w:r>
              <w:rPr>
                <w:rFonts w:cs="宋体"/>
                <w:color w:val="000000"/>
                <w:w w:val="95"/>
                <w:sz w:val="21"/>
                <w:szCs w:val="21"/>
                <w:lang w:bidi="ar"/>
              </w:rPr>
              <w:t>清洁、接线端子紧固、安装牢固度</w:t>
            </w:r>
          </w:p>
        </w:tc>
        <w:tc>
          <w:tcPr>
            <w:tcW w:w="1181" w:type="dxa"/>
            <w:noWrap w:val="0"/>
            <w:vAlign w:val="center"/>
          </w:tcPr>
          <w:p w14:paraId="0EF9332F">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清洁、检查</w:t>
            </w:r>
          </w:p>
        </w:tc>
        <w:tc>
          <w:tcPr>
            <w:tcW w:w="1342" w:type="dxa"/>
            <w:noWrap w:val="0"/>
            <w:vAlign w:val="center"/>
          </w:tcPr>
          <w:p w14:paraId="5302167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A16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1D4ABC0">
            <w:pPr>
              <w:rPr>
                <w:rFonts w:ascii="宋体" w:hAnsi="宋体" w:cs="宋体"/>
                <w:color w:val="000000"/>
                <w:kern w:val="0"/>
                <w:sz w:val="24"/>
                <w:szCs w:val="24"/>
                <w:lang w:bidi="ar"/>
              </w:rPr>
            </w:pPr>
          </w:p>
        </w:tc>
        <w:tc>
          <w:tcPr>
            <w:tcW w:w="1644" w:type="dxa"/>
            <w:vMerge w:val="restart"/>
            <w:noWrap w:val="0"/>
            <w:vAlign w:val="center"/>
          </w:tcPr>
          <w:p w14:paraId="78FB4978">
            <w:pPr>
              <w:jc w:val="center"/>
              <w:rPr>
                <w:rFonts w:ascii="宋体" w:hAnsi="宋体" w:cs="宋体"/>
                <w:color w:val="000000"/>
                <w:w w:val="95"/>
                <w:kern w:val="0"/>
                <w:szCs w:val="21"/>
                <w:lang w:bidi="ar"/>
              </w:rPr>
            </w:pPr>
            <w:r>
              <w:rPr>
                <w:rFonts w:hint="eastAsia" w:ascii="宋体" w:hAnsi="宋体" w:cs="宋体"/>
                <w:color w:val="000000"/>
                <w:w w:val="95"/>
                <w:kern w:val="0"/>
                <w:szCs w:val="21"/>
                <w:lang w:bidi="ar"/>
              </w:rPr>
              <w:t>警铃</w:t>
            </w:r>
          </w:p>
        </w:tc>
        <w:tc>
          <w:tcPr>
            <w:tcW w:w="3950" w:type="dxa"/>
            <w:noWrap w:val="0"/>
            <w:vAlign w:val="center"/>
          </w:tcPr>
          <w:p w14:paraId="14E2E78A">
            <w:pPr>
              <w:pStyle w:val="113"/>
              <w:spacing w:before="15"/>
              <w:ind w:right="45"/>
              <w:jc w:val="both"/>
              <w:rPr>
                <w:rFonts w:hint="default"/>
                <w:color w:val="000000"/>
                <w:kern w:val="2"/>
                <w:sz w:val="21"/>
                <w:szCs w:val="21"/>
              </w:rPr>
            </w:pPr>
            <w:r>
              <w:rPr>
                <w:rFonts w:cs="宋体"/>
                <w:color w:val="000000"/>
                <w:kern w:val="2"/>
                <w:sz w:val="21"/>
                <w:szCs w:val="21"/>
              </w:rPr>
              <w:t>清洁、接线端子紧固、安装牢固度</w:t>
            </w:r>
          </w:p>
        </w:tc>
        <w:tc>
          <w:tcPr>
            <w:tcW w:w="1181" w:type="dxa"/>
            <w:noWrap w:val="0"/>
            <w:vAlign w:val="center"/>
          </w:tcPr>
          <w:p w14:paraId="09BAC99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708242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322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17DE9B9">
            <w:pPr>
              <w:rPr>
                <w:rFonts w:ascii="宋体" w:hAnsi="宋体" w:cs="宋体"/>
                <w:color w:val="000000"/>
                <w:kern w:val="0"/>
                <w:sz w:val="24"/>
                <w:szCs w:val="24"/>
                <w:lang w:bidi="ar"/>
              </w:rPr>
            </w:pPr>
          </w:p>
        </w:tc>
        <w:tc>
          <w:tcPr>
            <w:tcW w:w="1644" w:type="dxa"/>
            <w:vMerge w:val="continue"/>
            <w:noWrap w:val="0"/>
            <w:vAlign w:val="top"/>
          </w:tcPr>
          <w:p w14:paraId="0015FED8">
            <w:pPr>
              <w:pStyle w:val="16"/>
              <w:rPr>
                <w:color w:val="000000"/>
                <w:w w:val="95"/>
                <w:kern w:val="0"/>
                <w:sz w:val="21"/>
                <w:szCs w:val="21"/>
                <w:lang w:val="en-US" w:eastAsia="zh-CN" w:bidi="ar"/>
              </w:rPr>
            </w:pPr>
          </w:p>
        </w:tc>
        <w:tc>
          <w:tcPr>
            <w:tcW w:w="3950" w:type="dxa"/>
            <w:noWrap w:val="0"/>
            <w:vAlign w:val="center"/>
          </w:tcPr>
          <w:p w14:paraId="49AF2BC6">
            <w:pPr>
              <w:pStyle w:val="113"/>
              <w:spacing w:before="16"/>
              <w:ind w:right="45"/>
              <w:jc w:val="both"/>
              <w:rPr>
                <w:rFonts w:hint="default"/>
                <w:color w:val="000000"/>
                <w:kern w:val="2"/>
                <w:sz w:val="21"/>
                <w:szCs w:val="21"/>
              </w:rPr>
            </w:pPr>
            <w:r>
              <w:rPr>
                <w:rFonts w:cs="宋体"/>
                <w:color w:val="000000"/>
                <w:kern w:val="2"/>
                <w:sz w:val="21"/>
                <w:szCs w:val="21"/>
              </w:rPr>
              <w:t>报警功能</w:t>
            </w:r>
          </w:p>
        </w:tc>
        <w:tc>
          <w:tcPr>
            <w:tcW w:w="1181" w:type="dxa"/>
            <w:noWrap w:val="0"/>
            <w:vAlign w:val="center"/>
          </w:tcPr>
          <w:p w14:paraId="58B3880F">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733F8B2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5BB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405" w:type="dxa"/>
            <w:vMerge w:val="continue"/>
            <w:noWrap w:val="0"/>
            <w:vAlign w:val="top"/>
          </w:tcPr>
          <w:p w14:paraId="5CA5C24B">
            <w:pPr>
              <w:rPr>
                <w:rFonts w:ascii="宋体" w:hAnsi="宋体" w:cs="宋体"/>
                <w:color w:val="000000"/>
                <w:kern w:val="0"/>
                <w:sz w:val="24"/>
                <w:szCs w:val="24"/>
                <w:lang w:bidi="ar"/>
              </w:rPr>
            </w:pPr>
          </w:p>
        </w:tc>
        <w:tc>
          <w:tcPr>
            <w:tcW w:w="1644" w:type="dxa"/>
            <w:vMerge w:val="restart"/>
            <w:noWrap w:val="0"/>
            <w:vAlign w:val="center"/>
          </w:tcPr>
          <w:p w14:paraId="7A187DB7">
            <w:pPr>
              <w:pStyle w:val="16"/>
              <w:jc w:val="center"/>
              <w:rPr>
                <w:color w:val="000000"/>
                <w:w w:val="95"/>
                <w:kern w:val="0"/>
                <w:sz w:val="21"/>
                <w:szCs w:val="21"/>
                <w:lang w:val="en-US" w:eastAsia="zh-CN" w:bidi="ar"/>
              </w:rPr>
            </w:pPr>
            <w:r>
              <w:rPr>
                <w:rFonts w:hint="eastAsia" w:hAnsi="宋体" w:cs="宋体"/>
                <w:color w:val="000000"/>
                <w:w w:val="95"/>
                <w:kern w:val="0"/>
                <w:sz w:val="21"/>
                <w:szCs w:val="21"/>
                <w:lang w:val="en-US" w:eastAsia="zh-CN" w:bidi="ar"/>
              </w:rPr>
              <w:t>消防广播</w:t>
            </w:r>
          </w:p>
        </w:tc>
        <w:tc>
          <w:tcPr>
            <w:tcW w:w="3950" w:type="dxa"/>
            <w:noWrap w:val="0"/>
            <w:vAlign w:val="top"/>
          </w:tcPr>
          <w:p w14:paraId="2B47B615">
            <w:pPr>
              <w:pStyle w:val="113"/>
              <w:spacing w:before="155"/>
              <w:ind w:right="45"/>
              <w:rPr>
                <w:rFonts w:hint="default"/>
                <w:color w:val="000000"/>
                <w:kern w:val="2"/>
                <w:sz w:val="21"/>
                <w:szCs w:val="21"/>
              </w:rPr>
            </w:pPr>
            <w:r>
              <w:rPr>
                <w:rFonts w:cs="宋体"/>
                <w:color w:val="000000"/>
                <w:kern w:val="2"/>
                <w:sz w:val="21"/>
                <w:szCs w:val="21"/>
              </w:rPr>
              <w:t>主机功能测试（音量调节、功能显示、事故切换、监听功能）</w:t>
            </w:r>
          </w:p>
        </w:tc>
        <w:tc>
          <w:tcPr>
            <w:tcW w:w="1181" w:type="dxa"/>
            <w:noWrap w:val="0"/>
            <w:vAlign w:val="center"/>
          </w:tcPr>
          <w:p w14:paraId="28AEDE5D">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6EB7CAE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68F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A02E5AB">
            <w:pPr>
              <w:rPr>
                <w:rFonts w:ascii="宋体" w:hAnsi="宋体" w:cs="宋体"/>
                <w:color w:val="000000"/>
                <w:kern w:val="0"/>
                <w:sz w:val="24"/>
                <w:szCs w:val="24"/>
                <w:lang w:bidi="ar"/>
              </w:rPr>
            </w:pPr>
          </w:p>
        </w:tc>
        <w:tc>
          <w:tcPr>
            <w:tcW w:w="1644" w:type="dxa"/>
            <w:vMerge w:val="continue"/>
            <w:noWrap w:val="0"/>
            <w:vAlign w:val="top"/>
          </w:tcPr>
          <w:p w14:paraId="6B0C0928">
            <w:pPr>
              <w:pStyle w:val="16"/>
              <w:rPr>
                <w:color w:val="000000"/>
                <w:w w:val="95"/>
                <w:kern w:val="0"/>
                <w:sz w:val="21"/>
                <w:szCs w:val="21"/>
                <w:lang w:val="en-US" w:eastAsia="zh-CN" w:bidi="ar"/>
              </w:rPr>
            </w:pPr>
          </w:p>
        </w:tc>
        <w:tc>
          <w:tcPr>
            <w:tcW w:w="3950" w:type="dxa"/>
            <w:noWrap w:val="0"/>
            <w:vAlign w:val="top"/>
          </w:tcPr>
          <w:p w14:paraId="4C9CCFA0">
            <w:pPr>
              <w:pStyle w:val="113"/>
              <w:spacing w:before="14"/>
              <w:ind w:right="45"/>
              <w:jc w:val="both"/>
              <w:rPr>
                <w:rFonts w:hint="default"/>
                <w:color w:val="000000"/>
                <w:kern w:val="2"/>
                <w:sz w:val="21"/>
                <w:szCs w:val="21"/>
              </w:rPr>
            </w:pPr>
            <w:r>
              <w:rPr>
                <w:rFonts w:cs="宋体"/>
                <w:color w:val="000000"/>
                <w:kern w:val="2"/>
                <w:sz w:val="21"/>
                <w:szCs w:val="21"/>
              </w:rPr>
              <w:t>选层按钮功能</w:t>
            </w:r>
          </w:p>
        </w:tc>
        <w:tc>
          <w:tcPr>
            <w:tcW w:w="1181" w:type="dxa"/>
            <w:noWrap w:val="0"/>
            <w:vAlign w:val="center"/>
          </w:tcPr>
          <w:p w14:paraId="1FCF46A8">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10F38CE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C67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46AE0FB">
            <w:pPr>
              <w:rPr>
                <w:rFonts w:ascii="宋体" w:hAnsi="宋体" w:cs="宋体"/>
                <w:color w:val="000000"/>
                <w:kern w:val="0"/>
                <w:sz w:val="24"/>
                <w:szCs w:val="24"/>
                <w:lang w:bidi="ar"/>
              </w:rPr>
            </w:pPr>
          </w:p>
        </w:tc>
        <w:tc>
          <w:tcPr>
            <w:tcW w:w="1644" w:type="dxa"/>
            <w:vMerge w:val="continue"/>
            <w:noWrap w:val="0"/>
            <w:vAlign w:val="top"/>
          </w:tcPr>
          <w:p w14:paraId="78B3F35B">
            <w:pPr>
              <w:pStyle w:val="16"/>
              <w:rPr>
                <w:color w:val="000000"/>
                <w:w w:val="95"/>
                <w:kern w:val="0"/>
                <w:sz w:val="21"/>
                <w:szCs w:val="21"/>
                <w:lang w:val="en-US" w:eastAsia="zh-CN" w:bidi="ar"/>
              </w:rPr>
            </w:pPr>
          </w:p>
        </w:tc>
        <w:tc>
          <w:tcPr>
            <w:tcW w:w="3950" w:type="dxa"/>
            <w:noWrap w:val="0"/>
            <w:vAlign w:val="top"/>
          </w:tcPr>
          <w:p w14:paraId="7AE042C7">
            <w:pPr>
              <w:pStyle w:val="113"/>
              <w:spacing w:before="13"/>
              <w:ind w:right="45"/>
              <w:jc w:val="both"/>
              <w:rPr>
                <w:rFonts w:hint="default"/>
                <w:color w:val="000000"/>
                <w:kern w:val="2"/>
                <w:sz w:val="21"/>
                <w:szCs w:val="21"/>
              </w:rPr>
            </w:pPr>
            <w:r>
              <w:rPr>
                <w:rFonts w:cs="宋体"/>
                <w:color w:val="000000"/>
                <w:kern w:val="2"/>
                <w:sz w:val="21"/>
                <w:szCs w:val="21"/>
              </w:rPr>
              <w:t>信号线、电源线绝缘电阻以及接地线接地</w:t>
            </w:r>
          </w:p>
        </w:tc>
        <w:tc>
          <w:tcPr>
            <w:tcW w:w="1181" w:type="dxa"/>
            <w:noWrap w:val="0"/>
            <w:vAlign w:val="center"/>
          </w:tcPr>
          <w:p w14:paraId="58DBCCB4">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top"/>
          </w:tcPr>
          <w:p w14:paraId="6DBC154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CE06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077A069">
            <w:pPr>
              <w:rPr>
                <w:rFonts w:ascii="宋体" w:hAnsi="宋体" w:cs="宋体"/>
                <w:color w:val="000000"/>
                <w:kern w:val="0"/>
                <w:sz w:val="24"/>
                <w:szCs w:val="24"/>
                <w:lang w:bidi="ar"/>
              </w:rPr>
            </w:pPr>
          </w:p>
        </w:tc>
        <w:tc>
          <w:tcPr>
            <w:tcW w:w="1644" w:type="dxa"/>
            <w:vMerge w:val="continue"/>
            <w:noWrap w:val="0"/>
            <w:vAlign w:val="top"/>
          </w:tcPr>
          <w:p w14:paraId="75A56A24">
            <w:pPr>
              <w:pStyle w:val="16"/>
              <w:rPr>
                <w:color w:val="000000"/>
                <w:w w:val="95"/>
                <w:kern w:val="0"/>
                <w:sz w:val="21"/>
                <w:szCs w:val="21"/>
                <w:lang w:val="en-US" w:eastAsia="zh-CN" w:bidi="ar"/>
              </w:rPr>
            </w:pPr>
          </w:p>
        </w:tc>
        <w:tc>
          <w:tcPr>
            <w:tcW w:w="3950" w:type="dxa"/>
            <w:noWrap w:val="0"/>
            <w:vAlign w:val="top"/>
          </w:tcPr>
          <w:p w14:paraId="6B126375">
            <w:pPr>
              <w:pStyle w:val="113"/>
              <w:spacing w:before="14"/>
              <w:ind w:right="45"/>
              <w:jc w:val="both"/>
              <w:rPr>
                <w:rFonts w:hint="default"/>
                <w:color w:val="000000"/>
                <w:kern w:val="2"/>
                <w:sz w:val="21"/>
                <w:szCs w:val="21"/>
              </w:rPr>
            </w:pPr>
            <w:r>
              <w:rPr>
                <w:rFonts w:cs="宋体"/>
                <w:color w:val="000000"/>
                <w:kern w:val="2"/>
                <w:sz w:val="21"/>
                <w:szCs w:val="21"/>
              </w:rPr>
              <w:t>主机箱体内外表面</w:t>
            </w:r>
          </w:p>
        </w:tc>
        <w:tc>
          <w:tcPr>
            <w:tcW w:w="1181" w:type="dxa"/>
            <w:noWrap w:val="0"/>
            <w:vAlign w:val="center"/>
          </w:tcPr>
          <w:p w14:paraId="0879D5B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3AFB0AE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EE9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B50F27C">
            <w:pPr>
              <w:rPr>
                <w:rFonts w:ascii="宋体" w:hAnsi="宋体" w:cs="宋体"/>
                <w:color w:val="000000"/>
                <w:kern w:val="0"/>
                <w:sz w:val="24"/>
                <w:szCs w:val="24"/>
                <w:lang w:bidi="ar"/>
              </w:rPr>
            </w:pPr>
          </w:p>
        </w:tc>
        <w:tc>
          <w:tcPr>
            <w:tcW w:w="1644" w:type="dxa"/>
            <w:vMerge w:val="continue"/>
            <w:noWrap w:val="0"/>
            <w:vAlign w:val="top"/>
          </w:tcPr>
          <w:p w14:paraId="09A22399">
            <w:pPr>
              <w:pStyle w:val="16"/>
              <w:rPr>
                <w:color w:val="000000"/>
                <w:w w:val="95"/>
                <w:kern w:val="0"/>
                <w:sz w:val="21"/>
                <w:szCs w:val="21"/>
                <w:lang w:val="en-US" w:eastAsia="zh-CN" w:bidi="ar"/>
              </w:rPr>
            </w:pPr>
          </w:p>
        </w:tc>
        <w:tc>
          <w:tcPr>
            <w:tcW w:w="3950" w:type="dxa"/>
            <w:noWrap w:val="0"/>
            <w:vAlign w:val="top"/>
          </w:tcPr>
          <w:p w14:paraId="6EFC42EE">
            <w:pPr>
              <w:pStyle w:val="113"/>
              <w:spacing w:before="17"/>
              <w:ind w:right="45"/>
              <w:jc w:val="both"/>
              <w:rPr>
                <w:rFonts w:hint="default"/>
                <w:color w:val="000000"/>
                <w:kern w:val="2"/>
                <w:sz w:val="21"/>
                <w:szCs w:val="21"/>
              </w:rPr>
            </w:pPr>
            <w:r>
              <w:rPr>
                <w:rFonts w:cs="宋体"/>
                <w:color w:val="000000"/>
                <w:kern w:val="2"/>
                <w:sz w:val="21"/>
                <w:szCs w:val="21"/>
              </w:rPr>
              <w:t>电器元件、电子板除锈、除尘</w:t>
            </w:r>
          </w:p>
        </w:tc>
        <w:tc>
          <w:tcPr>
            <w:tcW w:w="1181" w:type="dxa"/>
            <w:noWrap w:val="0"/>
            <w:vAlign w:val="center"/>
          </w:tcPr>
          <w:p w14:paraId="5845A288">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69606A5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A33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535108C">
            <w:pPr>
              <w:rPr>
                <w:rFonts w:ascii="宋体" w:hAnsi="宋体" w:cs="宋体"/>
                <w:color w:val="000000"/>
                <w:kern w:val="0"/>
                <w:sz w:val="24"/>
                <w:szCs w:val="24"/>
                <w:lang w:bidi="ar"/>
              </w:rPr>
            </w:pPr>
          </w:p>
        </w:tc>
        <w:tc>
          <w:tcPr>
            <w:tcW w:w="1644" w:type="dxa"/>
            <w:vMerge w:val="continue"/>
            <w:noWrap w:val="0"/>
            <w:vAlign w:val="top"/>
          </w:tcPr>
          <w:p w14:paraId="6B2E7928">
            <w:pPr>
              <w:pStyle w:val="16"/>
              <w:rPr>
                <w:color w:val="000000"/>
                <w:w w:val="95"/>
                <w:kern w:val="0"/>
                <w:sz w:val="21"/>
                <w:szCs w:val="21"/>
                <w:lang w:val="en-US" w:eastAsia="zh-CN" w:bidi="ar"/>
              </w:rPr>
            </w:pPr>
          </w:p>
        </w:tc>
        <w:tc>
          <w:tcPr>
            <w:tcW w:w="3950" w:type="dxa"/>
            <w:noWrap w:val="0"/>
            <w:vAlign w:val="top"/>
          </w:tcPr>
          <w:p w14:paraId="28B32BD3">
            <w:pPr>
              <w:pStyle w:val="113"/>
              <w:spacing w:before="16"/>
              <w:ind w:right="45"/>
              <w:jc w:val="both"/>
              <w:rPr>
                <w:rFonts w:hint="default"/>
                <w:color w:val="000000"/>
                <w:kern w:val="2"/>
                <w:sz w:val="21"/>
                <w:szCs w:val="21"/>
              </w:rPr>
            </w:pPr>
            <w:r>
              <w:rPr>
                <w:rFonts w:cs="宋体"/>
                <w:color w:val="000000"/>
                <w:kern w:val="2"/>
                <w:sz w:val="21"/>
                <w:szCs w:val="21"/>
              </w:rPr>
              <w:t>主机各设备元器件、标识的完好情况</w:t>
            </w:r>
          </w:p>
        </w:tc>
        <w:tc>
          <w:tcPr>
            <w:tcW w:w="1181" w:type="dxa"/>
            <w:noWrap w:val="0"/>
            <w:vAlign w:val="center"/>
          </w:tcPr>
          <w:p w14:paraId="437EB8B9">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41359F1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863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B1B09B0">
            <w:pPr>
              <w:rPr>
                <w:rFonts w:ascii="宋体" w:hAnsi="宋体" w:cs="宋体"/>
                <w:color w:val="000000"/>
                <w:kern w:val="0"/>
                <w:sz w:val="24"/>
                <w:szCs w:val="24"/>
                <w:lang w:bidi="ar"/>
              </w:rPr>
            </w:pPr>
          </w:p>
        </w:tc>
        <w:tc>
          <w:tcPr>
            <w:tcW w:w="1644" w:type="dxa"/>
            <w:vMerge w:val="continue"/>
            <w:noWrap w:val="0"/>
            <w:vAlign w:val="top"/>
          </w:tcPr>
          <w:p w14:paraId="18EB4EA2">
            <w:pPr>
              <w:pStyle w:val="16"/>
              <w:rPr>
                <w:color w:val="000000"/>
                <w:w w:val="95"/>
                <w:kern w:val="0"/>
                <w:sz w:val="21"/>
                <w:szCs w:val="21"/>
                <w:lang w:val="en-US" w:eastAsia="zh-CN" w:bidi="ar"/>
              </w:rPr>
            </w:pPr>
          </w:p>
        </w:tc>
        <w:tc>
          <w:tcPr>
            <w:tcW w:w="3950" w:type="dxa"/>
            <w:noWrap w:val="0"/>
            <w:vAlign w:val="top"/>
          </w:tcPr>
          <w:p w14:paraId="2EBAD984">
            <w:pPr>
              <w:pStyle w:val="113"/>
              <w:spacing w:before="17"/>
              <w:ind w:right="45"/>
              <w:jc w:val="both"/>
              <w:rPr>
                <w:rFonts w:hint="default"/>
                <w:color w:val="000000"/>
                <w:kern w:val="2"/>
                <w:sz w:val="21"/>
                <w:szCs w:val="21"/>
              </w:rPr>
            </w:pPr>
            <w:r>
              <w:rPr>
                <w:rFonts w:cs="宋体"/>
                <w:color w:val="000000"/>
                <w:kern w:val="2"/>
                <w:sz w:val="21"/>
                <w:szCs w:val="21"/>
              </w:rPr>
              <w:t>主机各接线端子接线进行整理、紧固</w:t>
            </w:r>
          </w:p>
        </w:tc>
        <w:tc>
          <w:tcPr>
            <w:tcW w:w="1181" w:type="dxa"/>
            <w:noWrap w:val="0"/>
            <w:vAlign w:val="center"/>
          </w:tcPr>
          <w:p w14:paraId="53753D1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5C978F1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B11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C57B7DD">
            <w:pPr>
              <w:rPr>
                <w:rFonts w:ascii="宋体" w:hAnsi="宋体" w:cs="宋体"/>
                <w:color w:val="000000"/>
                <w:kern w:val="0"/>
                <w:sz w:val="24"/>
                <w:szCs w:val="24"/>
                <w:lang w:bidi="ar"/>
              </w:rPr>
            </w:pPr>
          </w:p>
        </w:tc>
        <w:tc>
          <w:tcPr>
            <w:tcW w:w="1644" w:type="dxa"/>
            <w:vMerge w:val="continue"/>
            <w:noWrap w:val="0"/>
            <w:vAlign w:val="top"/>
          </w:tcPr>
          <w:p w14:paraId="2ACBE407">
            <w:pPr>
              <w:pStyle w:val="16"/>
              <w:rPr>
                <w:color w:val="000000"/>
                <w:w w:val="95"/>
                <w:kern w:val="0"/>
                <w:sz w:val="21"/>
                <w:szCs w:val="21"/>
                <w:lang w:val="en-US" w:eastAsia="zh-CN" w:bidi="ar"/>
              </w:rPr>
            </w:pPr>
          </w:p>
        </w:tc>
        <w:tc>
          <w:tcPr>
            <w:tcW w:w="3950" w:type="dxa"/>
            <w:noWrap w:val="0"/>
            <w:vAlign w:val="center"/>
          </w:tcPr>
          <w:p w14:paraId="7B9CA23B">
            <w:pPr>
              <w:pStyle w:val="113"/>
              <w:spacing w:before="16"/>
              <w:ind w:right="45"/>
              <w:jc w:val="both"/>
              <w:rPr>
                <w:rFonts w:hint="default"/>
                <w:color w:val="000000"/>
                <w:kern w:val="2"/>
                <w:sz w:val="21"/>
                <w:szCs w:val="21"/>
              </w:rPr>
            </w:pPr>
            <w:r>
              <w:rPr>
                <w:rFonts w:cs="宋体"/>
                <w:color w:val="000000"/>
                <w:kern w:val="2"/>
                <w:sz w:val="21"/>
                <w:szCs w:val="21"/>
              </w:rPr>
              <w:t>喇叭</w:t>
            </w:r>
          </w:p>
        </w:tc>
        <w:tc>
          <w:tcPr>
            <w:tcW w:w="1181" w:type="dxa"/>
            <w:noWrap w:val="0"/>
            <w:vAlign w:val="center"/>
          </w:tcPr>
          <w:p w14:paraId="3843284E">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3E550F1A">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FBB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3D7D10B">
            <w:pPr>
              <w:rPr>
                <w:rFonts w:ascii="宋体" w:hAnsi="宋体" w:cs="宋体"/>
                <w:color w:val="000000"/>
                <w:kern w:val="0"/>
                <w:sz w:val="24"/>
                <w:szCs w:val="24"/>
                <w:lang w:bidi="ar"/>
              </w:rPr>
            </w:pPr>
          </w:p>
        </w:tc>
        <w:tc>
          <w:tcPr>
            <w:tcW w:w="1644" w:type="dxa"/>
            <w:vMerge w:val="restart"/>
            <w:noWrap w:val="0"/>
            <w:vAlign w:val="top"/>
          </w:tcPr>
          <w:p w14:paraId="23F46E7E">
            <w:pPr>
              <w:pStyle w:val="16"/>
              <w:rPr>
                <w:color w:val="000000"/>
                <w:w w:val="95"/>
                <w:kern w:val="0"/>
                <w:sz w:val="21"/>
                <w:szCs w:val="21"/>
                <w:lang w:val="en-US" w:eastAsia="zh-CN" w:bidi="ar"/>
              </w:rPr>
            </w:pPr>
            <w:r>
              <w:rPr>
                <w:rFonts w:hint="eastAsia" w:hAnsi="宋体" w:cs="宋体"/>
                <w:color w:val="000000"/>
                <w:w w:val="95"/>
                <w:kern w:val="0"/>
                <w:sz w:val="21"/>
                <w:szCs w:val="21"/>
                <w:lang w:val="en-US" w:eastAsia="zh-CN" w:bidi="ar"/>
              </w:rPr>
              <w:t>消防电话、插孔</w:t>
            </w:r>
          </w:p>
        </w:tc>
        <w:tc>
          <w:tcPr>
            <w:tcW w:w="3950" w:type="dxa"/>
            <w:noWrap w:val="0"/>
            <w:vAlign w:val="center"/>
          </w:tcPr>
          <w:p w14:paraId="084E912B">
            <w:pPr>
              <w:pStyle w:val="113"/>
              <w:spacing w:before="15"/>
              <w:ind w:right="45"/>
              <w:jc w:val="both"/>
              <w:rPr>
                <w:rFonts w:hint="default"/>
                <w:color w:val="000000"/>
                <w:sz w:val="21"/>
                <w:szCs w:val="21"/>
              </w:rPr>
            </w:pPr>
            <w:r>
              <w:rPr>
                <w:rFonts w:cs="宋体"/>
                <w:color w:val="000000"/>
                <w:sz w:val="21"/>
                <w:szCs w:val="21"/>
              </w:rPr>
              <w:t>通话功能</w:t>
            </w:r>
          </w:p>
        </w:tc>
        <w:tc>
          <w:tcPr>
            <w:tcW w:w="1181" w:type="dxa"/>
            <w:noWrap w:val="0"/>
            <w:vAlign w:val="center"/>
          </w:tcPr>
          <w:p w14:paraId="655088E1">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top"/>
          </w:tcPr>
          <w:p w14:paraId="193BCC4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BE9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C9501E5">
            <w:pPr>
              <w:rPr>
                <w:rFonts w:ascii="宋体" w:hAnsi="宋体" w:cs="宋体"/>
                <w:color w:val="000000"/>
                <w:kern w:val="0"/>
                <w:sz w:val="24"/>
                <w:szCs w:val="24"/>
                <w:lang w:bidi="ar"/>
              </w:rPr>
            </w:pPr>
          </w:p>
        </w:tc>
        <w:tc>
          <w:tcPr>
            <w:tcW w:w="1644" w:type="dxa"/>
            <w:vMerge w:val="continue"/>
            <w:noWrap w:val="0"/>
            <w:vAlign w:val="top"/>
          </w:tcPr>
          <w:p w14:paraId="52F5E145">
            <w:pPr>
              <w:pStyle w:val="16"/>
              <w:rPr>
                <w:color w:val="000000"/>
                <w:w w:val="95"/>
                <w:kern w:val="0"/>
                <w:sz w:val="21"/>
                <w:szCs w:val="21"/>
                <w:lang w:val="en-US" w:eastAsia="zh-CN" w:bidi="ar"/>
              </w:rPr>
            </w:pPr>
          </w:p>
        </w:tc>
        <w:tc>
          <w:tcPr>
            <w:tcW w:w="3950" w:type="dxa"/>
            <w:noWrap w:val="0"/>
            <w:vAlign w:val="top"/>
          </w:tcPr>
          <w:p w14:paraId="1D4E0A53">
            <w:pPr>
              <w:pStyle w:val="113"/>
              <w:spacing w:before="16"/>
              <w:ind w:right="45"/>
              <w:jc w:val="both"/>
              <w:rPr>
                <w:rFonts w:hint="default"/>
                <w:color w:val="000000"/>
                <w:sz w:val="21"/>
                <w:szCs w:val="21"/>
              </w:rPr>
            </w:pPr>
            <w:r>
              <w:rPr>
                <w:rFonts w:cs="宋体"/>
                <w:color w:val="000000"/>
                <w:sz w:val="21"/>
                <w:szCs w:val="21"/>
              </w:rPr>
              <w:t>清洁、接线端子紧固、安装牢固度</w:t>
            </w:r>
          </w:p>
        </w:tc>
        <w:tc>
          <w:tcPr>
            <w:tcW w:w="1181" w:type="dxa"/>
            <w:noWrap w:val="0"/>
            <w:vAlign w:val="center"/>
          </w:tcPr>
          <w:p w14:paraId="4B26F0D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13BD389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ACC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EA66275">
            <w:pPr>
              <w:rPr>
                <w:rFonts w:ascii="宋体" w:hAnsi="宋体" w:cs="宋体"/>
                <w:color w:val="000000"/>
                <w:kern w:val="0"/>
                <w:sz w:val="24"/>
                <w:szCs w:val="24"/>
                <w:lang w:bidi="ar"/>
              </w:rPr>
            </w:pPr>
          </w:p>
        </w:tc>
        <w:tc>
          <w:tcPr>
            <w:tcW w:w="1644" w:type="dxa"/>
            <w:noWrap w:val="0"/>
            <w:vAlign w:val="top"/>
          </w:tcPr>
          <w:p w14:paraId="10D4BB28">
            <w:pPr>
              <w:pStyle w:val="16"/>
              <w:rPr>
                <w:color w:val="000000"/>
                <w:w w:val="95"/>
                <w:kern w:val="0"/>
                <w:sz w:val="21"/>
                <w:szCs w:val="21"/>
                <w:lang w:val="en-US" w:eastAsia="zh-CN" w:bidi="ar"/>
              </w:rPr>
            </w:pPr>
            <w:r>
              <w:rPr>
                <w:rFonts w:hint="eastAsia" w:hAnsi="宋体" w:cs="宋体"/>
                <w:color w:val="000000"/>
                <w:w w:val="95"/>
                <w:kern w:val="0"/>
                <w:sz w:val="21"/>
                <w:szCs w:val="21"/>
                <w:lang w:val="en-US" w:eastAsia="zh-CN" w:bidi="ar"/>
              </w:rPr>
              <w:t>系统联动试验</w:t>
            </w:r>
          </w:p>
        </w:tc>
        <w:tc>
          <w:tcPr>
            <w:tcW w:w="3950" w:type="dxa"/>
            <w:noWrap w:val="0"/>
            <w:vAlign w:val="top"/>
          </w:tcPr>
          <w:p w14:paraId="64039A37">
            <w:pPr>
              <w:pStyle w:val="113"/>
              <w:spacing w:before="16"/>
              <w:ind w:right="45"/>
              <w:jc w:val="both"/>
              <w:rPr>
                <w:rFonts w:hint="default"/>
                <w:color w:val="000000"/>
                <w:sz w:val="21"/>
                <w:szCs w:val="21"/>
              </w:rPr>
            </w:pPr>
          </w:p>
        </w:tc>
        <w:tc>
          <w:tcPr>
            <w:tcW w:w="1181" w:type="dxa"/>
            <w:noWrap w:val="0"/>
            <w:vAlign w:val="center"/>
          </w:tcPr>
          <w:p w14:paraId="1E50BA33">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84664AC">
            <w:pPr>
              <w:rPr>
                <w:rFonts w:ascii="宋体" w:hAnsi="宋体" w:cs="宋体"/>
                <w:color w:val="000000"/>
                <w:kern w:val="0"/>
                <w:szCs w:val="21"/>
                <w:lang w:bidi="ar"/>
              </w:rPr>
            </w:pPr>
            <w:r>
              <w:rPr>
                <w:rFonts w:hint="eastAsia" w:ascii="宋体" w:hAnsi="宋体" w:cs="宋体"/>
                <w:color w:val="000000"/>
                <w:kern w:val="0"/>
                <w:szCs w:val="21"/>
                <w:lang w:bidi="ar"/>
              </w:rPr>
              <w:t>非开放时间</w:t>
            </w:r>
          </w:p>
        </w:tc>
      </w:tr>
      <w:tr w14:paraId="364A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1226E6E8">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室内外消火栓系统</w:t>
            </w:r>
          </w:p>
        </w:tc>
        <w:tc>
          <w:tcPr>
            <w:tcW w:w="1644" w:type="dxa"/>
            <w:vMerge w:val="restart"/>
            <w:noWrap w:val="0"/>
            <w:vAlign w:val="center"/>
          </w:tcPr>
          <w:p w14:paraId="5A72ECF3">
            <w:pPr>
              <w:jc w:val="center"/>
              <w:rPr>
                <w:rFonts w:ascii="宋体" w:hAnsi="宋体" w:cs="宋体"/>
                <w:color w:val="000000"/>
                <w:w w:val="95"/>
                <w:kern w:val="0"/>
                <w:szCs w:val="21"/>
                <w:lang w:bidi="ar"/>
              </w:rPr>
            </w:pPr>
            <w:r>
              <w:rPr>
                <w:rFonts w:hint="eastAsia" w:ascii="宋体" w:hAnsi="宋体" w:cs="宋体"/>
                <w:color w:val="000000"/>
                <w:w w:val="95"/>
                <w:kern w:val="0"/>
                <w:szCs w:val="21"/>
                <w:lang w:bidi="ar"/>
              </w:rPr>
              <w:t>电控柜</w:t>
            </w:r>
          </w:p>
        </w:tc>
        <w:tc>
          <w:tcPr>
            <w:tcW w:w="3950" w:type="dxa"/>
            <w:noWrap w:val="0"/>
            <w:vAlign w:val="top"/>
          </w:tcPr>
          <w:p w14:paraId="0FCF7490">
            <w:pPr>
              <w:pStyle w:val="113"/>
              <w:spacing w:before="15"/>
              <w:ind w:right="45"/>
              <w:jc w:val="both"/>
              <w:rPr>
                <w:rFonts w:hint="default"/>
                <w:color w:val="000000"/>
                <w:sz w:val="21"/>
                <w:szCs w:val="21"/>
              </w:rPr>
            </w:pPr>
            <w:r>
              <w:rPr>
                <w:rFonts w:cs="宋体"/>
                <w:color w:val="000000"/>
                <w:sz w:val="21"/>
                <w:szCs w:val="21"/>
              </w:rPr>
              <w:t>主备电切换、主备泵故障切换</w:t>
            </w:r>
          </w:p>
        </w:tc>
        <w:tc>
          <w:tcPr>
            <w:tcW w:w="1181" w:type="dxa"/>
            <w:noWrap w:val="0"/>
            <w:vAlign w:val="center"/>
          </w:tcPr>
          <w:p w14:paraId="6B4F8189">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1756D5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E64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6C2C377">
            <w:pPr>
              <w:rPr>
                <w:rFonts w:ascii="宋体" w:hAnsi="宋体" w:cs="宋体"/>
                <w:color w:val="000000"/>
                <w:kern w:val="0"/>
                <w:sz w:val="24"/>
                <w:szCs w:val="24"/>
                <w:lang w:bidi="ar"/>
              </w:rPr>
            </w:pPr>
          </w:p>
        </w:tc>
        <w:tc>
          <w:tcPr>
            <w:tcW w:w="1644" w:type="dxa"/>
            <w:vMerge w:val="continue"/>
            <w:noWrap w:val="0"/>
            <w:vAlign w:val="top"/>
          </w:tcPr>
          <w:p w14:paraId="5A9E8168">
            <w:pPr>
              <w:rPr>
                <w:rFonts w:ascii="宋体" w:hAnsi="宋体" w:cs="宋体"/>
                <w:color w:val="000000"/>
                <w:w w:val="95"/>
                <w:kern w:val="0"/>
                <w:szCs w:val="21"/>
                <w:lang w:bidi="ar"/>
              </w:rPr>
            </w:pPr>
          </w:p>
        </w:tc>
        <w:tc>
          <w:tcPr>
            <w:tcW w:w="3950" w:type="dxa"/>
            <w:noWrap w:val="0"/>
            <w:vAlign w:val="top"/>
          </w:tcPr>
          <w:p w14:paraId="22CB7CC9">
            <w:pPr>
              <w:pStyle w:val="113"/>
              <w:spacing w:before="15"/>
              <w:ind w:right="45"/>
              <w:jc w:val="both"/>
              <w:rPr>
                <w:rFonts w:hint="default"/>
                <w:color w:val="000000"/>
                <w:sz w:val="21"/>
                <w:szCs w:val="21"/>
              </w:rPr>
            </w:pPr>
            <w:r>
              <w:rPr>
                <w:rFonts w:cs="宋体"/>
                <w:color w:val="000000"/>
                <w:sz w:val="21"/>
                <w:szCs w:val="21"/>
              </w:rPr>
              <w:t>信号线、电源线绝缘电阻以及接地线接地</w:t>
            </w:r>
          </w:p>
        </w:tc>
        <w:tc>
          <w:tcPr>
            <w:tcW w:w="1181" w:type="dxa"/>
            <w:noWrap w:val="0"/>
            <w:vAlign w:val="top"/>
          </w:tcPr>
          <w:p w14:paraId="45B1A99E">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2684B8B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23B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8514335">
            <w:pPr>
              <w:rPr>
                <w:rFonts w:ascii="宋体" w:hAnsi="宋体" w:cs="宋体"/>
                <w:color w:val="000000"/>
                <w:kern w:val="0"/>
                <w:sz w:val="24"/>
                <w:szCs w:val="24"/>
                <w:lang w:bidi="ar"/>
              </w:rPr>
            </w:pPr>
          </w:p>
        </w:tc>
        <w:tc>
          <w:tcPr>
            <w:tcW w:w="1644" w:type="dxa"/>
            <w:vMerge w:val="continue"/>
            <w:noWrap w:val="0"/>
            <w:vAlign w:val="top"/>
          </w:tcPr>
          <w:p w14:paraId="4DA1E972">
            <w:pPr>
              <w:rPr>
                <w:rFonts w:ascii="宋体" w:hAnsi="宋体" w:cs="宋体"/>
                <w:color w:val="000000"/>
                <w:w w:val="95"/>
                <w:kern w:val="0"/>
                <w:szCs w:val="21"/>
                <w:lang w:bidi="ar"/>
              </w:rPr>
            </w:pPr>
          </w:p>
        </w:tc>
        <w:tc>
          <w:tcPr>
            <w:tcW w:w="3950" w:type="dxa"/>
            <w:noWrap w:val="0"/>
            <w:vAlign w:val="top"/>
          </w:tcPr>
          <w:p w14:paraId="3365A6CA">
            <w:pPr>
              <w:pStyle w:val="113"/>
              <w:spacing w:before="15"/>
              <w:ind w:right="106"/>
              <w:rPr>
                <w:rFonts w:hint="default"/>
                <w:color w:val="000000"/>
                <w:sz w:val="21"/>
                <w:szCs w:val="21"/>
              </w:rPr>
            </w:pPr>
            <w:r>
              <w:rPr>
                <w:rFonts w:cs="宋体"/>
                <w:color w:val="000000"/>
                <w:sz w:val="21"/>
                <w:szCs w:val="21"/>
              </w:rPr>
              <w:t>水泵启停功能（各显示功能；现场及远程启动功能；星三角转换； 自动启动功能）</w:t>
            </w:r>
          </w:p>
        </w:tc>
        <w:tc>
          <w:tcPr>
            <w:tcW w:w="1181" w:type="dxa"/>
            <w:noWrap w:val="0"/>
            <w:vAlign w:val="center"/>
          </w:tcPr>
          <w:p w14:paraId="77533748">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top"/>
          </w:tcPr>
          <w:p w14:paraId="505389E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1DF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F9C691B">
            <w:pPr>
              <w:rPr>
                <w:rFonts w:ascii="宋体" w:hAnsi="宋体" w:cs="宋体"/>
                <w:color w:val="000000"/>
                <w:kern w:val="0"/>
                <w:sz w:val="24"/>
                <w:szCs w:val="24"/>
                <w:lang w:bidi="ar"/>
              </w:rPr>
            </w:pPr>
          </w:p>
        </w:tc>
        <w:tc>
          <w:tcPr>
            <w:tcW w:w="1644" w:type="dxa"/>
            <w:vMerge w:val="continue"/>
            <w:noWrap w:val="0"/>
            <w:vAlign w:val="top"/>
          </w:tcPr>
          <w:p w14:paraId="7627213F">
            <w:pPr>
              <w:rPr>
                <w:rFonts w:ascii="宋体" w:hAnsi="宋体" w:cs="宋体"/>
                <w:color w:val="000000"/>
                <w:w w:val="95"/>
                <w:kern w:val="0"/>
                <w:szCs w:val="21"/>
                <w:lang w:bidi="ar"/>
              </w:rPr>
            </w:pPr>
          </w:p>
        </w:tc>
        <w:tc>
          <w:tcPr>
            <w:tcW w:w="3950" w:type="dxa"/>
            <w:noWrap w:val="0"/>
            <w:vAlign w:val="top"/>
          </w:tcPr>
          <w:p w14:paraId="1228BC43">
            <w:pPr>
              <w:pStyle w:val="113"/>
              <w:spacing w:before="24"/>
              <w:ind w:right="45"/>
              <w:jc w:val="both"/>
              <w:rPr>
                <w:rFonts w:hint="default"/>
                <w:color w:val="000000"/>
                <w:sz w:val="21"/>
                <w:szCs w:val="21"/>
              </w:rPr>
            </w:pPr>
            <w:r>
              <w:rPr>
                <w:rFonts w:cs="宋体"/>
                <w:color w:val="000000"/>
                <w:sz w:val="21"/>
                <w:szCs w:val="21"/>
              </w:rPr>
              <w:t>柜体内外表面清洁</w:t>
            </w:r>
          </w:p>
        </w:tc>
        <w:tc>
          <w:tcPr>
            <w:tcW w:w="1181" w:type="dxa"/>
            <w:noWrap w:val="0"/>
            <w:vAlign w:val="top"/>
          </w:tcPr>
          <w:p w14:paraId="393CE82D">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1E0769B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2C5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00E36EB">
            <w:pPr>
              <w:rPr>
                <w:rFonts w:ascii="宋体" w:hAnsi="宋体" w:cs="宋体"/>
                <w:color w:val="000000"/>
                <w:kern w:val="0"/>
                <w:sz w:val="24"/>
                <w:szCs w:val="24"/>
                <w:lang w:bidi="ar"/>
              </w:rPr>
            </w:pPr>
          </w:p>
        </w:tc>
        <w:tc>
          <w:tcPr>
            <w:tcW w:w="1644" w:type="dxa"/>
            <w:vMerge w:val="continue"/>
            <w:noWrap w:val="0"/>
            <w:vAlign w:val="top"/>
          </w:tcPr>
          <w:p w14:paraId="483366CC">
            <w:pPr>
              <w:rPr>
                <w:rFonts w:ascii="宋体" w:hAnsi="宋体" w:cs="宋体"/>
                <w:color w:val="000000"/>
                <w:w w:val="95"/>
                <w:kern w:val="0"/>
                <w:szCs w:val="21"/>
                <w:lang w:bidi="ar"/>
              </w:rPr>
            </w:pPr>
          </w:p>
        </w:tc>
        <w:tc>
          <w:tcPr>
            <w:tcW w:w="3950" w:type="dxa"/>
            <w:noWrap w:val="0"/>
            <w:vAlign w:val="top"/>
          </w:tcPr>
          <w:p w14:paraId="291936B5">
            <w:pPr>
              <w:pStyle w:val="113"/>
              <w:spacing w:before="15"/>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top"/>
          </w:tcPr>
          <w:p w14:paraId="7086F110">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2A8CC55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000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6341095">
            <w:pPr>
              <w:rPr>
                <w:rFonts w:ascii="宋体" w:hAnsi="宋体" w:cs="宋体"/>
                <w:color w:val="000000"/>
                <w:kern w:val="0"/>
                <w:sz w:val="24"/>
                <w:szCs w:val="24"/>
                <w:lang w:bidi="ar"/>
              </w:rPr>
            </w:pPr>
          </w:p>
        </w:tc>
        <w:tc>
          <w:tcPr>
            <w:tcW w:w="1644" w:type="dxa"/>
            <w:vMerge w:val="continue"/>
            <w:noWrap w:val="0"/>
            <w:vAlign w:val="top"/>
          </w:tcPr>
          <w:p w14:paraId="5230C702">
            <w:pPr>
              <w:rPr>
                <w:rFonts w:ascii="宋体" w:hAnsi="宋体" w:cs="宋体"/>
                <w:color w:val="000000"/>
                <w:w w:val="95"/>
                <w:kern w:val="0"/>
                <w:szCs w:val="21"/>
                <w:lang w:bidi="ar"/>
              </w:rPr>
            </w:pPr>
          </w:p>
        </w:tc>
        <w:tc>
          <w:tcPr>
            <w:tcW w:w="3950" w:type="dxa"/>
            <w:noWrap w:val="0"/>
            <w:vAlign w:val="top"/>
          </w:tcPr>
          <w:p w14:paraId="7FEEC968">
            <w:pPr>
              <w:pStyle w:val="113"/>
              <w:spacing w:before="14"/>
              <w:ind w:right="45"/>
              <w:jc w:val="both"/>
              <w:rPr>
                <w:rFonts w:hint="default"/>
                <w:color w:val="000000"/>
                <w:sz w:val="21"/>
                <w:szCs w:val="21"/>
              </w:rPr>
            </w:pPr>
            <w:r>
              <w:rPr>
                <w:rFonts w:cs="宋体"/>
                <w:color w:val="000000"/>
                <w:sz w:val="21"/>
                <w:szCs w:val="21"/>
              </w:rPr>
              <w:t>电控柜元器件、标识的完好情况</w:t>
            </w:r>
          </w:p>
        </w:tc>
        <w:tc>
          <w:tcPr>
            <w:tcW w:w="1181" w:type="dxa"/>
            <w:noWrap w:val="0"/>
            <w:vAlign w:val="top"/>
          </w:tcPr>
          <w:p w14:paraId="18F50F75">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3279283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066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CC11299">
            <w:pPr>
              <w:rPr>
                <w:rFonts w:ascii="宋体" w:hAnsi="宋体" w:cs="宋体"/>
                <w:color w:val="000000"/>
                <w:kern w:val="0"/>
                <w:sz w:val="24"/>
                <w:szCs w:val="24"/>
                <w:lang w:bidi="ar"/>
              </w:rPr>
            </w:pPr>
          </w:p>
        </w:tc>
        <w:tc>
          <w:tcPr>
            <w:tcW w:w="1644" w:type="dxa"/>
            <w:vMerge w:val="continue"/>
            <w:noWrap w:val="0"/>
            <w:vAlign w:val="top"/>
          </w:tcPr>
          <w:p w14:paraId="5E956FA5">
            <w:pPr>
              <w:rPr>
                <w:rFonts w:ascii="宋体" w:hAnsi="宋体" w:cs="宋体"/>
                <w:color w:val="000000"/>
                <w:w w:val="95"/>
                <w:kern w:val="0"/>
                <w:szCs w:val="21"/>
                <w:lang w:bidi="ar"/>
              </w:rPr>
            </w:pPr>
          </w:p>
        </w:tc>
        <w:tc>
          <w:tcPr>
            <w:tcW w:w="3950" w:type="dxa"/>
            <w:noWrap w:val="0"/>
            <w:vAlign w:val="top"/>
          </w:tcPr>
          <w:p w14:paraId="2557B335">
            <w:pPr>
              <w:pStyle w:val="113"/>
              <w:spacing w:before="14"/>
              <w:ind w:right="45"/>
              <w:jc w:val="both"/>
              <w:rPr>
                <w:rFonts w:hint="default"/>
                <w:color w:val="000000"/>
                <w:sz w:val="21"/>
                <w:szCs w:val="21"/>
              </w:rPr>
            </w:pPr>
            <w:r>
              <w:rPr>
                <w:rFonts w:cs="宋体"/>
                <w:color w:val="000000"/>
                <w:sz w:val="21"/>
                <w:szCs w:val="21"/>
              </w:rPr>
              <w:t>电控柜接线端子接线进行整理、紧固</w:t>
            </w:r>
          </w:p>
        </w:tc>
        <w:tc>
          <w:tcPr>
            <w:tcW w:w="1181" w:type="dxa"/>
            <w:noWrap w:val="0"/>
            <w:vAlign w:val="top"/>
          </w:tcPr>
          <w:p w14:paraId="37609AD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2C5BA0EA">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086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74287E9">
            <w:pPr>
              <w:rPr>
                <w:rFonts w:ascii="宋体" w:hAnsi="宋体" w:cs="宋体"/>
                <w:color w:val="000000"/>
                <w:kern w:val="0"/>
                <w:sz w:val="24"/>
                <w:szCs w:val="24"/>
                <w:lang w:bidi="ar"/>
              </w:rPr>
            </w:pPr>
          </w:p>
        </w:tc>
        <w:tc>
          <w:tcPr>
            <w:tcW w:w="1644" w:type="dxa"/>
            <w:vMerge w:val="restart"/>
            <w:noWrap w:val="0"/>
            <w:vAlign w:val="center"/>
          </w:tcPr>
          <w:p w14:paraId="2A06173F">
            <w:pPr>
              <w:jc w:val="center"/>
              <w:rPr>
                <w:rFonts w:ascii="宋体" w:hAnsi="宋体" w:cs="宋体"/>
                <w:color w:val="000000"/>
                <w:w w:val="95"/>
                <w:kern w:val="0"/>
                <w:szCs w:val="21"/>
                <w:lang w:bidi="ar"/>
              </w:rPr>
            </w:pPr>
            <w:r>
              <w:rPr>
                <w:rFonts w:hint="eastAsia" w:ascii="宋体" w:hAnsi="宋体" w:cs="宋体"/>
                <w:color w:val="000000"/>
                <w:w w:val="95"/>
                <w:szCs w:val="21"/>
              </w:rPr>
              <w:t>泵体</w:t>
            </w:r>
          </w:p>
        </w:tc>
        <w:tc>
          <w:tcPr>
            <w:tcW w:w="3950" w:type="dxa"/>
            <w:noWrap w:val="0"/>
            <w:vAlign w:val="top"/>
          </w:tcPr>
          <w:p w14:paraId="60859EA0">
            <w:pPr>
              <w:pStyle w:val="113"/>
              <w:spacing w:before="14"/>
              <w:ind w:right="45"/>
              <w:jc w:val="both"/>
              <w:rPr>
                <w:rFonts w:hint="default"/>
                <w:color w:val="000000"/>
                <w:sz w:val="21"/>
                <w:szCs w:val="21"/>
              </w:rPr>
            </w:pPr>
            <w:r>
              <w:rPr>
                <w:rFonts w:cs="宋体"/>
                <w:color w:val="000000"/>
                <w:w w:val="95"/>
                <w:sz w:val="21"/>
                <w:szCs w:val="21"/>
              </w:rPr>
              <w:t>泵体</w:t>
            </w:r>
          </w:p>
        </w:tc>
        <w:tc>
          <w:tcPr>
            <w:tcW w:w="1181" w:type="dxa"/>
            <w:noWrap w:val="0"/>
            <w:vAlign w:val="top"/>
          </w:tcPr>
          <w:p w14:paraId="33DABA8E">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59FDDB0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295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549019C">
            <w:pPr>
              <w:rPr>
                <w:rFonts w:ascii="宋体" w:hAnsi="宋体" w:cs="宋体"/>
                <w:color w:val="000000"/>
                <w:kern w:val="0"/>
                <w:sz w:val="24"/>
                <w:szCs w:val="24"/>
                <w:lang w:bidi="ar"/>
              </w:rPr>
            </w:pPr>
          </w:p>
        </w:tc>
        <w:tc>
          <w:tcPr>
            <w:tcW w:w="1644" w:type="dxa"/>
            <w:vMerge w:val="continue"/>
            <w:noWrap w:val="0"/>
            <w:vAlign w:val="center"/>
          </w:tcPr>
          <w:p w14:paraId="69469EF0">
            <w:pPr>
              <w:jc w:val="center"/>
              <w:rPr>
                <w:rFonts w:ascii="宋体" w:hAnsi="宋体" w:cs="宋体"/>
                <w:color w:val="000000"/>
                <w:w w:val="95"/>
                <w:szCs w:val="21"/>
              </w:rPr>
            </w:pPr>
          </w:p>
        </w:tc>
        <w:tc>
          <w:tcPr>
            <w:tcW w:w="3950" w:type="dxa"/>
            <w:noWrap w:val="0"/>
            <w:vAlign w:val="top"/>
          </w:tcPr>
          <w:p w14:paraId="58D8A317">
            <w:pPr>
              <w:pStyle w:val="113"/>
              <w:spacing w:before="14"/>
              <w:ind w:right="45"/>
              <w:jc w:val="both"/>
              <w:rPr>
                <w:rFonts w:hint="default"/>
                <w:color w:val="000000"/>
                <w:w w:val="95"/>
                <w:sz w:val="21"/>
                <w:szCs w:val="21"/>
              </w:rPr>
            </w:pPr>
            <w:r>
              <w:rPr>
                <w:rFonts w:cs="宋体"/>
                <w:color w:val="000000"/>
                <w:w w:val="95"/>
                <w:sz w:val="21"/>
                <w:szCs w:val="21"/>
              </w:rPr>
              <w:t>泵体</w:t>
            </w:r>
          </w:p>
        </w:tc>
        <w:tc>
          <w:tcPr>
            <w:tcW w:w="1181" w:type="dxa"/>
            <w:noWrap w:val="0"/>
            <w:vAlign w:val="top"/>
          </w:tcPr>
          <w:p w14:paraId="0756A4E7">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top"/>
          </w:tcPr>
          <w:p w14:paraId="78A00EA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EE0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C06D116">
            <w:pPr>
              <w:rPr>
                <w:rFonts w:ascii="宋体" w:hAnsi="宋体" w:cs="宋体"/>
                <w:color w:val="000000"/>
                <w:kern w:val="0"/>
                <w:sz w:val="24"/>
                <w:szCs w:val="24"/>
                <w:lang w:bidi="ar"/>
              </w:rPr>
            </w:pPr>
          </w:p>
        </w:tc>
        <w:tc>
          <w:tcPr>
            <w:tcW w:w="1644" w:type="dxa"/>
            <w:vMerge w:val="restart"/>
            <w:noWrap w:val="0"/>
            <w:vAlign w:val="center"/>
          </w:tcPr>
          <w:p w14:paraId="1C4F0370">
            <w:pPr>
              <w:jc w:val="center"/>
              <w:rPr>
                <w:rFonts w:ascii="宋体" w:hAnsi="宋体" w:cs="宋体"/>
                <w:color w:val="000000"/>
                <w:w w:val="95"/>
                <w:szCs w:val="21"/>
              </w:rPr>
            </w:pPr>
            <w:r>
              <w:rPr>
                <w:rFonts w:hint="eastAsia" w:ascii="宋体" w:hAnsi="宋体" w:cs="宋体"/>
                <w:color w:val="000000"/>
                <w:w w:val="95"/>
                <w:kern w:val="0"/>
                <w:szCs w:val="21"/>
                <w:lang w:bidi="ar"/>
              </w:rPr>
              <w:t>消火栓箱</w:t>
            </w:r>
          </w:p>
        </w:tc>
        <w:tc>
          <w:tcPr>
            <w:tcW w:w="3950" w:type="dxa"/>
            <w:noWrap w:val="0"/>
            <w:vAlign w:val="top"/>
          </w:tcPr>
          <w:p w14:paraId="7E88C584">
            <w:pPr>
              <w:pStyle w:val="113"/>
              <w:spacing w:before="97"/>
              <w:ind w:right="45"/>
              <w:jc w:val="both"/>
              <w:rPr>
                <w:rFonts w:hint="default"/>
                <w:color w:val="000000"/>
                <w:sz w:val="21"/>
                <w:szCs w:val="21"/>
              </w:rPr>
            </w:pPr>
            <w:r>
              <w:rPr>
                <w:rFonts w:cs="宋体"/>
                <w:color w:val="000000"/>
                <w:sz w:val="21"/>
                <w:szCs w:val="21"/>
              </w:rPr>
              <w:t>内外清洁、卡箍紧固、配件是否缺损完好、安装牢固</w:t>
            </w:r>
          </w:p>
        </w:tc>
        <w:tc>
          <w:tcPr>
            <w:tcW w:w="1181" w:type="dxa"/>
            <w:noWrap w:val="0"/>
            <w:vAlign w:val="center"/>
          </w:tcPr>
          <w:p w14:paraId="3D36E18F">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9279AB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D24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A5BF981">
            <w:pPr>
              <w:rPr>
                <w:rFonts w:ascii="宋体" w:hAnsi="宋体" w:cs="宋体"/>
                <w:color w:val="000000"/>
                <w:kern w:val="0"/>
                <w:sz w:val="24"/>
                <w:szCs w:val="24"/>
                <w:lang w:bidi="ar"/>
              </w:rPr>
            </w:pPr>
          </w:p>
        </w:tc>
        <w:tc>
          <w:tcPr>
            <w:tcW w:w="1644" w:type="dxa"/>
            <w:vMerge w:val="continue"/>
            <w:noWrap w:val="0"/>
            <w:vAlign w:val="top"/>
          </w:tcPr>
          <w:p w14:paraId="192FAC05">
            <w:pPr>
              <w:jc w:val="center"/>
              <w:rPr>
                <w:rFonts w:ascii="宋体" w:hAnsi="宋体" w:cs="宋体"/>
                <w:color w:val="000000"/>
                <w:w w:val="95"/>
                <w:szCs w:val="21"/>
              </w:rPr>
            </w:pPr>
          </w:p>
        </w:tc>
        <w:tc>
          <w:tcPr>
            <w:tcW w:w="3950" w:type="dxa"/>
            <w:noWrap w:val="0"/>
            <w:vAlign w:val="top"/>
          </w:tcPr>
          <w:p w14:paraId="32C96499">
            <w:pPr>
              <w:pStyle w:val="113"/>
              <w:spacing w:before="15"/>
              <w:ind w:right="45"/>
              <w:jc w:val="both"/>
              <w:rPr>
                <w:rFonts w:hint="default"/>
                <w:color w:val="000000"/>
                <w:sz w:val="21"/>
                <w:szCs w:val="21"/>
              </w:rPr>
            </w:pPr>
            <w:r>
              <w:rPr>
                <w:rFonts w:cs="宋体"/>
                <w:color w:val="000000"/>
                <w:sz w:val="21"/>
                <w:szCs w:val="21"/>
              </w:rPr>
              <w:t>机械润滑</w:t>
            </w:r>
          </w:p>
        </w:tc>
        <w:tc>
          <w:tcPr>
            <w:tcW w:w="1181" w:type="dxa"/>
            <w:noWrap w:val="0"/>
            <w:vAlign w:val="top"/>
          </w:tcPr>
          <w:p w14:paraId="4E715520">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top"/>
          </w:tcPr>
          <w:p w14:paraId="62AE0CB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150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95FADB5">
            <w:pPr>
              <w:rPr>
                <w:rFonts w:ascii="宋体" w:hAnsi="宋体" w:cs="宋体"/>
                <w:color w:val="000000"/>
                <w:kern w:val="0"/>
                <w:sz w:val="24"/>
                <w:szCs w:val="24"/>
                <w:lang w:bidi="ar"/>
              </w:rPr>
            </w:pPr>
          </w:p>
        </w:tc>
        <w:tc>
          <w:tcPr>
            <w:tcW w:w="1644" w:type="dxa"/>
            <w:noWrap w:val="0"/>
            <w:vAlign w:val="center"/>
          </w:tcPr>
          <w:p w14:paraId="3C8BF6F9">
            <w:pPr>
              <w:jc w:val="center"/>
              <w:rPr>
                <w:rFonts w:ascii="宋体" w:hAnsi="宋体" w:cs="宋体"/>
                <w:color w:val="000000"/>
                <w:w w:val="95"/>
                <w:szCs w:val="21"/>
              </w:rPr>
            </w:pPr>
            <w:r>
              <w:rPr>
                <w:rFonts w:hint="eastAsia" w:ascii="宋体" w:hAnsi="宋体" w:cs="宋体"/>
                <w:color w:val="000000"/>
                <w:w w:val="95"/>
                <w:szCs w:val="21"/>
              </w:rPr>
              <w:t>管网</w:t>
            </w:r>
          </w:p>
        </w:tc>
        <w:tc>
          <w:tcPr>
            <w:tcW w:w="3950" w:type="dxa"/>
            <w:noWrap w:val="0"/>
            <w:vAlign w:val="top"/>
          </w:tcPr>
          <w:p w14:paraId="1ECF1F24">
            <w:pPr>
              <w:pStyle w:val="113"/>
              <w:spacing w:before="15"/>
              <w:ind w:right="45"/>
              <w:jc w:val="both"/>
              <w:rPr>
                <w:rFonts w:hint="default"/>
                <w:color w:val="000000"/>
                <w:sz w:val="21"/>
                <w:szCs w:val="21"/>
              </w:rPr>
            </w:pPr>
            <w:r>
              <w:rPr>
                <w:rFonts w:cs="宋体"/>
                <w:color w:val="000000"/>
                <w:sz w:val="21"/>
                <w:szCs w:val="21"/>
              </w:rPr>
              <w:t>检查标识及漆面</w:t>
            </w:r>
          </w:p>
        </w:tc>
        <w:tc>
          <w:tcPr>
            <w:tcW w:w="1181" w:type="dxa"/>
            <w:noWrap w:val="0"/>
            <w:vAlign w:val="top"/>
          </w:tcPr>
          <w:p w14:paraId="7999872F">
            <w:pPr>
              <w:jc w:val="center"/>
              <w:rPr>
                <w:rFonts w:ascii="宋体" w:hAnsi="宋体" w:cs="宋体"/>
                <w:color w:val="000000"/>
                <w:kern w:val="0"/>
                <w:szCs w:val="21"/>
                <w:lang w:bidi="ar"/>
              </w:rPr>
            </w:pPr>
            <w:r>
              <w:rPr>
                <w:rFonts w:hint="eastAsia" w:ascii="宋体" w:hAnsi="宋体" w:cs="宋体"/>
                <w:color w:val="000000"/>
                <w:kern w:val="0"/>
                <w:szCs w:val="21"/>
                <w:lang w:bidi="ar"/>
              </w:rPr>
              <w:t>补漆</w:t>
            </w:r>
          </w:p>
        </w:tc>
        <w:tc>
          <w:tcPr>
            <w:tcW w:w="1342" w:type="dxa"/>
            <w:noWrap w:val="0"/>
            <w:vAlign w:val="top"/>
          </w:tcPr>
          <w:p w14:paraId="4FDDFDD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7A7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8D48440">
            <w:pPr>
              <w:rPr>
                <w:rFonts w:ascii="宋体" w:hAnsi="宋体" w:cs="宋体"/>
                <w:color w:val="000000"/>
                <w:kern w:val="0"/>
                <w:sz w:val="24"/>
                <w:szCs w:val="24"/>
                <w:lang w:bidi="ar"/>
              </w:rPr>
            </w:pPr>
          </w:p>
        </w:tc>
        <w:tc>
          <w:tcPr>
            <w:tcW w:w="1644" w:type="dxa"/>
            <w:noWrap w:val="0"/>
            <w:vAlign w:val="center"/>
          </w:tcPr>
          <w:p w14:paraId="0241110A">
            <w:pPr>
              <w:jc w:val="center"/>
              <w:rPr>
                <w:rFonts w:ascii="宋体" w:hAnsi="宋体" w:cs="宋体"/>
                <w:color w:val="000000"/>
                <w:w w:val="95"/>
                <w:szCs w:val="21"/>
              </w:rPr>
            </w:pPr>
            <w:r>
              <w:rPr>
                <w:rFonts w:hint="eastAsia" w:ascii="宋体" w:hAnsi="宋体" w:cs="宋体"/>
                <w:color w:val="000000"/>
                <w:w w:val="95"/>
                <w:szCs w:val="21"/>
              </w:rPr>
              <w:t>各类阀体</w:t>
            </w:r>
          </w:p>
        </w:tc>
        <w:tc>
          <w:tcPr>
            <w:tcW w:w="3950" w:type="dxa"/>
            <w:noWrap w:val="0"/>
            <w:vAlign w:val="top"/>
          </w:tcPr>
          <w:p w14:paraId="54F60986">
            <w:pPr>
              <w:pStyle w:val="113"/>
              <w:spacing w:before="15"/>
              <w:ind w:right="45"/>
              <w:jc w:val="both"/>
              <w:rPr>
                <w:rFonts w:hint="default"/>
                <w:color w:val="000000"/>
                <w:sz w:val="21"/>
                <w:szCs w:val="21"/>
              </w:rPr>
            </w:pPr>
            <w:r>
              <w:rPr>
                <w:rFonts w:cs="宋体"/>
                <w:color w:val="000000"/>
                <w:sz w:val="21"/>
                <w:szCs w:val="21"/>
              </w:rPr>
              <w:t>清洁润滑</w:t>
            </w:r>
          </w:p>
        </w:tc>
        <w:tc>
          <w:tcPr>
            <w:tcW w:w="1181" w:type="dxa"/>
            <w:noWrap w:val="0"/>
            <w:vAlign w:val="center"/>
          </w:tcPr>
          <w:p w14:paraId="52F53535">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06251F9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808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E69F8AB">
            <w:pPr>
              <w:rPr>
                <w:rFonts w:ascii="宋体" w:hAnsi="宋体" w:cs="宋体"/>
                <w:color w:val="000000"/>
                <w:kern w:val="0"/>
                <w:sz w:val="24"/>
                <w:szCs w:val="24"/>
                <w:lang w:bidi="ar"/>
              </w:rPr>
            </w:pPr>
          </w:p>
        </w:tc>
        <w:tc>
          <w:tcPr>
            <w:tcW w:w="1644" w:type="dxa"/>
            <w:vMerge w:val="restart"/>
            <w:noWrap w:val="0"/>
            <w:vAlign w:val="center"/>
          </w:tcPr>
          <w:p w14:paraId="65A700DA">
            <w:pPr>
              <w:jc w:val="center"/>
              <w:rPr>
                <w:rFonts w:ascii="宋体" w:hAnsi="宋体" w:cs="宋体"/>
                <w:color w:val="000000"/>
                <w:w w:val="95"/>
                <w:szCs w:val="21"/>
              </w:rPr>
            </w:pPr>
            <w:r>
              <w:rPr>
                <w:rFonts w:hint="eastAsia" w:ascii="宋体" w:hAnsi="宋体" w:cs="宋体"/>
                <w:color w:val="000000"/>
                <w:w w:val="95"/>
                <w:szCs w:val="21"/>
              </w:rPr>
              <w:t>水泵接合器</w:t>
            </w:r>
          </w:p>
        </w:tc>
        <w:tc>
          <w:tcPr>
            <w:tcW w:w="3950" w:type="dxa"/>
            <w:noWrap w:val="0"/>
            <w:vAlign w:val="top"/>
          </w:tcPr>
          <w:p w14:paraId="28CC2247">
            <w:pPr>
              <w:pStyle w:val="113"/>
              <w:spacing w:before="15"/>
              <w:ind w:right="45"/>
              <w:jc w:val="both"/>
              <w:rPr>
                <w:rFonts w:hint="default"/>
                <w:color w:val="000000"/>
                <w:sz w:val="21"/>
                <w:szCs w:val="21"/>
              </w:rPr>
            </w:pPr>
            <w:r>
              <w:rPr>
                <w:rFonts w:cs="宋体"/>
                <w:color w:val="000000"/>
                <w:sz w:val="21"/>
                <w:szCs w:val="21"/>
              </w:rPr>
              <w:t>检查外观、标志、接口有无漏水</w:t>
            </w:r>
          </w:p>
        </w:tc>
        <w:tc>
          <w:tcPr>
            <w:tcW w:w="1181" w:type="dxa"/>
            <w:noWrap w:val="0"/>
            <w:vAlign w:val="center"/>
          </w:tcPr>
          <w:p w14:paraId="5B7B8963">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98D87F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798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41D9941">
            <w:pPr>
              <w:rPr>
                <w:rFonts w:ascii="宋体" w:hAnsi="宋体" w:cs="宋体"/>
                <w:color w:val="000000"/>
                <w:kern w:val="0"/>
                <w:sz w:val="24"/>
                <w:szCs w:val="24"/>
                <w:lang w:bidi="ar"/>
              </w:rPr>
            </w:pPr>
          </w:p>
        </w:tc>
        <w:tc>
          <w:tcPr>
            <w:tcW w:w="1644" w:type="dxa"/>
            <w:vMerge w:val="continue"/>
            <w:noWrap w:val="0"/>
            <w:vAlign w:val="top"/>
          </w:tcPr>
          <w:p w14:paraId="15260742">
            <w:pPr>
              <w:jc w:val="center"/>
              <w:rPr>
                <w:rFonts w:ascii="宋体" w:hAnsi="宋体" w:cs="宋体"/>
                <w:color w:val="000000"/>
                <w:w w:val="95"/>
                <w:szCs w:val="21"/>
              </w:rPr>
            </w:pPr>
          </w:p>
        </w:tc>
        <w:tc>
          <w:tcPr>
            <w:tcW w:w="3950" w:type="dxa"/>
            <w:noWrap w:val="0"/>
            <w:vAlign w:val="top"/>
          </w:tcPr>
          <w:p w14:paraId="6EB4FB41">
            <w:pPr>
              <w:pStyle w:val="113"/>
              <w:spacing w:before="16"/>
              <w:ind w:right="45"/>
              <w:jc w:val="both"/>
              <w:rPr>
                <w:rFonts w:hint="default"/>
                <w:color w:val="000000"/>
                <w:sz w:val="21"/>
                <w:szCs w:val="21"/>
              </w:rPr>
            </w:pPr>
            <w:r>
              <w:rPr>
                <w:rFonts w:cs="宋体"/>
                <w:color w:val="000000"/>
                <w:sz w:val="21"/>
                <w:szCs w:val="21"/>
              </w:rPr>
              <w:t>电器手动启动功能</w:t>
            </w:r>
          </w:p>
        </w:tc>
        <w:tc>
          <w:tcPr>
            <w:tcW w:w="1181" w:type="dxa"/>
            <w:noWrap w:val="0"/>
            <w:vAlign w:val="top"/>
          </w:tcPr>
          <w:p w14:paraId="4BC5B7BA">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6428ED1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FE5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43DAA0C">
            <w:pPr>
              <w:rPr>
                <w:rFonts w:ascii="宋体" w:hAnsi="宋体" w:cs="宋体"/>
                <w:color w:val="000000"/>
                <w:kern w:val="0"/>
                <w:sz w:val="24"/>
                <w:szCs w:val="24"/>
                <w:lang w:bidi="ar"/>
              </w:rPr>
            </w:pPr>
          </w:p>
        </w:tc>
        <w:tc>
          <w:tcPr>
            <w:tcW w:w="1644" w:type="dxa"/>
            <w:vMerge w:val="continue"/>
            <w:noWrap w:val="0"/>
            <w:vAlign w:val="top"/>
          </w:tcPr>
          <w:p w14:paraId="5B43C65B">
            <w:pPr>
              <w:jc w:val="center"/>
              <w:rPr>
                <w:rFonts w:ascii="宋体" w:hAnsi="宋体" w:cs="宋体"/>
                <w:color w:val="000000"/>
                <w:w w:val="95"/>
                <w:szCs w:val="21"/>
              </w:rPr>
            </w:pPr>
          </w:p>
        </w:tc>
        <w:tc>
          <w:tcPr>
            <w:tcW w:w="3950" w:type="dxa"/>
            <w:noWrap w:val="0"/>
            <w:vAlign w:val="top"/>
          </w:tcPr>
          <w:p w14:paraId="15C1008E">
            <w:pPr>
              <w:pStyle w:val="113"/>
              <w:spacing w:before="17"/>
              <w:ind w:right="45"/>
              <w:jc w:val="both"/>
              <w:rPr>
                <w:rFonts w:hint="default"/>
                <w:color w:val="000000"/>
                <w:sz w:val="21"/>
                <w:szCs w:val="21"/>
              </w:rPr>
            </w:pPr>
            <w:r>
              <w:rPr>
                <w:rFonts w:cs="宋体"/>
                <w:color w:val="000000"/>
                <w:sz w:val="21"/>
                <w:szCs w:val="21"/>
              </w:rPr>
              <w:t>润滑</w:t>
            </w:r>
          </w:p>
        </w:tc>
        <w:tc>
          <w:tcPr>
            <w:tcW w:w="1181" w:type="dxa"/>
            <w:noWrap w:val="0"/>
            <w:vAlign w:val="top"/>
          </w:tcPr>
          <w:p w14:paraId="2A503C2A">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center"/>
          </w:tcPr>
          <w:p w14:paraId="5C4C095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B1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B133DCF">
            <w:pPr>
              <w:rPr>
                <w:rFonts w:ascii="宋体" w:hAnsi="宋体" w:cs="宋体"/>
                <w:color w:val="000000"/>
                <w:kern w:val="0"/>
                <w:sz w:val="24"/>
                <w:szCs w:val="24"/>
                <w:lang w:bidi="ar"/>
              </w:rPr>
            </w:pPr>
          </w:p>
        </w:tc>
        <w:tc>
          <w:tcPr>
            <w:tcW w:w="1644" w:type="dxa"/>
            <w:noWrap w:val="0"/>
            <w:vAlign w:val="center"/>
          </w:tcPr>
          <w:p w14:paraId="385D080A">
            <w:pPr>
              <w:jc w:val="center"/>
              <w:rPr>
                <w:rFonts w:ascii="宋体" w:hAnsi="宋体" w:cs="宋体"/>
                <w:color w:val="000000"/>
                <w:w w:val="95"/>
                <w:szCs w:val="21"/>
              </w:rPr>
            </w:pPr>
            <w:r>
              <w:rPr>
                <w:rFonts w:hint="eastAsia" w:ascii="宋体" w:hAnsi="宋体" w:cs="宋体"/>
                <w:color w:val="000000"/>
                <w:w w:val="95"/>
                <w:szCs w:val="21"/>
              </w:rPr>
              <w:t>气压灌</w:t>
            </w:r>
          </w:p>
        </w:tc>
        <w:tc>
          <w:tcPr>
            <w:tcW w:w="3950" w:type="dxa"/>
            <w:noWrap w:val="0"/>
            <w:vAlign w:val="top"/>
          </w:tcPr>
          <w:p w14:paraId="2BCCC213">
            <w:pPr>
              <w:pStyle w:val="113"/>
              <w:spacing w:before="17"/>
              <w:ind w:right="45"/>
              <w:jc w:val="both"/>
              <w:rPr>
                <w:rFonts w:hint="default"/>
                <w:color w:val="000000"/>
                <w:sz w:val="21"/>
                <w:szCs w:val="21"/>
              </w:rPr>
            </w:pPr>
            <w:r>
              <w:rPr>
                <w:rFonts w:cs="宋体"/>
                <w:color w:val="000000"/>
                <w:sz w:val="21"/>
                <w:szCs w:val="21"/>
              </w:rPr>
              <w:t>外观</w:t>
            </w:r>
          </w:p>
        </w:tc>
        <w:tc>
          <w:tcPr>
            <w:tcW w:w="1181" w:type="dxa"/>
            <w:noWrap w:val="0"/>
            <w:vAlign w:val="top"/>
          </w:tcPr>
          <w:p w14:paraId="22080AF1">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D6453B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625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4259AD5">
            <w:pPr>
              <w:rPr>
                <w:rFonts w:ascii="宋体" w:hAnsi="宋体" w:cs="宋体"/>
                <w:color w:val="000000"/>
                <w:kern w:val="0"/>
                <w:sz w:val="24"/>
                <w:szCs w:val="24"/>
                <w:lang w:bidi="ar"/>
              </w:rPr>
            </w:pPr>
          </w:p>
        </w:tc>
        <w:tc>
          <w:tcPr>
            <w:tcW w:w="1644" w:type="dxa"/>
            <w:noWrap w:val="0"/>
            <w:vAlign w:val="center"/>
          </w:tcPr>
          <w:p w14:paraId="168C0FC7">
            <w:pPr>
              <w:jc w:val="center"/>
              <w:rPr>
                <w:rFonts w:ascii="宋体" w:hAnsi="宋体" w:cs="宋体"/>
                <w:color w:val="000000"/>
                <w:w w:val="95"/>
                <w:szCs w:val="21"/>
              </w:rPr>
            </w:pPr>
            <w:r>
              <w:rPr>
                <w:rFonts w:hint="eastAsia" w:ascii="宋体" w:hAnsi="宋体" w:cs="宋体"/>
                <w:color w:val="000000"/>
                <w:szCs w:val="21"/>
              </w:rPr>
              <w:t>水系统管网压力指示</w:t>
            </w:r>
          </w:p>
        </w:tc>
        <w:tc>
          <w:tcPr>
            <w:tcW w:w="3950" w:type="dxa"/>
            <w:noWrap w:val="0"/>
            <w:vAlign w:val="center"/>
          </w:tcPr>
          <w:p w14:paraId="613B54BE">
            <w:pPr>
              <w:pStyle w:val="113"/>
              <w:spacing w:before="17"/>
              <w:ind w:right="45"/>
              <w:jc w:val="both"/>
              <w:rPr>
                <w:rFonts w:hint="default"/>
                <w:color w:val="000000"/>
                <w:sz w:val="21"/>
                <w:szCs w:val="21"/>
              </w:rPr>
            </w:pPr>
            <w:r>
              <w:rPr>
                <w:rFonts w:cs="宋体"/>
                <w:color w:val="000000"/>
                <w:sz w:val="21"/>
                <w:szCs w:val="21"/>
              </w:rPr>
              <w:t>外观</w:t>
            </w:r>
          </w:p>
        </w:tc>
        <w:tc>
          <w:tcPr>
            <w:tcW w:w="1181" w:type="dxa"/>
            <w:noWrap w:val="0"/>
            <w:vAlign w:val="center"/>
          </w:tcPr>
          <w:p w14:paraId="623633AC">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67144D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64C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2F24B36">
            <w:pPr>
              <w:rPr>
                <w:rFonts w:ascii="宋体" w:hAnsi="宋体" w:cs="宋体"/>
                <w:color w:val="000000"/>
                <w:kern w:val="0"/>
                <w:sz w:val="24"/>
                <w:szCs w:val="24"/>
                <w:lang w:bidi="ar"/>
              </w:rPr>
            </w:pPr>
          </w:p>
        </w:tc>
        <w:tc>
          <w:tcPr>
            <w:tcW w:w="1644" w:type="dxa"/>
            <w:noWrap w:val="0"/>
            <w:vAlign w:val="center"/>
          </w:tcPr>
          <w:p w14:paraId="347D78F8">
            <w:pPr>
              <w:rPr>
                <w:rFonts w:ascii="宋体" w:hAnsi="宋体" w:cs="宋体"/>
                <w:color w:val="000000"/>
                <w:szCs w:val="21"/>
              </w:rPr>
            </w:pPr>
            <w:r>
              <w:rPr>
                <w:rFonts w:hint="eastAsia" w:ascii="宋体" w:hAnsi="宋体" w:cs="宋体"/>
                <w:color w:val="000000"/>
                <w:w w:val="95"/>
                <w:szCs w:val="21"/>
              </w:rPr>
              <w:t>系统联动试验</w:t>
            </w:r>
          </w:p>
        </w:tc>
        <w:tc>
          <w:tcPr>
            <w:tcW w:w="3950" w:type="dxa"/>
            <w:noWrap w:val="0"/>
            <w:vAlign w:val="center"/>
          </w:tcPr>
          <w:p w14:paraId="03CFB440">
            <w:pPr>
              <w:pStyle w:val="113"/>
              <w:spacing w:before="17"/>
              <w:ind w:right="45"/>
              <w:jc w:val="both"/>
              <w:rPr>
                <w:rFonts w:hint="default"/>
                <w:color w:val="000000"/>
                <w:sz w:val="21"/>
                <w:szCs w:val="21"/>
              </w:rPr>
            </w:pPr>
          </w:p>
        </w:tc>
        <w:tc>
          <w:tcPr>
            <w:tcW w:w="1181" w:type="dxa"/>
            <w:noWrap w:val="0"/>
            <w:vAlign w:val="top"/>
          </w:tcPr>
          <w:p w14:paraId="1FD93623">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4EE4AE1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C6E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4F86A994">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自动喷水系统</w:t>
            </w:r>
          </w:p>
        </w:tc>
        <w:tc>
          <w:tcPr>
            <w:tcW w:w="1644" w:type="dxa"/>
            <w:vMerge w:val="restart"/>
            <w:noWrap w:val="0"/>
            <w:vAlign w:val="center"/>
          </w:tcPr>
          <w:p w14:paraId="68069F4F">
            <w:pPr>
              <w:jc w:val="center"/>
              <w:rPr>
                <w:rFonts w:ascii="宋体" w:hAnsi="宋体" w:cs="宋体"/>
                <w:color w:val="000000"/>
                <w:w w:val="95"/>
                <w:szCs w:val="21"/>
              </w:rPr>
            </w:pPr>
            <w:r>
              <w:rPr>
                <w:rFonts w:hint="eastAsia" w:ascii="宋体" w:hAnsi="宋体" w:cs="宋体"/>
                <w:color w:val="000000"/>
                <w:w w:val="95"/>
                <w:szCs w:val="21"/>
              </w:rPr>
              <w:t>电控柜</w:t>
            </w:r>
          </w:p>
        </w:tc>
        <w:tc>
          <w:tcPr>
            <w:tcW w:w="3950" w:type="dxa"/>
            <w:noWrap w:val="0"/>
            <w:vAlign w:val="top"/>
          </w:tcPr>
          <w:p w14:paraId="6933592D">
            <w:pPr>
              <w:pStyle w:val="113"/>
              <w:spacing w:before="16"/>
              <w:ind w:right="45"/>
              <w:jc w:val="both"/>
              <w:rPr>
                <w:rFonts w:hint="default"/>
                <w:color w:val="000000"/>
                <w:sz w:val="21"/>
                <w:szCs w:val="21"/>
              </w:rPr>
            </w:pPr>
            <w:r>
              <w:rPr>
                <w:rFonts w:cs="宋体"/>
                <w:color w:val="000000"/>
                <w:sz w:val="21"/>
                <w:szCs w:val="21"/>
              </w:rPr>
              <w:t>主备电切换、主备泵故障切换</w:t>
            </w:r>
          </w:p>
        </w:tc>
        <w:tc>
          <w:tcPr>
            <w:tcW w:w="1181" w:type="dxa"/>
            <w:noWrap w:val="0"/>
            <w:vAlign w:val="center"/>
          </w:tcPr>
          <w:p w14:paraId="53DCE90D">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2520279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FAF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28EA12C">
            <w:pPr>
              <w:rPr>
                <w:rFonts w:ascii="宋体" w:hAnsi="宋体" w:cs="宋体"/>
                <w:color w:val="000000"/>
                <w:kern w:val="0"/>
                <w:sz w:val="24"/>
                <w:szCs w:val="24"/>
                <w:lang w:bidi="ar"/>
              </w:rPr>
            </w:pPr>
          </w:p>
        </w:tc>
        <w:tc>
          <w:tcPr>
            <w:tcW w:w="1644" w:type="dxa"/>
            <w:vMerge w:val="continue"/>
            <w:noWrap w:val="0"/>
            <w:vAlign w:val="top"/>
          </w:tcPr>
          <w:p w14:paraId="387C1B1B">
            <w:pPr>
              <w:jc w:val="center"/>
              <w:rPr>
                <w:rFonts w:ascii="宋体" w:hAnsi="宋体" w:cs="宋体"/>
                <w:color w:val="000000"/>
                <w:w w:val="95"/>
                <w:szCs w:val="21"/>
              </w:rPr>
            </w:pPr>
          </w:p>
        </w:tc>
        <w:tc>
          <w:tcPr>
            <w:tcW w:w="3950" w:type="dxa"/>
            <w:noWrap w:val="0"/>
            <w:vAlign w:val="top"/>
          </w:tcPr>
          <w:p w14:paraId="02C940D2">
            <w:pPr>
              <w:pStyle w:val="113"/>
              <w:spacing w:before="17"/>
              <w:ind w:right="45"/>
              <w:jc w:val="both"/>
              <w:rPr>
                <w:rFonts w:hint="default"/>
                <w:color w:val="000000"/>
                <w:sz w:val="21"/>
                <w:szCs w:val="21"/>
              </w:rPr>
            </w:pPr>
            <w:r>
              <w:rPr>
                <w:rFonts w:cs="宋体"/>
                <w:color w:val="000000"/>
                <w:sz w:val="21"/>
                <w:szCs w:val="21"/>
              </w:rPr>
              <w:t>信号线、电源线绝缘电阻以及接地线接地</w:t>
            </w:r>
          </w:p>
        </w:tc>
        <w:tc>
          <w:tcPr>
            <w:tcW w:w="1181" w:type="dxa"/>
            <w:noWrap w:val="0"/>
            <w:vAlign w:val="top"/>
          </w:tcPr>
          <w:p w14:paraId="2F8A4A7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2062933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659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E701F73">
            <w:pPr>
              <w:rPr>
                <w:rFonts w:ascii="宋体" w:hAnsi="宋体" w:cs="宋体"/>
                <w:color w:val="000000"/>
                <w:kern w:val="0"/>
                <w:sz w:val="24"/>
                <w:szCs w:val="24"/>
                <w:lang w:bidi="ar"/>
              </w:rPr>
            </w:pPr>
          </w:p>
        </w:tc>
        <w:tc>
          <w:tcPr>
            <w:tcW w:w="1644" w:type="dxa"/>
            <w:vMerge w:val="continue"/>
            <w:noWrap w:val="0"/>
            <w:vAlign w:val="top"/>
          </w:tcPr>
          <w:p w14:paraId="0686E523">
            <w:pPr>
              <w:jc w:val="center"/>
              <w:rPr>
                <w:rFonts w:ascii="宋体" w:hAnsi="宋体" w:cs="宋体"/>
                <w:color w:val="000000"/>
                <w:w w:val="95"/>
                <w:szCs w:val="21"/>
              </w:rPr>
            </w:pPr>
          </w:p>
        </w:tc>
        <w:tc>
          <w:tcPr>
            <w:tcW w:w="3950" w:type="dxa"/>
            <w:noWrap w:val="0"/>
            <w:vAlign w:val="top"/>
          </w:tcPr>
          <w:p w14:paraId="6C6F6D8D">
            <w:pPr>
              <w:pStyle w:val="113"/>
              <w:spacing w:before="4" w:line="232" w:lineRule="exact"/>
              <w:ind w:right="106"/>
              <w:rPr>
                <w:rFonts w:hint="default"/>
                <w:color w:val="000000"/>
                <w:sz w:val="21"/>
                <w:szCs w:val="21"/>
              </w:rPr>
            </w:pPr>
            <w:r>
              <w:rPr>
                <w:rFonts w:cs="宋体"/>
                <w:color w:val="000000"/>
                <w:sz w:val="21"/>
                <w:szCs w:val="21"/>
              </w:rPr>
              <w:t>水泵启停功能（各显示功能；现场及远程启动功能；星三角转换； 自动启动功能）</w:t>
            </w:r>
          </w:p>
        </w:tc>
        <w:tc>
          <w:tcPr>
            <w:tcW w:w="1181" w:type="dxa"/>
            <w:noWrap w:val="0"/>
            <w:vAlign w:val="center"/>
          </w:tcPr>
          <w:p w14:paraId="702AA2C9">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644E5F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990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E99FEC1">
            <w:pPr>
              <w:rPr>
                <w:rFonts w:ascii="宋体" w:hAnsi="宋体" w:cs="宋体"/>
                <w:color w:val="000000"/>
                <w:kern w:val="0"/>
                <w:sz w:val="24"/>
                <w:szCs w:val="24"/>
                <w:lang w:bidi="ar"/>
              </w:rPr>
            </w:pPr>
          </w:p>
        </w:tc>
        <w:tc>
          <w:tcPr>
            <w:tcW w:w="1644" w:type="dxa"/>
            <w:vMerge w:val="continue"/>
            <w:noWrap w:val="0"/>
            <w:vAlign w:val="top"/>
          </w:tcPr>
          <w:p w14:paraId="7907C185">
            <w:pPr>
              <w:jc w:val="center"/>
              <w:rPr>
                <w:rFonts w:ascii="宋体" w:hAnsi="宋体" w:cs="宋体"/>
                <w:color w:val="000000"/>
                <w:w w:val="95"/>
                <w:szCs w:val="21"/>
              </w:rPr>
            </w:pPr>
          </w:p>
        </w:tc>
        <w:tc>
          <w:tcPr>
            <w:tcW w:w="3950" w:type="dxa"/>
            <w:noWrap w:val="0"/>
            <w:vAlign w:val="top"/>
          </w:tcPr>
          <w:p w14:paraId="3214A83B">
            <w:pPr>
              <w:pStyle w:val="113"/>
              <w:spacing w:before="15"/>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top"/>
          </w:tcPr>
          <w:p w14:paraId="4537893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1CA4819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FC9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599B6AF">
            <w:pPr>
              <w:rPr>
                <w:rFonts w:ascii="宋体" w:hAnsi="宋体" w:cs="宋体"/>
                <w:color w:val="000000"/>
                <w:kern w:val="0"/>
                <w:sz w:val="24"/>
                <w:szCs w:val="24"/>
                <w:lang w:bidi="ar"/>
              </w:rPr>
            </w:pPr>
          </w:p>
        </w:tc>
        <w:tc>
          <w:tcPr>
            <w:tcW w:w="1644" w:type="dxa"/>
            <w:vMerge w:val="continue"/>
            <w:noWrap w:val="0"/>
            <w:vAlign w:val="top"/>
          </w:tcPr>
          <w:p w14:paraId="12B0F5E1">
            <w:pPr>
              <w:jc w:val="center"/>
              <w:rPr>
                <w:rFonts w:ascii="宋体" w:hAnsi="宋体" w:cs="宋体"/>
                <w:color w:val="000000"/>
                <w:w w:val="95"/>
                <w:szCs w:val="21"/>
              </w:rPr>
            </w:pPr>
          </w:p>
        </w:tc>
        <w:tc>
          <w:tcPr>
            <w:tcW w:w="3950" w:type="dxa"/>
            <w:noWrap w:val="0"/>
            <w:vAlign w:val="top"/>
          </w:tcPr>
          <w:p w14:paraId="26261209">
            <w:pPr>
              <w:pStyle w:val="113"/>
              <w:spacing w:before="15"/>
              <w:ind w:right="45"/>
              <w:jc w:val="both"/>
              <w:rPr>
                <w:rFonts w:hint="default"/>
                <w:color w:val="000000"/>
                <w:sz w:val="21"/>
                <w:szCs w:val="21"/>
              </w:rPr>
            </w:pPr>
            <w:r>
              <w:rPr>
                <w:rFonts w:cs="宋体"/>
                <w:color w:val="000000"/>
                <w:sz w:val="21"/>
                <w:szCs w:val="21"/>
              </w:rPr>
              <w:t>控柜体内外表面清洁</w:t>
            </w:r>
          </w:p>
        </w:tc>
        <w:tc>
          <w:tcPr>
            <w:tcW w:w="1181" w:type="dxa"/>
            <w:noWrap w:val="0"/>
            <w:vAlign w:val="top"/>
          </w:tcPr>
          <w:p w14:paraId="6B3ADE6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46A2D82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23E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6E4B675">
            <w:pPr>
              <w:rPr>
                <w:rFonts w:ascii="宋体" w:hAnsi="宋体" w:cs="宋体"/>
                <w:color w:val="000000"/>
                <w:kern w:val="0"/>
                <w:sz w:val="24"/>
                <w:szCs w:val="24"/>
                <w:lang w:bidi="ar"/>
              </w:rPr>
            </w:pPr>
          </w:p>
        </w:tc>
        <w:tc>
          <w:tcPr>
            <w:tcW w:w="1644" w:type="dxa"/>
            <w:vMerge w:val="continue"/>
            <w:noWrap w:val="0"/>
            <w:vAlign w:val="top"/>
          </w:tcPr>
          <w:p w14:paraId="3E828D2A">
            <w:pPr>
              <w:jc w:val="center"/>
              <w:rPr>
                <w:rFonts w:ascii="宋体" w:hAnsi="宋体" w:cs="宋体"/>
                <w:color w:val="000000"/>
                <w:w w:val="95"/>
                <w:szCs w:val="21"/>
              </w:rPr>
            </w:pPr>
          </w:p>
        </w:tc>
        <w:tc>
          <w:tcPr>
            <w:tcW w:w="3950" w:type="dxa"/>
            <w:noWrap w:val="0"/>
            <w:vAlign w:val="top"/>
          </w:tcPr>
          <w:p w14:paraId="3543ECE5">
            <w:pPr>
              <w:pStyle w:val="113"/>
              <w:spacing w:before="15"/>
              <w:ind w:right="45"/>
              <w:jc w:val="both"/>
              <w:rPr>
                <w:rFonts w:hint="default"/>
                <w:color w:val="000000"/>
                <w:sz w:val="21"/>
                <w:szCs w:val="21"/>
              </w:rPr>
            </w:pPr>
            <w:r>
              <w:rPr>
                <w:rFonts w:cs="宋体"/>
                <w:color w:val="000000"/>
                <w:sz w:val="21"/>
                <w:szCs w:val="21"/>
              </w:rPr>
              <w:t>电控柜元器件、标识的完好</w:t>
            </w:r>
          </w:p>
        </w:tc>
        <w:tc>
          <w:tcPr>
            <w:tcW w:w="1181" w:type="dxa"/>
            <w:noWrap w:val="0"/>
            <w:vAlign w:val="top"/>
          </w:tcPr>
          <w:p w14:paraId="337FA0C7">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066EEF4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35E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B59CBB9">
            <w:pPr>
              <w:rPr>
                <w:rFonts w:ascii="宋体" w:hAnsi="宋体" w:cs="宋体"/>
                <w:color w:val="000000"/>
                <w:kern w:val="0"/>
                <w:sz w:val="24"/>
                <w:szCs w:val="24"/>
                <w:lang w:bidi="ar"/>
              </w:rPr>
            </w:pPr>
          </w:p>
        </w:tc>
        <w:tc>
          <w:tcPr>
            <w:tcW w:w="1644" w:type="dxa"/>
            <w:vMerge w:val="continue"/>
            <w:noWrap w:val="0"/>
            <w:vAlign w:val="top"/>
          </w:tcPr>
          <w:p w14:paraId="79EDF410">
            <w:pPr>
              <w:jc w:val="center"/>
              <w:rPr>
                <w:rFonts w:ascii="宋体" w:hAnsi="宋体" w:cs="宋体"/>
                <w:color w:val="000000"/>
                <w:w w:val="95"/>
                <w:szCs w:val="21"/>
              </w:rPr>
            </w:pPr>
          </w:p>
        </w:tc>
        <w:tc>
          <w:tcPr>
            <w:tcW w:w="3950" w:type="dxa"/>
            <w:noWrap w:val="0"/>
            <w:vAlign w:val="top"/>
          </w:tcPr>
          <w:p w14:paraId="3A283004">
            <w:pPr>
              <w:pStyle w:val="113"/>
              <w:spacing w:before="14"/>
              <w:ind w:right="45"/>
              <w:jc w:val="both"/>
              <w:rPr>
                <w:rFonts w:hint="default"/>
                <w:color w:val="000000"/>
                <w:sz w:val="21"/>
                <w:szCs w:val="21"/>
              </w:rPr>
            </w:pPr>
            <w:r>
              <w:rPr>
                <w:rFonts w:cs="宋体"/>
                <w:color w:val="000000"/>
                <w:sz w:val="21"/>
                <w:szCs w:val="21"/>
              </w:rPr>
              <w:t>电控柜接线端子接线进行整理、紧固</w:t>
            </w:r>
          </w:p>
        </w:tc>
        <w:tc>
          <w:tcPr>
            <w:tcW w:w="1181" w:type="dxa"/>
            <w:noWrap w:val="0"/>
            <w:vAlign w:val="top"/>
          </w:tcPr>
          <w:p w14:paraId="063B0ED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358BD00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A6C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7062C07">
            <w:pPr>
              <w:rPr>
                <w:rFonts w:ascii="宋体" w:hAnsi="宋体" w:cs="宋体"/>
                <w:color w:val="000000"/>
                <w:kern w:val="0"/>
                <w:sz w:val="24"/>
                <w:szCs w:val="24"/>
                <w:lang w:bidi="ar"/>
              </w:rPr>
            </w:pPr>
          </w:p>
        </w:tc>
        <w:tc>
          <w:tcPr>
            <w:tcW w:w="1644" w:type="dxa"/>
            <w:vMerge w:val="restart"/>
            <w:noWrap w:val="0"/>
            <w:vAlign w:val="center"/>
          </w:tcPr>
          <w:p w14:paraId="5B317E8F">
            <w:pPr>
              <w:jc w:val="center"/>
              <w:rPr>
                <w:rFonts w:ascii="宋体" w:hAnsi="宋体" w:cs="宋体"/>
                <w:color w:val="000000"/>
                <w:w w:val="95"/>
                <w:kern w:val="0"/>
                <w:szCs w:val="21"/>
                <w:lang w:bidi="ar"/>
              </w:rPr>
            </w:pPr>
            <w:r>
              <w:rPr>
                <w:rFonts w:hint="eastAsia" w:ascii="宋体" w:hAnsi="宋体" w:cs="宋体"/>
                <w:color w:val="000000"/>
                <w:w w:val="95"/>
                <w:szCs w:val="21"/>
              </w:rPr>
              <w:t>泵体</w:t>
            </w:r>
          </w:p>
        </w:tc>
        <w:tc>
          <w:tcPr>
            <w:tcW w:w="3950" w:type="dxa"/>
            <w:noWrap w:val="0"/>
            <w:vAlign w:val="top"/>
          </w:tcPr>
          <w:p w14:paraId="1634ABBC">
            <w:pPr>
              <w:pStyle w:val="113"/>
              <w:spacing w:before="14"/>
              <w:ind w:right="45"/>
              <w:jc w:val="both"/>
              <w:rPr>
                <w:rFonts w:hint="default"/>
                <w:color w:val="000000"/>
                <w:sz w:val="21"/>
                <w:szCs w:val="21"/>
              </w:rPr>
            </w:pPr>
            <w:r>
              <w:rPr>
                <w:rFonts w:cs="宋体"/>
                <w:color w:val="000000"/>
                <w:w w:val="95"/>
                <w:sz w:val="21"/>
                <w:szCs w:val="21"/>
              </w:rPr>
              <w:t>泵体</w:t>
            </w:r>
          </w:p>
        </w:tc>
        <w:tc>
          <w:tcPr>
            <w:tcW w:w="1181" w:type="dxa"/>
            <w:noWrap w:val="0"/>
            <w:vAlign w:val="top"/>
          </w:tcPr>
          <w:p w14:paraId="4622804F">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3518BE1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0C1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F872543">
            <w:pPr>
              <w:rPr>
                <w:rFonts w:ascii="宋体" w:hAnsi="宋体" w:cs="宋体"/>
                <w:color w:val="000000"/>
                <w:kern w:val="0"/>
                <w:sz w:val="24"/>
                <w:szCs w:val="24"/>
                <w:lang w:bidi="ar"/>
              </w:rPr>
            </w:pPr>
          </w:p>
        </w:tc>
        <w:tc>
          <w:tcPr>
            <w:tcW w:w="1644" w:type="dxa"/>
            <w:vMerge w:val="continue"/>
            <w:noWrap w:val="0"/>
            <w:vAlign w:val="top"/>
          </w:tcPr>
          <w:p w14:paraId="730EF626">
            <w:pPr>
              <w:jc w:val="center"/>
              <w:rPr>
                <w:rFonts w:ascii="宋体" w:hAnsi="宋体" w:cs="宋体"/>
                <w:color w:val="000000"/>
                <w:w w:val="95"/>
                <w:szCs w:val="21"/>
              </w:rPr>
            </w:pPr>
          </w:p>
        </w:tc>
        <w:tc>
          <w:tcPr>
            <w:tcW w:w="3950" w:type="dxa"/>
            <w:noWrap w:val="0"/>
            <w:vAlign w:val="top"/>
          </w:tcPr>
          <w:p w14:paraId="488FF98D">
            <w:pPr>
              <w:pStyle w:val="113"/>
              <w:spacing w:before="14"/>
              <w:ind w:right="45"/>
              <w:jc w:val="both"/>
              <w:rPr>
                <w:rFonts w:hint="default"/>
                <w:color w:val="000000"/>
                <w:w w:val="95"/>
                <w:sz w:val="21"/>
                <w:szCs w:val="21"/>
              </w:rPr>
            </w:pPr>
            <w:r>
              <w:rPr>
                <w:rFonts w:cs="宋体"/>
                <w:color w:val="000000"/>
                <w:w w:val="95"/>
                <w:sz w:val="21"/>
                <w:szCs w:val="21"/>
              </w:rPr>
              <w:t>泵体</w:t>
            </w:r>
          </w:p>
        </w:tc>
        <w:tc>
          <w:tcPr>
            <w:tcW w:w="1181" w:type="dxa"/>
            <w:noWrap w:val="0"/>
            <w:vAlign w:val="top"/>
          </w:tcPr>
          <w:p w14:paraId="668D36D9">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top"/>
          </w:tcPr>
          <w:p w14:paraId="1080D09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468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8CDD2C3">
            <w:pPr>
              <w:rPr>
                <w:rFonts w:ascii="宋体" w:hAnsi="宋体" w:cs="宋体"/>
                <w:color w:val="000000"/>
                <w:kern w:val="0"/>
                <w:sz w:val="24"/>
                <w:szCs w:val="24"/>
                <w:lang w:bidi="ar"/>
              </w:rPr>
            </w:pPr>
          </w:p>
        </w:tc>
        <w:tc>
          <w:tcPr>
            <w:tcW w:w="1644" w:type="dxa"/>
            <w:noWrap w:val="0"/>
            <w:vAlign w:val="center"/>
          </w:tcPr>
          <w:p w14:paraId="4281A122">
            <w:pPr>
              <w:jc w:val="center"/>
              <w:rPr>
                <w:rFonts w:ascii="宋体" w:hAnsi="宋体" w:cs="宋体"/>
                <w:color w:val="000000"/>
                <w:w w:val="95"/>
                <w:szCs w:val="21"/>
              </w:rPr>
            </w:pPr>
            <w:r>
              <w:rPr>
                <w:rFonts w:hint="eastAsia" w:ascii="宋体" w:hAnsi="宋体" w:cs="宋体"/>
                <w:color w:val="000000"/>
                <w:w w:val="95"/>
                <w:szCs w:val="21"/>
              </w:rPr>
              <w:t>喷头</w:t>
            </w:r>
          </w:p>
        </w:tc>
        <w:tc>
          <w:tcPr>
            <w:tcW w:w="3950" w:type="dxa"/>
            <w:noWrap w:val="0"/>
            <w:vAlign w:val="top"/>
          </w:tcPr>
          <w:p w14:paraId="3C224489">
            <w:pPr>
              <w:pStyle w:val="113"/>
              <w:spacing w:before="14"/>
              <w:ind w:right="45"/>
              <w:jc w:val="both"/>
              <w:rPr>
                <w:rFonts w:hint="default"/>
                <w:color w:val="000000"/>
                <w:w w:val="95"/>
                <w:sz w:val="21"/>
                <w:szCs w:val="21"/>
              </w:rPr>
            </w:pPr>
            <w:r>
              <w:rPr>
                <w:rFonts w:cs="宋体"/>
                <w:color w:val="000000"/>
                <w:sz w:val="21"/>
                <w:szCs w:val="21"/>
              </w:rPr>
              <w:t>检查外观</w:t>
            </w:r>
          </w:p>
        </w:tc>
        <w:tc>
          <w:tcPr>
            <w:tcW w:w="1181" w:type="dxa"/>
            <w:noWrap w:val="0"/>
            <w:vAlign w:val="top"/>
          </w:tcPr>
          <w:p w14:paraId="05DB9BD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2D92547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D38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B52F998">
            <w:pPr>
              <w:rPr>
                <w:rFonts w:ascii="宋体" w:hAnsi="宋体" w:cs="宋体"/>
                <w:color w:val="000000"/>
                <w:kern w:val="0"/>
                <w:sz w:val="24"/>
                <w:szCs w:val="24"/>
                <w:lang w:bidi="ar"/>
              </w:rPr>
            </w:pPr>
          </w:p>
        </w:tc>
        <w:tc>
          <w:tcPr>
            <w:tcW w:w="1644" w:type="dxa"/>
            <w:vMerge w:val="restart"/>
            <w:noWrap w:val="0"/>
            <w:vAlign w:val="center"/>
          </w:tcPr>
          <w:p w14:paraId="6ACACD79">
            <w:pPr>
              <w:jc w:val="center"/>
              <w:rPr>
                <w:rFonts w:ascii="宋体" w:hAnsi="宋体" w:cs="宋体"/>
                <w:color w:val="000000"/>
                <w:w w:val="95"/>
                <w:szCs w:val="21"/>
              </w:rPr>
            </w:pPr>
            <w:r>
              <w:rPr>
                <w:rFonts w:hint="eastAsia" w:ascii="宋体" w:hAnsi="宋体" w:cs="宋体"/>
                <w:color w:val="000000"/>
                <w:w w:val="95"/>
                <w:szCs w:val="21"/>
              </w:rPr>
              <w:t>水流指示器</w:t>
            </w:r>
          </w:p>
        </w:tc>
        <w:tc>
          <w:tcPr>
            <w:tcW w:w="3950" w:type="dxa"/>
            <w:noWrap w:val="0"/>
            <w:vAlign w:val="top"/>
          </w:tcPr>
          <w:p w14:paraId="6313F985">
            <w:pPr>
              <w:pStyle w:val="113"/>
              <w:spacing w:before="38"/>
              <w:ind w:right="45"/>
              <w:jc w:val="both"/>
              <w:rPr>
                <w:rFonts w:hint="default"/>
                <w:color w:val="000000"/>
                <w:sz w:val="21"/>
                <w:szCs w:val="21"/>
              </w:rPr>
            </w:pPr>
            <w:r>
              <w:rPr>
                <w:rFonts w:cs="宋体"/>
                <w:color w:val="000000"/>
                <w:sz w:val="21"/>
                <w:szCs w:val="21"/>
              </w:rPr>
              <w:t>末端排水实验</w:t>
            </w:r>
          </w:p>
        </w:tc>
        <w:tc>
          <w:tcPr>
            <w:tcW w:w="1181" w:type="dxa"/>
            <w:noWrap w:val="0"/>
            <w:vAlign w:val="center"/>
          </w:tcPr>
          <w:p w14:paraId="473F0D5E">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4D24944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EFD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A77EF69">
            <w:pPr>
              <w:rPr>
                <w:rFonts w:ascii="宋体" w:hAnsi="宋体" w:cs="宋体"/>
                <w:color w:val="000000"/>
                <w:kern w:val="0"/>
                <w:sz w:val="24"/>
                <w:szCs w:val="24"/>
                <w:lang w:bidi="ar"/>
              </w:rPr>
            </w:pPr>
          </w:p>
        </w:tc>
        <w:tc>
          <w:tcPr>
            <w:tcW w:w="1644" w:type="dxa"/>
            <w:vMerge w:val="continue"/>
            <w:noWrap w:val="0"/>
            <w:vAlign w:val="top"/>
          </w:tcPr>
          <w:p w14:paraId="12868C8A">
            <w:pPr>
              <w:jc w:val="center"/>
              <w:rPr>
                <w:rFonts w:ascii="宋体" w:hAnsi="宋体" w:cs="宋体"/>
                <w:color w:val="000000"/>
                <w:w w:val="95"/>
                <w:szCs w:val="21"/>
              </w:rPr>
            </w:pPr>
          </w:p>
        </w:tc>
        <w:tc>
          <w:tcPr>
            <w:tcW w:w="3950" w:type="dxa"/>
            <w:noWrap w:val="0"/>
            <w:vAlign w:val="top"/>
          </w:tcPr>
          <w:p w14:paraId="73EECBFB">
            <w:pPr>
              <w:pStyle w:val="113"/>
              <w:spacing w:before="119"/>
              <w:ind w:right="45"/>
              <w:jc w:val="both"/>
              <w:rPr>
                <w:rFonts w:hint="default"/>
                <w:color w:val="000000"/>
                <w:sz w:val="21"/>
                <w:szCs w:val="21"/>
              </w:rPr>
            </w:pPr>
            <w:r>
              <w:rPr>
                <w:rFonts w:cs="宋体"/>
                <w:color w:val="000000"/>
                <w:sz w:val="21"/>
                <w:szCs w:val="21"/>
              </w:rPr>
              <w:t>内外清洁、润滑、接线端子紧固、安装牢固度</w:t>
            </w:r>
          </w:p>
        </w:tc>
        <w:tc>
          <w:tcPr>
            <w:tcW w:w="1181" w:type="dxa"/>
            <w:noWrap w:val="0"/>
            <w:vAlign w:val="center"/>
          </w:tcPr>
          <w:p w14:paraId="252A20E8">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EF6235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5C4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3C8D595">
            <w:pPr>
              <w:rPr>
                <w:rFonts w:ascii="宋体" w:hAnsi="宋体" w:cs="宋体"/>
                <w:color w:val="000000"/>
                <w:kern w:val="0"/>
                <w:sz w:val="24"/>
                <w:szCs w:val="24"/>
                <w:lang w:bidi="ar"/>
              </w:rPr>
            </w:pPr>
          </w:p>
        </w:tc>
        <w:tc>
          <w:tcPr>
            <w:tcW w:w="1644" w:type="dxa"/>
            <w:vMerge w:val="restart"/>
            <w:noWrap w:val="0"/>
            <w:vAlign w:val="center"/>
          </w:tcPr>
          <w:p w14:paraId="18266EE7">
            <w:pPr>
              <w:jc w:val="center"/>
              <w:rPr>
                <w:rFonts w:ascii="宋体" w:hAnsi="宋体" w:cs="宋体"/>
                <w:color w:val="000000"/>
                <w:w w:val="95"/>
                <w:szCs w:val="21"/>
              </w:rPr>
            </w:pPr>
            <w:r>
              <w:rPr>
                <w:rFonts w:hint="eastAsia" w:ascii="宋体" w:hAnsi="宋体" w:cs="宋体"/>
                <w:color w:val="000000"/>
                <w:w w:val="95"/>
                <w:szCs w:val="21"/>
              </w:rPr>
              <w:t>信号闸阀</w:t>
            </w:r>
          </w:p>
        </w:tc>
        <w:tc>
          <w:tcPr>
            <w:tcW w:w="3950" w:type="dxa"/>
            <w:noWrap w:val="0"/>
            <w:vAlign w:val="top"/>
          </w:tcPr>
          <w:p w14:paraId="0C6ED096">
            <w:pPr>
              <w:pStyle w:val="113"/>
              <w:spacing w:before="1"/>
              <w:jc w:val="both"/>
              <w:rPr>
                <w:rFonts w:hint="default"/>
                <w:color w:val="000000"/>
                <w:w w:val="95"/>
                <w:sz w:val="21"/>
                <w:szCs w:val="21"/>
              </w:rPr>
            </w:pPr>
            <w:r>
              <w:rPr>
                <w:rFonts w:cs="宋体"/>
                <w:color w:val="000000"/>
                <w:w w:val="95"/>
                <w:sz w:val="21"/>
                <w:szCs w:val="21"/>
              </w:rPr>
              <w:t>清洁、润滑、接线端子紧固、安装牢固度</w:t>
            </w:r>
          </w:p>
        </w:tc>
        <w:tc>
          <w:tcPr>
            <w:tcW w:w="1181" w:type="dxa"/>
            <w:noWrap w:val="0"/>
            <w:vAlign w:val="center"/>
          </w:tcPr>
          <w:p w14:paraId="3149FD4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7F6802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B69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819E719">
            <w:pPr>
              <w:rPr>
                <w:rFonts w:ascii="宋体" w:hAnsi="宋体" w:cs="宋体"/>
                <w:color w:val="000000"/>
                <w:kern w:val="0"/>
                <w:sz w:val="24"/>
                <w:szCs w:val="24"/>
                <w:lang w:bidi="ar"/>
              </w:rPr>
            </w:pPr>
          </w:p>
        </w:tc>
        <w:tc>
          <w:tcPr>
            <w:tcW w:w="1644" w:type="dxa"/>
            <w:vMerge w:val="continue"/>
            <w:noWrap w:val="0"/>
            <w:vAlign w:val="top"/>
          </w:tcPr>
          <w:p w14:paraId="3A27B208">
            <w:pPr>
              <w:jc w:val="center"/>
              <w:rPr>
                <w:rFonts w:ascii="宋体" w:hAnsi="宋体" w:cs="宋体"/>
                <w:color w:val="000000"/>
                <w:w w:val="95"/>
                <w:szCs w:val="21"/>
              </w:rPr>
            </w:pPr>
          </w:p>
        </w:tc>
        <w:tc>
          <w:tcPr>
            <w:tcW w:w="3950" w:type="dxa"/>
            <w:noWrap w:val="0"/>
            <w:vAlign w:val="top"/>
          </w:tcPr>
          <w:p w14:paraId="5F2BF228">
            <w:pPr>
              <w:pStyle w:val="113"/>
              <w:spacing w:before="43"/>
              <w:ind w:right="45"/>
              <w:jc w:val="both"/>
              <w:rPr>
                <w:rFonts w:hint="default"/>
                <w:color w:val="000000"/>
                <w:sz w:val="21"/>
                <w:szCs w:val="21"/>
              </w:rPr>
            </w:pPr>
            <w:r>
              <w:rPr>
                <w:rFonts w:cs="宋体"/>
                <w:color w:val="000000"/>
                <w:sz w:val="21"/>
                <w:szCs w:val="21"/>
              </w:rPr>
              <w:t>开启、关闭</w:t>
            </w:r>
          </w:p>
        </w:tc>
        <w:tc>
          <w:tcPr>
            <w:tcW w:w="1181" w:type="dxa"/>
            <w:noWrap w:val="0"/>
            <w:vAlign w:val="center"/>
          </w:tcPr>
          <w:p w14:paraId="58214A59">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42B836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E48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C240D85">
            <w:pPr>
              <w:rPr>
                <w:rFonts w:ascii="宋体" w:hAnsi="宋体" w:cs="宋体"/>
                <w:color w:val="000000"/>
                <w:kern w:val="0"/>
                <w:sz w:val="24"/>
                <w:szCs w:val="24"/>
                <w:lang w:bidi="ar"/>
              </w:rPr>
            </w:pPr>
          </w:p>
        </w:tc>
        <w:tc>
          <w:tcPr>
            <w:tcW w:w="1644" w:type="dxa"/>
            <w:vMerge w:val="restart"/>
            <w:noWrap w:val="0"/>
            <w:vAlign w:val="center"/>
          </w:tcPr>
          <w:p w14:paraId="715E84AB">
            <w:pPr>
              <w:jc w:val="center"/>
              <w:rPr>
                <w:rFonts w:ascii="宋体" w:hAnsi="宋体" w:cs="宋体"/>
                <w:color w:val="000000"/>
                <w:w w:val="95"/>
                <w:szCs w:val="21"/>
              </w:rPr>
            </w:pPr>
            <w:r>
              <w:rPr>
                <w:rFonts w:hint="eastAsia" w:ascii="宋体" w:hAnsi="宋体" w:cs="宋体"/>
                <w:color w:val="000000"/>
                <w:w w:val="95"/>
                <w:szCs w:val="21"/>
              </w:rPr>
              <w:t>报警阀组</w:t>
            </w:r>
          </w:p>
        </w:tc>
        <w:tc>
          <w:tcPr>
            <w:tcW w:w="3950" w:type="dxa"/>
            <w:noWrap w:val="0"/>
            <w:vAlign w:val="top"/>
          </w:tcPr>
          <w:p w14:paraId="669B0588">
            <w:pPr>
              <w:pStyle w:val="113"/>
              <w:tabs>
                <w:tab w:val="left" w:pos="3935"/>
              </w:tabs>
              <w:spacing w:before="54"/>
              <w:ind w:right="94"/>
              <w:rPr>
                <w:rFonts w:hint="default"/>
                <w:color w:val="000000"/>
                <w:sz w:val="21"/>
                <w:szCs w:val="21"/>
              </w:rPr>
            </w:pPr>
            <w:r>
              <w:rPr>
                <w:rFonts w:cs="宋体"/>
                <w:color w:val="000000"/>
                <w:sz w:val="21"/>
                <w:szCs w:val="21"/>
              </w:rPr>
              <w:t>清洁</w:t>
            </w:r>
            <w:r>
              <w:rPr>
                <w:rFonts w:cs="宋体"/>
                <w:color w:val="000000"/>
                <w:spacing w:val="-17"/>
                <w:sz w:val="21"/>
                <w:szCs w:val="21"/>
              </w:rPr>
              <w:t>、</w:t>
            </w:r>
            <w:r>
              <w:rPr>
                <w:rFonts w:cs="宋体"/>
                <w:color w:val="000000"/>
                <w:sz w:val="21"/>
                <w:szCs w:val="21"/>
              </w:rPr>
              <w:t>润滑</w:t>
            </w:r>
            <w:r>
              <w:rPr>
                <w:rFonts w:cs="宋体"/>
                <w:color w:val="000000"/>
                <w:spacing w:val="-12"/>
                <w:sz w:val="21"/>
                <w:szCs w:val="21"/>
              </w:rPr>
              <w:t>、</w:t>
            </w:r>
            <w:r>
              <w:rPr>
                <w:rFonts w:cs="宋体"/>
                <w:color w:val="000000"/>
                <w:sz w:val="21"/>
                <w:szCs w:val="21"/>
              </w:rPr>
              <w:t>接线端子紧固</w:t>
            </w:r>
            <w:r>
              <w:rPr>
                <w:rFonts w:cs="宋体"/>
                <w:color w:val="000000"/>
                <w:spacing w:val="-12"/>
                <w:sz w:val="21"/>
                <w:szCs w:val="21"/>
              </w:rPr>
              <w:t>、</w:t>
            </w:r>
            <w:r>
              <w:rPr>
                <w:rFonts w:cs="宋体"/>
                <w:color w:val="000000"/>
                <w:sz w:val="21"/>
                <w:szCs w:val="21"/>
              </w:rPr>
              <w:t>安装牢固度、组件完好缺损</w:t>
            </w:r>
            <w:r>
              <w:rPr>
                <w:rFonts w:cs="宋体"/>
                <w:color w:val="000000"/>
                <w:spacing w:val="-17"/>
                <w:sz w:val="21"/>
                <w:szCs w:val="21"/>
              </w:rPr>
              <w:t>、</w:t>
            </w:r>
            <w:r>
              <w:rPr>
                <w:rFonts w:cs="宋体"/>
                <w:color w:val="000000"/>
                <w:sz w:val="21"/>
                <w:szCs w:val="21"/>
              </w:rPr>
              <w:t>上下端压力显示</w:t>
            </w:r>
          </w:p>
        </w:tc>
        <w:tc>
          <w:tcPr>
            <w:tcW w:w="1181" w:type="dxa"/>
            <w:noWrap w:val="0"/>
            <w:vAlign w:val="center"/>
          </w:tcPr>
          <w:p w14:paraId="1699735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1681168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7A4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870B186">
            <w:pPr>
              <w:rPr>
                <w:rFonts w:ascii="宋体" w:hAnsi="宋体" w:cs="宋体"/>
                <w:color w:val="000000"/>
                <w:kern w:val="0"/>
                <w:sz w:val="24"/>
                <w:szCs w:val="24"/>
                <w:lang w:bidi="ar"/>
              </w:rPr>
            </w:pPr>
          </w:p>
        </w:tc>
        <w:tc>
          <w:tcPr>
            <w:tcW w:w="1644" w:type="dxa"/>
            <w:vMerge w:val="continue"/>
            <w:noWrap w:val="0"/>
            <w:vAlign w:val="top"/>
          </w:tcPr>
          <w:p w14:paraId="198D8189">
            <w:pPr>
              <w:jc w:val="center"/>
              <w:rPr>
                <w:rFonts w:ascii="宋体" w:hAnsi="宋体" w:cs="宋体"/>
                <w:color w:val="000000"/>
                <w:w w:val="95"/>
                <w:szCs w:val="21"/>
              </w:rPr>
            </w:pPr>
          </w:p>
        </w:tc>
        <w:tc>
          <w:tcPr>
            <w:tcW w:w="3950" w:type="dxa"/>
            <w:noWrap w:val="0"/>
            <w:vAlign w:val="top"/>
          </w:tcPr>
          <w:p w14:paraId="56D51B4A">
            <w:pPr>
              <w:pStyle w:val="113"/>
              <w:spacing w:before="50"/>
              <w:ind w:right="45"/>
              <w:jc w:val="both"/>
              <w:rPr>
                <w:rFonts w:hint="default"/>
                <w:color w:val="000000"/>
                <w:sz w:val="21"/>
                <w:szCs w:val="21"/>
              </w:rPr>
            </w:pPr>
            <w:r>
              <w:rPr>
                <w:rFonts w:cs="宋体"/>
                <w:color w:val="000000"/>
                <w:sz w:val="21"/>
                <w:szCs w:val="21"/>
              </w:rPr>
              <w:t>试水装置实验</w:t>
            </w:r>
          </w:p>
        </w:tc>
        <w:tc>
          <w:tcPr>
            <w:tcW w:w="1181" w:type="dxa"/>
            <w:noWrap w:val="0"/>
            <w:vAlign w:val="center"/>
          </w:tcPr>
          <w:p w14:paraId="6D6D168E">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632D479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77E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28CE703">
            <w:pPr>
              <w:rPr>
                <w:rFonts w:ascii="宋体" w:hAnsi="宋体" w:cs="宋体"/>
                <w:color w:val="000000"/>
                <w:kern w:val="0"/>
                <w:sz w:val="24"/>
                <w:szCs w:val="24"/>
                <w:lang w:bidi="ar"/>
              </w:rPr>
            </w:pPr>
          </w:p>
        </w:tc>
        <w:tc>
          <w:tcPr>
            <w:tcW w:w="1644" w:type="dxa"/>
            <w:vMerge w:val="continue"/>
            <w:noWrap w:val="0"/>
            <w:vAlign w:val="top"/>
          </w:tcPr>
          <w:p w14:paraId="3AB61068">
            <w:pPr>
              <w:jc w:val="center"/>
              <w:rPr>
                <w:rFonts w:ascii="宋体" w:hAnsi="宋体" w:cs="宋体"/>
                <w:color w:val="000000"/>
                <w:w w:val="95"/>
                <w:szCs w:val="21"/>
              </w:rPr>
            </w:pPr>
          </w:p>
        </w:tc>
        <w:tc>
          <w:tcPr>
            <w:tcW w:w="3950" w:type="dxa"/>
            <w:noWrap w:val="0"/>
            <w:vAlign w:val="top"/>
          </w:tcPr>
          <w:p w14:paraId="5EE82538">
            <w:pPr>
              <w:pStyle w:val="113"/>
              <w:spacing w:before="72"/>
              <w:ind w:right="45"/>
              <w:jc w:val="both"/>
              <w:rPr>
                <w:rFonts w:hint="default"/>
                <w:color w:val="000000"/>
                <w:sz w:val="21"/>
                <w:szCs w:val="21"/>
              </w:rPr>
            </w:pPr>
            <w:r>
              <w:rPr>
                <w:rFonts w:cs="宋体"/>
                <w:color w:val="000000"/>
                <w:sz w:val="21"/>
                <w:szCs w:val="21"/>
              </w:rPr>
              <w:t>各阀润滑</w:t>
            </w:r>
          </w:p>
        </w:tc>
        <w:tc>
          <w:tcPr>
            <w:tcW w:w="1181" w:type="dxa"/>
            <w:noWrap w:val="0"/>
            <w:vAlign w:val="top"/>
          </w:tcPr>
          <w:p w14:paraId="7DE967E7">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top"/>
          </w:tcPr>
          <w:p w14:paraId="140D255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761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EE9F5C0">
            <w:pPr>
              <w:rPr>
                <w:rFonts w:ascii="宋体" w:hAnsi="宋体" w:cs="宋体"/>
                <w:color w:val="000000"/>
                <w:kern w:val="0"/>
                <w:sz w:val="24"/>
                <w:szCs w:val="24"/>
                <w:lang w:bidi="ar"/>
              </w:rPr>
            </w:pPr>
          </w:p>
        </w:tc>
        <w:tc>
          <w:tcPr>
            <w:tcW w:w="1644" w:type="dxa"/>
            <w:vMerge w:val="restart"/>
            <w:noWrap w:val="0"/>
            <w:vAlign w:val="center"/>
          </w:tcPr>
          <w:p w14:paraId="1756939C">
            <w:pPr>
              <w:jc w:val="center"/>
              <w:rPr>
                <w:rFonts w:ascii="宋体" w:hAnsi="宋体" w:cs="宋体"/>
                <w:color w:val="000000"/>
                <w:w w:val="95"/>
                <w:szCs w:val="21"/>
              </w:rPr>
            </w:pPr>
            <w:r>
              <w:rPr>
                <w:rFonts w:hint="eastAsia" w:ascii="宋体" w:hAnsi="宋体" w:cs="宋体"/>
                <w:color w:val="000000"/>
                <w:w w:val="95"/>
                <w:szCs w:val="21"/>
              </w:rPr>
              <w:t>水泵接合器</w:t>
            </w:r>
          </w:p>
        </w:tc>
        <w:tc>
          <w:tcPr>
            <w:tcW w:w="3950" w:type="dxa"/>
            <w:noWrap w:val="0"/>
            <w:vAlign w:val="top"/>
          </w:tcPr>
          <w:p w14:paraId="4BAF8F60">
            <w:pPr>
              <w:pStyle w:val="113"/>
              <w:spacing w:before="14"/>
              <w:ind w:right="45"/>
              <w:jc w:val="both"/>
              <w:rPr>
                <w:rFonts w:hint="default"/>
                <w:color w:val="000000"/>
                <w:sz w:val="21"/>
                <w:szCs w:val="21"/>
              </w:rPr>
            </w:pPr>
            <w:r>
              <w:rPr>
                <w:rFonts w:cs="宋体"/>
                <w:color w:val="000000"/>
                <w:sz w:val="21"/>
                <w:szCs w:val="21"/>
              </w:rPr>
              <w:t>检查外观、标志、接口有无漏水</w:t>
            </w:r>
          </w:p>
        </w:tc>
        <w:tc>
          <w:tcPr>
            <w:tcW w:w="1181" w:type="dxa"/>
            <w:noWrap w:val="0"/>
            <w:vAlign w:val="center"/>
          </w:tcPr>
          <w:p w14:paraId="5E6C5D56">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B86372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73F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F2FB0AD">
            <w:pPr>
              <w:rPr>
                <w:rFonts w:ascii="宋体" w:hAnsi="宋体" w:cs="宋体"/>
                <w:color w:val="000000"/>
                <w:kern w:val="0"/>
                <w:sz w:val="24"/>
                <w:szCs w:val="24"/>
                <w:lang w:bidi="ar"/>
              </w:rPr>
            </w:pPr>
          </w:p>
        </w:tc>
        <w:tc>
          <w:tcPr>
            <w:tcW w:w="1644" w:type="dxa"/>
            <w:vMerge w:val="continue"/>
            <w:noWrap w:val="0"/>
            <w:vAlign w:val="top"/>
          </w:tcPr>
          <w:p w14:paraId="26DA1B8B">
            <w:pPr>
              <w:jc w:val="center"/>
              <w:rPr>
                <w:rFonts w:ascii="宋体" w:hAnsi="宋体" w:cs="宋体"/>
                <w:color w:val="000000"/>
                <w:w w:val="95"/>
                <w:szCs w:val="21"/>
              </w:rPr>
            </w:pPr>
          </w:p>
        </w:tc>
        <w:tc>
          <w:tcPr>
            <w:tcW w:w="3950" w:type="dxa"/>
            <w:noWrap w:val="0"/>
            <w:vAlign w:val="top"/>
          </w:tcPr>
          <w:p w14:paraId="1271D77D">
            <w:pPr>
              <w:pStyle w:val="113"/>
              <w:spacing w:before="15"/>
              <w:ind w:right="45"/>
              <w:jc w:val="both"/>
              <w:rPr>
                <w:rFonts w:hint="default"/>
                <w:color w:val="000000"/>
                <w:sz w:val="21"/>
                <w:szCs w:val="21"/>
              </w:rPr>
            </w:pPr>
            <w:r>
              <w:rPr>
                <w:rFonts w:cs="宋体"/>
                <w:color w:val="000000"/>
                <w:sz w:val="21"/>
                <w:szCs w:val="21"/>
              </w:rPr>
              <w:t>启动功能</w:t>
            </w:r>
          </w:p>
        </w:tc>
        <w:tc>
          <w:tcPr>
            <w:tcW w:w="1181" w:type="dxa"/>
            <w:noWrap w:val="0"/>
            <w:vAlign w:val="center"/>
          </w:tcPr>
          <w:p w14:paraId="49987D4B">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1C805C3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489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743207D">
            <w:pPr>
              <w:rPr>
                <w:rFonts w:ascii="宋体" w:hAnsi="宋体" w:cs="宋体"/>
                <w:color w:val="000000"/>
                <w:kern w:val="0"/>
                <w:sz w:val="24"/>
                <w:szCs w:val="24"/>
                <w:lang w:bidi="ar"/>
              </w:rPr>
            </w:pPr>
          </w:p>
        </w:tc>
        <w:tc>
          <w:tcPr>
            <w:tcW w:w="1644" w:type="dxa"/>
            <w:vMerge w:val="continue"/>
            <w:noWrap w:val="0"/>
            <w:vAlign w:val="top"/>
          </w:tcPr>
          <w:p w14:paraId="63F426EF">
            <w:pPr>
              <w:jc w:val="center"/>
              <w:rPr>
                <w:rFonts w:ascii="宋体" w:hAnsi="宋体" w:cs="宋体"/>
                <w:color w:val="000000"/>
                <w:w w:val="95"/>
                <w:szCs w:val="21"/>
              </w:rPr>
            </w:pPr>
          </w:p>
        </w:tc>
        <w:tc>
          <w:tcPr>
            <w:tcW w:w="3950" w:type="dxa"/>
            <w:noWrap w:val="0"/>
            <w:vAlign w:val="top"/>
          </w:tcPr>
          <w:p w14:paraId="1C83E212">
            <w:pPr>
              <w:pStyle w:val="113"/>
              <w:spacing w:before="15"/>
              <w:ind w:right="45"/>
              <w:jc w:val="both"/>
              <w:rPr>
                <w:rFonts w:hint="default"/>
                <w:color w:val="000000"/>
                <w:sz w:val="21"/>
                <w:szCs w:val="21"/>
              </w:rPr>
            </w:pPr>
            <w:r>
              <w:rPr>
                <w:rFonts w:cs="宋体"/>
                <w:color w:val="000000"/>
                <w:sz w:val="21"/>
                <w:szCs w:val="21"/>
              </w:rPr>
              <w:t>润滑</w:t>
            </w:r>
          </w:p>
        </w:tc>
        <w:tc>
          <w:tcPr>
            <w:tcW w:w="1181" w:type="dxa"/>
            <w:noWrap w:val="0"/>
            <w:vAlign w:val="top"/>
          </w:tcPr>
          <w:p w14:paraId="23966FE4">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top"/>
          </w:tcPr>
          <w:p w14:paraId="026AB58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722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3A2FED8">
            <w:pPr>
              <w:rPr>
                <w:rFonts w:ascii="宋体" w:hAnsi="宋体" w:cs="宋体"/>
                <w:color w:val="000000"/>
                <w:kern w:val="0"/>
                <w:sz w:val="24"/>
                <w:szCs w:val="24"/>
                <w:lang w:bidi="ar"/>
              </w:rPr>
            </w:pPr>
          </w:p>
        </w:tc>
        <w:tc>
          <w:tcPr>
            <w:tcW w:w="1644" w:type="dxa"/>
            <w:noWrap w:val="0"/>
            <w:vAlign w:val="center"/>
          </w:tcPr>
          <w:p w14:paraId="1D2048B6">
            <w:pPr>
              <w:jc w:val="center"/>
              <w:rPr>
                <w:rFonts w:ascii="宋体" w:hAnsi="宋体" w:cs="宋体"/>
                <w:color w:val="000000"/>
                <w:w w:val="95"/>
                <w:szCs w:val="21"/>
              </w:rPr>
            </w:pPr>
            <w:r>
              <w:rPr>
                <w:rFonts w:hint="eastAsia" w:ascii="宋体" w:hAnsi="宋体" w:cs="宋体"/>
                <w:color w:val="000000"/>
                <w:w w:val="95"/>
                <w:szCs w:val="21"/>
              </w:rPr>
              <w:t>气压灌</w:t>
            </w:r>
          </w:p>
        </w:tc>
        <w:tc>
          <w:tcPr>
            <w:tcW w:w="3950" w:type="dxa"/>
            <w:noWrap w:val="0"/>
            <w:vAlign w:val="top"/>
          </w:tcPr>
          <w:p w14:paraId="0A9E5603">
            <w:pPr>
              <w:pStyle w:val="113"/>
              <w:spacing w:before="17"/>
              <w:ind w:right="45"/>
              <w:jc w:val="both"/>
              <w:rPr>
                <w:rFonts w:hint="default"/>
                <w:color w:val="000000"/>
                <w:sz w:val="21"/>
                <w:szCs w:val="21"/>
              </w:rPr>
            </w:pPr>
            <w:r>
              <w:rPr>
                <w:rFonts w:cs="宋体"/>
                <w:color w:val="000000"/>
                <w:sz w:val="21"/>
                <w:szCs w:val="21"/>
              </w:rPr>
              <w:t>外观</w:t>
            </w:r>
          </w:p>
        </w:tc>
        <w:tc>
          <w:tcPr>
            <w:tcW w:w="1181" w:type="dxa"/>
            <w:noWrap w:val="0"/>
            <w:vAlign w:val="top"/>
          </w:tcPr>
          <w:p w14:paraId="34BBA2B3">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5A760C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03F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1431702">
            <w:pPr>
              <w:rPr>
                <w:rFonts w:ascii="宋体" w:hAnsi="宋体" w:cs="宋体"/>
                <w:color w:val="000000"/>
                <w:kern w:val="0"/>
                <w:sz w:val="24"/>
                <w:szCs w:val="24"/>
                <w:lang w:bidi="ar"/>
              </w:rPr>
            </w:pPr>
          </w:p>
        </w:tc>
        <w:tc>
          <w:tcPr>
            <w:tcW w:w="1644" w:type="dxa"/>
            <w:noWrap w:val="0"/>
            <w:vAlign w:val="center"/>
          </w:tcPr>
          <w:p w14:paraId="28DD7524">
            <w:pPr>
              <w:jc w:val="center"/>
              <w:rPr>
                <w:rFonts w:ascii="宋体" w:hAnsi="宋体" w:cs="宋体"/>
                <w:color w:val="000000"/>
                <w:w w:val="95"/>
                <w:szCs w:val="21"/>
              </w:rPr>
            </w:pPr>
            <w:r>
              <w:rPr>
                <w:rFonts w:hint="eastAsia" w:ascii="宋体" w:hAnsi="宋体" w:cs="宋体"/>
                <w:color w:val="000000"/>
                <w:w w:val="95"/>
                <w:szCs w:val="21"/>
              </w:rPr>
              <w:t>各类阀体</w:t>
            </w:r>
          </w:p>
        </w:tc>
        <w:tc>
          <w:tcPr>
            <w:tcW w:w="3950" w:type="dxa"/>
            <w:noWrap w:val="0"/>
            <w:vAlign w:val="top"/>
          </w:tcPr>
          <w:p w14:paraId="61219E36">
            <w:pPr>
              <w:pStyle w:val="113"/>
              <w:spacing w:before="15"/>
              <w:ind w:right="45"/>
              <w:jc w:val="both"/>
              <w:rPr>
                <w:rFonts w:hint="default"/>
                <w:color w:val="000000"/>
                <w:sz w:val="21"/>
                <w:szCs w:val="21"/>
              </w:rPr>
            </w:pPr>
            <w:r>
              <w:rPr>
                <w:rFonts w:cs="宋体"/>
                <w:color w:val="000000"/>
                <w:sz w:val="21"/>
                <w:szCs w:val="21"/>
              </w:rPr>
              <w:t>清洁润滑</w:t>
            </w:r>
          </w:p>
        </w:tc>
        <w:tc>
          <w:tcPr>
            <w:tcW w:w="1181" w:type="dxa"/>
            <w:noWrap w:val="0"/>
            <w:vAlign w:val="center"/>
          </w:tcPr>
          <w:p w14:paraId="10E4091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C7307D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EFF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7A4C65B">
            <w:pPr>
              <w:rPr>
                <w:rFonts w:ascii="宋体" w:hAnsi="宋体" w:cs="宋体"/>
                <w:color w:val="000000"/>
                <w:kern w:val="0"/>
                <w:sz w:val="24"/>
                <w:szCs w:val="24"/>
                <w:lang w:bidi="ar"/>
              </w:rPr>
            </w:pPr>
          </w:p>
        </w:tc>
        <w:tc>
          <w:tcPr>
            <w:tcW w:w="1644" w:type="dxa"/>
            <w:noWrap w:val="0"/>
            <w:vAlign w:val="center"/>
          </w:tcPr>
          <w:p w14:paraId="115E91E1">
            <w:pPr>
              <w:jc w:val="center"/>
              <w:rPr>
                <w:rFonts w:ascii="宋体" w:hAnsi="宋体" w:cs="宋体"/>
                <w:color w:val="000000"/>
                <w:w w:val="95"/>
                <w:szCs w:val="21"/>
              </w:rPr>
            </w:pPr>
            <w:r>
              <w:rPr>
                <w:rFonts w:hint="eastAsia" w:ascii="宋体" w:hAnsi="宋体" w:cs="宋体"/>
                <w:color w:val="000000"/>
                <w:szCs w:val="21"/>
              </w:rPr>
              <w:t>水系统管网压力指示</w:t>
            </w:r>
          </w:p>
        </w:tc>
        <w:tc>
          <w:tcPr>
            <w:tcW w:w="3950" w:type="dxa"/>
            <w:noWrap w:val="0"/>
            <w:vAlign w:val="center"/>
          </w:tcPr>
          <w:p w14:paraId="25886907">
            <w:pPr>
              <w:pStyle w:val="113"/>
              <w:spacing w:before="17"/>
              <w:ind w:right="45"/>
              <w:jc w:val="both"/>
              <w:rPr>
                <w:rFonts w:hint="default"/>
                <w:color w:val="000000"/>
                <w:sz w:val="21"/>
                <w:szCs w:val="21"/>
              </w:rPr>
            </w:pPr>
            <w:r>
              <w:rPr>
                <w:rFonts w:cs="宋体"/>
                <w:color w:val="000000"/>
                <w:sz w:val="21"/>
                <w:szCs w:val="21"/>
              </w:rPr>
              <w:t>外观</w:t>
            </w:r>
          </w:p>
        </w:tc>
        <w:tc>
          <w:tcPr>
            <w:tcW w:w="1181" w:type="dxa"/>
            <w:noWrap w:val="0"/>
            <w:vAlign w:val="center"/>
          </w:tcPr>
          <w:p w14:paraId="08785D6C">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19F744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4CA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E1B70B9">
            <w:pPr>
              <w:rPr>
                <w:rFonts w:ascii="宋体" w:hAnsi="宋体" w:cs="宋体"/>
                <w:color w:val="000000"/>
                <w:kern w:val="0"/>
                <w:sz w:val="24"/>
                <w:szCs w:val="24"/>
                <w:lang w:bidi="ar"/>
              </w:rPr>
            </w:pPr>
          </w:p>
        </w:tc>
        <w:tc>
          <w:tcPr>
            <w:tcW w:w="1644" w:type="dxa"/>
            <w:noWrap w:val="0"/>
            <w:vAlign w:val="center"/>
          </w:tcPr>
          <w:p w14:paraId="53BA7E97">
            <w:pPr>
              <w:rPr>
                <w:rFonts w:ascii="宋体" w:hAnsi="宋体" w:cs="宋体"/>
                <w:color w:val="000000"/>
                <w:szCs w:val="21"/>
              </w:rPr>
            </w:pPr>
            <w:r>
              <w:rPr>
                <w:rFonts w:hint="eastAsia" w:ascii="宋体" w:hAnsi="宋体" w:cs="宋体"/>
                <w:color w:val="000000"/>
                <w:w w:val="95"/>
                <w:szCs w:val="21"/>
              </w:rPr>
              <w:t>系统联动试验</w:t>
            </w:r>
          </w:p>
        </w:tc>
        <w:tc>
          <w:tcPr>
            <w:tcW w:w="3950" w:type="dxa"/>
            <w:noWrap w:val="0"/>
            <w:vAlign w:val="center"/>
          </w:tcPr>
          <w:p w14:paraId="62F0FC57">
            <w:pPr>
              <w:pStyle w:val="113"/>
              <w:spacing w:before="17"/>
              <w:ind w:right="45"/>
              <w:jc w:val="both"/>
              <w:rPr>
                <w:rFonts w:hint="default"/>
                <w:color w:val="000000"/>
                <w:sz w:val="21"/>
                <w:szCs w:val="21"/>
              </w:rPr>
            </w:pPr>
          </w:p>
        </w:tc>
        <w:tc>
          <w:tcPr>
            <w:tcW w:w="1181" w:type="dxa"/>
            <w:noWrap w:val="0"/>
            <w:vAlign w:val="top"/>
          </w:tcPr>
          <w:p w14:paraId="04757FFA">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0872BFF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6D8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334EF8BB">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气体灭火系统</w:t>
            </w:r>
          </w:p>
        </w:tc>
        <w:tc>
          <w:tcPr>
            <w:tcW w:w="1644" w:type="dxa"/>
            <w:vMerge w:val="restart"/>
            <w:noWrap w:val="0"/>
            <w:vAlign w:val="center"/>
          </w:tcPr>
          <w:p w14:paraId="5A8E6C18">
            <w:pPr>
              <w:jc w:val="center"/>
              <w:rPr>
                <w:rFonts w:ascii="宋体" w:hAnsi="宋体" w:cs="宋体"/>
                <w:color w:val="000000"/>
                <w:w w:val="95"/>
                <w:szCs w:val="21"/>
              </w:rPr>
            </w:pPr>
            <w:r>
              <w:rPr>
                <w:rFonts w:hint="eastAsia" w:ascii="宋体" w:hAnsi="宋体" w:cs="宋体"/>
                <w:color w:val="000000"/>
                <w:w w:val="95"/>
                <w:szCs w:val="21"/>
              </w:rPr>
              <w:t>报警控制器</w:t>
            </w:r>
          </w:p>
        </w:tc>
        <w:tc>
          <w:tcPr>
            <w:tcW w:w="3950" w:type="dxa"/>
            <w:noWrap w:val="0"/>
            <w:vAlign w:val="top"/>
          </w:tcPr>
          <w:p w14:paraId="1A8B2AD9">
            <w:pPr>
              <w:pStyle w:val="113"/>
              <w:spacing w:before="14"/>
              <w:ind w:right="45"/>
              <w:jc w:val="both"/>
              <w:rPr>
                <w:rFonts w:hint="default"/>
                <w:color w:val="000000"/>
                <w:sz w:val="21"/>
                <w:szCs w:val="21"/>
              </w:rPr>
            </w:pPr>
            <w:r>
              <w:rPr>
                <w:rFonts w:cs="宋体"/>
                <w:color w:val="000000"/>
                <w:sz w:val="21"/>
                <w:szCs w:val="21"/>
              </w:rPr>
              <w:t>对其各项功能进行测试</w:t>
            </w:r>
          </w:p>
        </w:tc>
        <w:tc>
          <w:tcPr>
            <w:tcW w:w="1181" w:type="dxa"/>
            <w:noWrap w:val="0"/>
            <w:vAlign w:val="center"/>
          </w:tcPr>
          <w:p w14:paraId="1F86C918">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E0298B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C47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C70043A">
            <w:pPr>
              <w:rPr>
                <w:rFonts w:ascii="宋体" w:hAnsi="宋体" w:cs="宋体"/>
                <w:color w:val="000000"/>
                <w:kern w:val="0"/>
                <w:sz w:val="24"/>
                <w:szCs w:val="24"/>
                <w:lang w:bidi="ar"/>
              </w:rPr>
            </w:pPr>
          </w:p>
        </w:tc>
        <w:tc>
          <w:tcPr>
            <w:tcW w:w="1644" w:type="dxa"/>
            <w:vMerge w:val="continue"/>
            <w:noWrap w:val="0"/>
            <w:vAlign w:val="top"/>
          </w:tcPr>
          <w:p w14:paraId="3808E129">
            <w:pPr>
              <w:jc w:val="center"/>
              <w:rPr>
                <w:rFonts w:ascii="宋体" w:hAnsi="宋体" w:cs="宋体"/>
                <w:color w:val="000000"/>
                <w:w w:val="95"/>
                <w:szCs w:val="21"/>
              </w:rPr>
            </w:pPr>
          </w:p>
        </w:tc>
        <w:tc>
          <w:tcPr>
            <w:tcW w:w="3950" w:type="dxa"/>
            <w:noWrap w:val="0"/>
            <w:vAlign w:val="top"/>
          </w:tcPr>
          <w:p w14:paraId="32ED9234">
            <w:pPr>
              <w:pStyle w:val="113"/>
              <w:spacing w:before="14"/>
              <w:ind w:right="45"/>
              <w:jc w:val="both"/>
              <w:rPr>
                <w:rFonts w:hint="default"/>
                <w:color w:val="000000"/>
                <w:sz w:val="21"/>
                <w:szCs w:val="21"/>
              </w:rPr>
            </w:pPr>
            <w:r>
              <w:rPr>
                <w:rFonts w:cs="宋体"/>
                <w:color w:val="000000"/>
                <w:sz w:val="21"/>
                <w:szCs w:val="21"/>
              </w:rPr>
              <w:t>主备电切换、电池充放电功能</w:t>
            </w:r>
          </w:p>
        </w:tc>
        <w:tc>
          <w:tcPr>
            <w:tcW w:w="1181" w:type="dxa"/>
            <w:noWrap w:val="0"/>
            <w:vAlign w:val="center"/>
          </w:tcPr>
          <w:p w14:paraId="59EFB3C6">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1ADB94B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8DC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4EAEFB6">
            <w:pPr>
              <w:rPr>
                <w:rFonts w:ascii="宋体" w:hAnsi="宋体" w:cs="宋体"/>
                <w:color w:val="000000"/>
                <w:kern w:val="0"/>
                <w:sz w:val="24"/>
                <w:szCs w:val="24"/>
                <w:lang w:bidi="ar"/>
              </w:rPr>
            </w:pPr>
          </w:p>
        </w:tc>
        <w:tc>
          <w:tcPr>
            <w:tcW w:w="1644" w:type="dxa"/>
            <w:vMerge w:val="continue"/>
            <w:noWrap w:val="0"/>
            <w:vAlign w:val="top"/>
          </w:tcPr>
          <w:p w14:paraId="7EDBD145">
            <w:pPr>
              <w:jc w:val="center"/>
              <w:rPr>
                <w:rFonts w:ascii="宋体" w:hAnsi="宋体" w:cs="宋体"/>
                <w:color w:val="000000"/>
                <w:w w:val="95"/>
                <w:szCs w:val="21"/>
              </w:rPr>
            </w:pPr>
          </w:p>
        </w:tc>
        <w:tc>
          <w:tcPr>
            <w:tcW w:w="3950" w:type="dxa"/>
            <w:noWrap w:val="0"/>
            <w:vAlign w:val="top"/>
          </w:tcPr>
          <w:p w14:paraId="3A560BA0">
            <w:pPr>
              <w:pStyle w:val="113"/>
              <w:spacing w:before="133"/>
              <w:ind w:right="45"/>
              <w:jc w:val="both"/>
              <w:rPr>
                <w:rFonts w:hint="default"/>
                <w:color w:val="000000"/>
                <w:sz w:val="21"/>
                <w:szCs w:val="21"/>
              </w:rPr>
            </w:pPr>
            <w:r>
              <w:rPr>
                <w:rFonts w:cs="宋体"/>
                <w:color w:val="000000"/>
                <w:sz w:val="21"/>
                <w:szCs w:val="21"/>
              </w:rPr>
              <w:t>信号线、电源线绝缘电阻以及接地线接地</w:t>
            </w:r>
          </w:p>
        </w:tc>
        <w:tc>
          <w:tcPr>
            <w:tcW w:w="1181" w:type="dxa"/>
            <w:noWrap w:val="0"/>
            <w:vAlign w:val="center"/>
          </w:tcPr>
          <w:p w14:paraId="632A1B8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0C965C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C0F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62588AF">
            <w:pPr>
              <w:rPr>
                <w:rFonts w:ascii="宋体" w:hAnsi="宋体" w:cs="宋体"/>
                <w:color w:val="000000"/>
                <w:kern w:val="0"/>
                <w:sz w:val="24"/>
                <w:szCs w:val="24"/>
                <w:lang w:bidi="ar"/>
              </w:rPr>
            </w:pPr>
          </w:p>
        </w:tc>
        <w:tc>
          <w:tcPr>
            <w:tcW w:w="1644" w:type="dxa"/>
            <w:vMerge w:val="continue"/>
            <w:noWrap w:val="0"/>
            <w:vAlign w:val="top"/>
          </w:tcPr>
          <w:p w14:paraId="601D05E6">
            <w:pPr>
              <w:jc w:val="center"/>
              <w:rPr>
                <w:rFonts w:ascii="宋体" w:hAnsi="宋体" w:cs="宋体"/>
                <w:color w:val="000000"/>
                <w:w w:val="95"/>
                <w:szCs w:val="21"/>
              </w:rPr>
            </w:pPr>
          </w:p>
        </w:tc>
        <w:tc>
          <w:tcPr>
            <w:tcW w:w="3950" w:type="dxa"/>
            <w:noWrap w:val="0"/>
            <w:vAlign w:val="center"/>
          </w:tcPr>
          <w:p w14:paraId="636260FE">
            <w:pPr>
              <w:pStyle w:val="113"/>
              <w:spacing w:before="14"/>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center"/>
          </w:tcPr>
          <w:p w14:paraId="51238233">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1C4E3F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2E1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23D4F43">
            <w:pPr>
              <w:rPr>
                <w:rFonts w:ascii="宋体" w:hAnsi="宋体" w:cs="宋体"/>
                <w:color w:val="000000"/>
                <w:kern w:val="0"/>
                <w:sz w:val="24"/>
                <w:szCs w:val="24"/>
                <w:lang w:bidi="ar"/>
              </w:rPr>
            </w:pPr>
          </w:p>
        </w:tc>
        <w:tc>
          <w:tcPr>
            <w:tcW w:w="1644" w:type="dxa"/>
            <w:vMerge w:val="continue"/>
            <w:noWrap w:val="0"/>
            <w:vAlign w:val="top"/>
          </w:tcPr>
          <w:p w14:paraId="3A173567">
            <w:pPr>
              <w:jc w:val="center"/>
              <w:rPr>
                <w:rFonts w:ascii="宋体" w:hAnsi="宋体" w:cs="宋体"/>
                <w:color w:val="000000"/>
                <w:w w:val="95"/>
                <w:szCs w:val="21"/>
              </w:rPr>
            </w:pPr>
          </w:p>
        </w:tc>
        <w:tc>
          <w:tcPr>
            <w:tcW w:w="3950" w:type="dxa"/>
            <w:noWrap w:val="0"/>
            <w:vAlign w:val="top"/>
          </w:tcPr>
          <w:p w14:paraId="514A5160">
            <w:pPr>
              <w:pStyle w:val="113"/>
              <w:spacing w:before="15"/>
              <w:ind w:right="45"/>
              <w:jc w:val="both"/>
              <w:rPr>
                <w:rFonts w:hint="default"/>
                <w:color w:val="000000"/>
                <w:sz w:val="21"/>
                <w:szCs w:val="21"/>
              </w:rPr>
            </w:pPr>
            <w:r>
              <w:rPr>
                <w:rFonts w:cs="宋体"/>
                <w:color w:val="000000"/>
                <w:sz w:val="21"/>
                <w:szCs w:val="21"/>
              </w:rPr>
              <w:t>箱体内外表面清洁</w:t>
            </w:r>
          </w:p>
        </w:tc>
        <w:tc>
          <w:tcPr>
            <w:tcW w:w="1181" w:type="dxa"/>
            <w:noWrap w:val="0"/>
            <w:vAlign w:val="center"/>
          </w:tcPr>
          <w:p w14:paraId="6E26B0ED">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43074B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25E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62C3905">
            <w:pPr>
              <w:rPr>
                <w:rFonts w:ascii="宋体" w:hAnsi="宋体" w:cs="宋体"/>
                <w:color w:val="000000"/>
                <w:kern w:val="0"/>
                <w:sz w:val="24"/>
                <w:szCs w:val="24"/>
                <w:lang w:bidi="ar"/>
              </w:rPr>
            </w:pPr>
          </w:p>
        </w:tc>
        <w:tc>
          <w:tcPr>
            <w:tcW w:w="1644" w:type="dxa"/>
            <w:vMerge w:val="continue"/>
            <w:noWrap w:val="0"/>
            <w:vAlign w:val="top"/>
          </w:tcPr>
          <w:p w14:paraId="08192DFF">
            <w:pPr>
              <w:jc w:val="center"/>
              <w:rPr>
                <w:rFonts w:ascii="宋体" w:hAnsi="宋体" w:cs="宋体"/>
                <w:color w:val="000000"/>
                <w:w w:val="95"/>
                <w:szCs w:val="21"/>
              </w:rPr>
            </w:pPr>
          </w:p>
        </w:tc>
        <w:tc>
          <w:tcPr>
            <w:tcW w:w="3950" w:type="dxa"/>
            <w:noWrap w:val="0"/>
            <w:vAlign w:val="top"/>
          </w:tcPr>
          <w:p w14:paraId="69A476DC">
            <w:pPr>
              <w:pStyle w:val="113"/>
              <w:spacing w:before="15"/>
              <w:ind w:right="45"/>
              <w:jc w:val="both"/>
              <w:rPr>
                <w:rFonts w:hint="default"/>
                <w:color w:val="000000"/>
                <w:sz w:val="21"/>
                <w:szCs w:val="21"/>
              </w:rPr>
            </w:pPr>
            <w:r>
              <w:rPr>
                <w:rFonts w:cs="宋体"/>
                <w:color w:val="000000"/>
                <w:sz w:val="21"/>
                <w:szCs w:val="21"/>
              </w:rPr>
              <w:t>设备元器件、标识的完好情况</w:t>
            </w:r>
          </w:p>
        </w:tc>
        <w:tc>
          <w:tcPr>
            <w:tcW w:w="1181" w:type="dxa"/>
            <w:noWrap w:val="0"/>
            <w:vAlign w:val="center"/>
          </w:tcPr>
          <w:p w14:paraId="174A86C3">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1AB101F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D94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8E1A5C0">
            <w:pPr>
              <w:rPr>
                <w:rFonts w:ascii="宋体" w:hAnsi="宋体" w:cs="宋体"/>
                <w:color w:val="000000"/>
                <w:kern w:val="0"/>
                <w:sz w:val="24"/>
                <w:szCs w:val="24"/>
                <w:lang w:bidi="ar"/>
              </w:rPr>
            </w:pPr>
          </w:p>
        </w:tc>
        <w:tc>
          <w:tcPr>
            <w:tcW w:w="1644" w:type="dxa"/>
            <w:vMerge w:val="continue"/>
            <w:noWrap w:val="0"/>
            <w:vAlign w:val="top"/>
          </w:tcPr>
          <w:p w14:paraId="202328A6">
            <w:pPr>
              <w:jc w:val="center"/>
              <w:rPr>
                <w:rFonts w:ascii="宋体" w:hAnsi="宋体" w:cs="宋体"/>
                <w:color w:val="000000"/>
                <w:w w:val="95"/>
                <w:szCs w:val="21"/>
              </w:rPr>
            </w:pPr>
          </w:p>
        </w:tc>
        <w:tc>
          <w:tcPr>
            <w:tcW w:w="3950" w:type="dxa"/>
            <w:noWrap w:val="0"/>
            <w:vAlign w:val="top"/>
          </w:tcPr>
          <w:p w14:paraId="61B55EF7">
            <w:pPr>
              <w:pStyle w:val="113"/>
              <w:spacing w:before="15"/>
              <w:ind w:right="45"/>
              <w:jc w:val="both"/>
              <w:rPr>
                <w:rFonts w:hint="default"/>
                <w:color w:val="000000"/>
                <w:sz w:val="21"/>
                <w:szCs w:val="21"/>
              </w:rPr>
            </w:pPr>
            <w:r>
              <w:rPr>
                <w:rFonts w:cs="宋体"/>
                <w:color w:val="000000"/>
                <w:sz w:val="21"/>
                <w:szCs w:val="21"/>
              </w:rPr>
              <w:t>接线端子接线进行整理、紧固</w:t>
            </w:r>
          </w:p>
        </w:tc>
        <w:tc>
          <w:tcPr>
            <w:tcW w:w="1181" w:type="dxa"/>
            <w:noWrap w:val="0"/>
            <w:vAlign w:val="center"/>
          </w:tcPr>
          <w:p w14:paraId="28AE037E">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C17D30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93D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59EAE40">
            <w:pPr>
              <w:rPr>
                <w:rFonts w:ascii="宋体" w:hAnsi="宋体" w:cs="宋体"/>
                <w:color w:val="000000"/>
                <w:kern w:val="0"/>
                <w:sz w:val="24"/>
                <w:szCs w:val="24"/>
                <w:lang w:bidi="ar"/>
              </w:rPr>
            </w:pPr>
          </w:p>
        </w:tc>
        <w:tc>
          <w:tcPr>
            <w:tcW w:w="1644" w:type="dxa"/>
            <w:vMerge w:val="restart"/>
            <w:noWrap w:val="0"/>
            <w:vAlign w:val="center"/>
          </w:tcPr>
          <w:p w14:paraId="229938C8">
            <w:pPr>
              <w:pStyle w:val="16"/>
              <w:jc w:val="center"/>
              <w:rPr>
                <w:color w:val="000000"/>
                <w:w w:val="95"/>
                <w:sz w:val="21"/>
                <w:szCs w:val="21"/>
                <w:lang w:val="en-US" w:eastAsia="zh-CN"/>
              </w:rPr>
            </w:pPr>
            <w:r>
              <w:rPr>
                <w:rFonts w:hint="eastAsia" w:hAnsi="宋体" w:cs="宋体"/>
                <w:color w:val="000000"/>
                <w:w w:val="95"/>
                <w:sz w:val="21"/>
                <w:szCs w:val="21"/>
                <w:lang w:val="en-US" w:eastAsia="zh-CN"/>
              </w:rPr>
              <w:t>端子箱</w:t>
            </w:r>
          </w:p>
        </w:tc>
        <w:tc>
          <w:tcPr>
            <w:tcW w:w="3950" w:type="dxa"/>
            <w:noWrap w:val="0"/>
            <w:vAlign w:val="top"/>
          </w:tcPr>
          <w:p w14:paraId="05A59A43">
            <w:pPr>
              <w:pStyle w:val="113"/>
              <w:spacing w:before="22"/>
              <w:ind w:right="45"/>
              <w:jc w:val="both"/>
              <w:rPr>
                <w:rFonts w:hint="default"/>
                <w:color w:val="000000"/>
                <w:sz w:val="21"/>
                <w:szCs w:val="21"/>
              </w:rPr>
            </w:pPr>
            <w:r>
              <w:rPr>
                <w:rFonts w:cs="宋体"/>
                <w:color w:val="000000"/>
                <w:sz w:val="21"/>
                <w:szCs w:val="21"/>
              </w:rPr>
              <w:t>箱体内外表面清洁</w:t>
            </w:r>
          </w:p>
        </w:tc>
        <w:tc>
          <w:tcPr>
            <w:tcW w:w="1181" w:type="dxa"/>
            <w:noWrap w:val="0"/>
            <w:vAlign w:val="center"/>
          </w:tcPr>
          <w:p w14:paraId="05F7645A">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A11AEF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103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6497D88">
            <w:pPr>
              <w:rPr>
                <w:rFonts w:ascii="宋体" w:hAnsi="宋体" w:cs="宋体"/>
                <w:color w:val="000000"/>
                <w:kern w:val="0"/>
                <w:sz w:val="24"/>
                <w:szCs w:val="24"/>
                <w:lang w:bidi="ar"/>
              </w:rPr>
            </w:pPr>
          </w:p>
        </w:tc>
        <w:tc>
          <w:tcPr>
            <w:tcW w:w="1644" w:type="dxa"/>
            <w:vMerge w:val="continue"/>
            <w:noWrap w:val="0"/>
            <w:vAlign w:val="top"/>
          </w:tcPr>
          <w:p w14:paraId="0254FE41">
            <w:pPr>
              <w:pStyle w:val="16"/>
              <w:jc w:val="center"/>
              <w:rPr>
                <w:color w:val="000000"/>
                <w:w w:val="95"/>
                <w:sz w:val="21"/>
                <w:szCs w:val="21"/>
                <w:lang w:val="en-US" w:eastAsia="zh-CN"/>
              </w:rPr>
            </w:pPr>
          </w:p>
        </w:tc>
        <w:tc>
          <w:tcPr>
            <w:tcW w:w="3950" w:type="dxa"/>
            <w:noWrap w:val="0"/>
            <w:vAlign w:val="top"/>
          </w:tcPr>
          <w:p w14:paraId="25526222">
            <w:pPr>
              <w:pStyle w:val="113"/>
              <w:spacing w:before="17"/>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center"/>
          </w:tcPr>
          <w:p w14:paraId="648B77E8">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37FA745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5EE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51F5482">
            <w:pPr>
              <w:rPr>
                <w:rFonts w:ascii="宋体" w:hAnsi="宋体" w:cs="宋体"/>
                <w:color w:val="000000"/>
                <w:kern w:val="0"/>
                <w:sz w:val="24"/>
                <w:szCs w:val="24"/>
                <w:lang w:bidi="ar"/>
              </w:rPr>
            </w:pPr>
          </w:p>
        </w:tc>
        <w:tc>
          <w:tcPr>
            <w:tcW w:w="1644" w:type="dxa"/>
            <w:vMerge w:val="continue"/>
            <w:noWrap w:val="0"/>
            <w:vAlign w:val="top"/>
          </w:tcPr>
          <w:p w14:paraId="0F4CCDDB">
            <w:pPr>
              <w:pStyle w:val="16"/>
              <w:jc w:val="center"/>
              <w:rPr>
                <w:color w:val="000000"/>
                <w:w w:val="95"/>
                <w:sz w:val="21"/>
                <w:szCs w:val="21"/>
                <w:lang w:val="en-US" w:eastAsia="zh-CN"/>
              </w:rPr>
            </w:pPr>
          </w:p>
        </w:tc>
        <w:tc>
          <w:tcPr>
            <w:tcW w:w="3950" w:type="dxa"/>
            <w:noWrap w:val="0"/>
            <w:vAlign w:val="top"/>
          </w:tcPr>
          <w:p w14:paraId="30029531">
            <w:pPr>
              <w:pStyle w:val="113"/>
              <w:spacing w:before="17"/>
              <w:ind w:right="45"/>
              <w:jc w:val="both"/>
              <w:rPr>
                <w:rFonts w:hint="default"/>
                <w:color w:val="000000"/>
                <w:sz w:val="21"/>
                <w:szCs w:val="21"/>
              </w:rPr>
            </w:pPr>
            <w:r>
              <w:rPr>
                <w:rFonts w:cs="宋体"/>
                <w:color w:val="000000"/>
                <w:sz w:val="21"/>
                <w:szCs w:val="21"/>
              </w:rPr>
              <w:t>接线端子接线进行整理、紧固</w:t>
            </w:r>
          </w:p>
        </w:tc>
        <w:tc>
          <w:tcPr>
            <w:tcW w:w="1181" w:type="dxa"/>
            <w:noWrap w:val="0"/>
            <w:vAlign w:val="center"/>
          </w:tcPr>
          <w:p w14:paraId="6FA66DB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333C169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5E9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71924F8">
            <w:pPr>
              <w:rPr>
                <w:rFonts w:ascii="宋体" w:hAnsi="宋体" w:cs="宋体"/>
                <w:color w:val="000000"/>
                <w:kern w:val="0"/>
                <w:sz w:val="24"/>
                <w:szCs w:val="24"/>
                <w:lang w:bidi="ar"/>
              </w:rPr>
            </w:pPr>
          </w:p>
        </w:tc>
        <w:tc>
          <w:tcPr>
            <w:tcW w:w="1644" w:type="dxa"/>
            <w:vMerge w:val="continue"/>
            <w:noWrap w:val="0"/>
            <w:vAlign w:val="top"/>
          </w:tcPr>
          <w:p w14:paraId="2455A5F5">
            <w:pPr>
              <w:pStyle w:val="16"/>
              <w:jc w:val="center"/>
              <w:rPr>
                <w:color w:val="000000"/>
                <w:w w:val="95"/>
                <w:sz w:val="21"/>
                <w:szCs w:val="21"/>
                <w:lang w:val="en-US" w:eastAsia="zh-CN"/>
              </w:rPr>
            </w:pPr>
          </w:p>
        </w:tc>
        <w:tc>
          <w:tcPr>
            <w:tcW w:w="3950" w:type="dxa"/>
            <w:noWrap w:val="0"/>
            <w:vAlign w:val="top"/>
          </w:tcPr>
          <w:p w14:paraId="44344038">
            <w:pPr>
              <w:pStyle w:val="113"/>
              <w:spacing w:before="27"/>
              <w:ind w:right="45"/>
              <w:jc w:val="both"/>
              <w:rPr>
                <w:rFonts w:hint="default"/>
                <w:color w:val="000000"/>
                <w:sz w:val="21"/>
                <w:szCs w:val="21"/>
              </w:rPr>
            </w:pPr>
            <w:r>
              <w:rPr>
                <w:rFonts w:cs="宋体"/>
                <w:color w:val="000000"/>
                <w:sz w:val="21"/>
                <w:szCs w:val="21"/>
              </w:rPr>
              <w:t>箱体内外表面补漆</w:t>
            </w:r>
          </w:p>
        </w:tc>
        <w:tc>
          <w:tcPr>
            <w:tcW w:w="1181" w:type="dxa"/>
            <w:noWrap w:val="0"/>
            <w:vAlign w:val="center"/>
          </w:tcPr>
          <w:p w14:paraId="07E32707">
            <w:pPr>
              <w:jc w:val="center"/>
              <w:rPr>
                <w:rFonts w:ascii="宋体" w:hAnsi="宋体" w:cs="宋体"/>
                <w:color w:val="000000"/>
                <w:kern w:val="0"/>
                <w:sz w:val="24"/>
                <w:szCs w:val="24"/>
                <w:lang w:bidi="ar"/>
              </w:rPr>
            </w:pPr>
            <w:r>
              <w:rPr>
                <w:rFonts w:hint="eastAsia" w:ascii="宋体" w:hAnsi="宋体" w:cs="宋体"/>
                <w:color w:val="000000"/>
                <w:kern w:val="0"/>
                <w:szCs w:val="21"/>
                <w:lang w:bidi="ar"/>
              </w:rPr>
              <w:t>补漆</w:t>
            </w:r>
          </w:p>
        </w:tc>
        <w:tc>
          <w:tcPr>
            <w:tcW w:w="1342" w:type="dxa"/>
            <w:noWrap w:val="0"/>
            <w:vAlign w:val="top"/>
          </w:tcPr>
          <w:p w14:paraId="1E57D4D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5D1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274CC31">
            <w:pPr>
              <w:rPr>
                <w:rFonts w:ascii="宋体" w:hAnsi="宋体" w:cs="宋体"/>
                <w:color w:val="000000"/>
                <w:kern w:val="0"/>
                <w:sz w:val="24"/>
                <w:szCs w:val="24"/>
                <w:lang w:bidi="ar"/>
              </w:rPr>
            </w:pPr>
          </w:p>
        </w:tc>
        <w:tc>
          <w:tcPr>
            <w:tcW w:w="1644" w:type="dxa"/>
            <w:vMerge w:val="restart"/>
            <w:noWrap w:val="0"/>
            <w:vAlign w:val="top"/>
          </w:tcPr>
          <w:p w14:paraId="6F135F22">
            <w:pPr>
              <w:pStyle w:val="16"/>
              <w:jc w:val="center"/>
              <w:rPr>
                <w:color w:val="000000"/>
                <w:w w:val="95"/>
                <w:sz w:val="21"/>
                <w:szCs w:val="21"/>
                <w:lang w:val="en-US" w:eastAsia="zh-CN"/>
              </w:rPr>
            </w:pPr>
            <w:r>
              <w:rPr>
                <w:rFonts w:hint="eastAsia" w:cs="宋体"/>
                <w:color w:val="000000"/>
                <w:w w:val="95"/>
                <w:sz w:val="21"/>
                <w:szCs w:val="21"/>
                <w:lang w:val="en-US" w:eastAsia="zh-CN"/>
              </w:rPr>
              <w:t>火</w:t>
            </w:r>
            <w:r>
              <w:rPr>
                <w:rFonts w:hint="eastAsia" w:hAnsi="宋体" w:cs="宋体"/>
                <w:color w:val="000000"/>
                <w:w w:val="95"/>
                <w:sz w:val="21"/>
                <w:szCs w:val="21"/>
                <w:lang w:val="en-US" w:eastAsia="zh-CN"/>
              </w:rPr>
              <w:t>灾探测器</w:t>
            </w:r>
          </w:p>
        </w:tc>
        <w:tc>
          <w:tcPr>
            <w:tcW w:w="3950" w:type="dxa"/>
            <w:noWrap w:val="0"/>
            <w:vAlign w:val="top"/>
          </w:tcPr>
          <w:p w14:paraId="2791F802">
            <w:pPr>
              <w:pStyle w:val="113"/>
              <w:spacing w:before="81"/>
              <w:ind w:right="45"/>
              <w:jc w:val="both"/>
              <w:rPr>
                <w:rFonts w:hint="default"/>
                <w:color w:val="000000"/>
                <w:sz w:val="21"/>
                <w:szCs w:val="21"/>
              </w:rPr>
            </w:pPr>
            <w:r>
              <w:rPr>
                <w:rFonts w:cs="宋体"/>
                <w:color w:val="000000"/>
                <w:sz w:val="21"/>
                <w:szCs w:val="21"/>
              </w:rPr>
              <w:t>检查报警功能、报警部位</w:t>
            </w:r>
          </w:p>
        </w:tc>
        <w:tc>
          <w:tcPr>
            <w:tcW w:w="1181" w:type="dxa"/>
            <w:noWrap w:val="0"/>
            <w:vAlign w:val="center"/>
          </w:tcPr>
          <w:p w14:paraId="22DDCD5D">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55A1EF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B4D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05799A8">
            <w:pPr>
              <w:rPr>
                <w:rFonts w:ascii="宋体" w:hAnsi="宋体" w:cs="宋体"/>
                <w:color w:val="000000"/>
                <w:kern w:val="0"/>
                <w:sz w:val="24"/>
                <w:szCs w:val="24"/>
                <w:lang w:bidi="ar"/>
              </w:rPr>
            </w:pPr>
          </w:p>
        </w:tc>
        <w:tc>
          <w:tcPr>
            <w:tcW w:w="1644" w:type="dxa"/>
            <w:vMerge w:val="continue"/>
            <w:noWrap w:val="0"/>
            <w:vAlign w:val="top"/>
          </w:tcPr>
          <w:p w14:paraId="188DEC19">
            <w:pPr>
              <w:pStyle w:val="16"/>
              <w:jc w:val="center"/>
              <w:rPr>
                <w:color w:val="000000"/>
                <w:w w:val="95"/>
                <w:sz w:val="21"/>
                <w:szCs w:val="21"/>
                <w:lang w:val="en-US" w:eastAsia="zh-CN"/>
              </w:rPr>
            </w:pPr>
          </w:p>
        </w:tc>
        <w:tc>
          <w:tcPr>
            <w:tcW w:w="3950" w:type="dxa"/>
            <w:noWrap w:val="0"/>
            <w:vAlign w:val="top"/>
          </w:tcPr>
          <w:p w14:paraId="16F0F6FF">
            <w:pPr>
              <w:pStyle w:val="113"/>
              <w:spacing w:before="89"/>
              <w:ind w:right="45"/>
              <w:jc w:val="both"/>
              <w:rPr>
                <w:rFonts w:hint="default"/>
                <w:color w:val="000000"/>
                <w:sz w:val="21"/>
                <w:szCs w:val="21"/>
              </w:rPr>
            </w:pPr>
            <w:r>
              <w:rPr>
                <w:rFonts w:cs="宋体"/>
                <w:color w:val="000000"/>
                <w:sz w:val="21"/>
                <w:szCs w:val="21"/>
              </w:rPr>
              <w:t>清洗、接线端子紧固、安装牢固度</w:t>
            </w:r>
          </w:p>
        </w:tc>
        <w:tc>
          <w:tcPr>
            <w:tcW w:w="1181" w:type="dxa"/>
            <w:noWrap w:val="0"/>
            <w:vAlign w:val="center"/>
          </w:tcPr>
          <w:p w14:paraId="3E856BE8">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A1A565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C91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331EF1D">
            <w:pPr>
              <w:rPr>
                <w:rFonts w:ascii="宋体" w:hAnsi="宋体" w:cs="宋体"/>
                <w:color w:val="000000"/>
                <w:kern w:val="0"/>
                <w:sz w:val="24"/>
                <w:szCs w:val="24"/>
                <w:lang w:bidi="ar"/>
              </w:rPr>
            </w:pPr>
          </w:p>
        </w:tc>
        <w:tc>
          <w:tcPr>
            <w:tcW w:w="1644" w:type="dxa"/>
            <w:noWrap w:val="0"/>
            <w:vAlign w:val="center"/>
          </w:tcPr>
          <w:p w14:paraId="56FF0C98">
            <w:pPr>
              <w:pStyle w:val="16"/>
              <w:jc w:val="center"/>
              <w:rPr>
                <w:color w:val="000000"/>
                <w:w w:val="95"/>
                <w:sz w:val="21"/>
                <w:szCs w:val="21"/>
                <w:lang w:val="en-US" w:eastAsia="zh-CN"/>
              </w:rPr>
            </w:pPr>
            <w:r>
              <w:rPr>
                <w:rFonts w:hint="eastAsia" w:hAnsi="宋体" w:cs="宋体"/>
                <w:color w:val="000000"/>
                <w:w w:val="95"/>
                <w:sz w:val="21"/>
                <w:szCs w:val="21"/>
                <w:lang w:val="en-US" w:eastAsia="zh-CN"/>
              </w:rPr>
              <w:t>喷嘴</w:t>
            </w:r>
          </w:p>
        </w:tc>
        <w:tc>
          <w:tcPr>
            <w:tcW w:w="3950" w:type="dxa"/>
            <w:noWrap w:val="0"/>
            <w:vAlign w:val="top"/>
          </w:tcPr>
          <w:p w14:paraId="3B33DD11">
            <w:pPr>
              <w:pStyle w:val="113"/>
              <w:spacing w:before="89"/>
              <w:ind w:right="45"/>
              <w:jc w:val="both"/>
              <w:rPr>
                <w:rFonts w:hint="default"/>
                <w:color w:val="000000"/>
                <w:sz w:val="21"/>
                <w:szCs w:val="21"/>
              </w:rPr>
            </w:pPr>
            <w:r>
              <w:rPr>
                <w:rFonts w:cs="宋体"/>
                <w:color w:val="000000"/>
                <w:sz w:val="21"/>
                <w:szCs w:val="21"/>
              </w:rPr>
              <w:t>检查外观</w:t>
            </w:r>
          </w:p>
        </w:tc>
        <w:tc>
          <w:tcPr>
            <w:tcW w:w="1181" w:type="dxa"/>
            <w:noWrap w:val="0"/>
            <w:vAlign w:val="center"/>
          </w:tcPr>
          <w:p w14:paraId="3A2E75D9">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26F5DD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788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0613034">
            <w:pPr>
              <w:rPr>
                <w:rFonts w:ascii="宋体" w:hAnsi="宋体" w:cs="宋体"/>
                <w:color w:val="000000"/>
                <w:kern w:val="0"/>
                <w:sz w:val="24"/>
                <w:szCs w:val="24"/>
                <w:lang w:bidi="ar"/>
              </w:rPr>
            </w:pPr>
          </w:p>
        </w:tc>
        <w:tc>
          <w:tcPr>
            <w:tcW w:w="1644" w:type="dxa"/>
            <w:vMerge w:val="restart"/>
            <w:noWrap w:val="0"/>
            <w:vAlign w:val="center"/>
          </w:tcPr>
          <w:p w14:paraId="7BF21EF6">
            <w:pPr>
              <w:pStyle w:val="16"/>
              <w:jc w:val="center"/>
              <w:rPr>
                <w:color w:val="000000"/>
                <w:w w:val="95"/>
                <w:sz w:val="21"/>
                <w:szCs w:val="21"/>
                <w:lang w:val="en-US" w:eastAsia="zh-CN"/>
              </w:rPr>
            </w:pPr>
            <w:r>
              <w:rPr>
                <w:rFonts w:hint="eastAsia" w:hAnsi="宋体" w:cs="宋体"/>
                <w:color w:val="000000"/>
                <w:w w:val="95"/>
                <w:sz w:val="21"/>
                <w:szCs w:val="21"/>
                <w:lang w:val="en-US" w:eastAsia="zh-CN"/>
              </w:rPr>
              <w:t>应急放气按钮</w:t>
            </w:r>
          </w:p>
        </w:tc>
        <w:tc>
          <w:tcPr>
            <w:tcW w:w="3950" w:type="dxa"/>
            <w:noWrap w:val="0"/>
            <w:vAlign w:val="top"/>
          </w:tcPr>
          <w:p w14:paraId="1F1BDA26">
            <w:pPr>
              <w:pStyle w:val="113"/>
              <w:spacing w:before="57"/>
              <w:ind w:right="45"/>
              <w:jc w:val="both"/>
              <w:rPr>
                <w:rFonts w:hint="default"/>
                <w:color w:val="000000"/>
                <w:sz w:val="21"/>
                <w:szCs w:val="21"/>
              </w:rPr>
            </w:pPr>
            <w:r>
              <w:rPr>
                <w:rFonts w:cs="宋体"/>
                <w:color w:val="000000"/>
                <w:sz w:val="21"/>
                <w:szCs w:val="21"/>
              </w:rPr>
              <w:t>接线端子紧固、安装牢固度</w:t>
            </w:r>
          </w:p>
        </w:tc>
        <w:tc>
          <w:tcPr>
            <w:tcW w:w="1181" w:type="dxa"/>
            <w:noWrap w:val="0"/>
            <w:vAlign w:val="center"/>
          </w:tcPr>
          <w:p w14:paraId="0B30AB3C">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25AAE6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028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3381475">
            <w:pPr>
              <w:rPr>
                <w:rFonts w:ascii="宋体" w:hAnsi="宋体" w:cs="宋体"/>
                <w:color w:val="000000"/>
                <w:kern w:val="0"/>
                <w:sz w:val="24"/>
                <w:szCs w:val="24"/>
                <w:lang w:bidi="ar"/>
              </w:rPr>
            </w:pPr>
          </w:p>
        </w:tc>
        <w:tc>
          <w:tcPr>
            <w:tcW w:w="1644" w:type="dxa"/>
            <w:vMerge w:val="continue"/>
            <w:noWrap w:val="0"/>
            <w:vAlign w:val="top"/>
          </w:tcPr>
          <w:p w14:paraId="0861FF2B">
            <w:pPr>
              <w:pStyle w:val="16"/>
              <w:jc w:val="center"/>
              <w:rPr>
                <w:color w:val="000000"/>
                <w:w w:val="95"/>
                <w:sz w:val="21"/>
                <w:szCs w:val="21"/>
                <w:lang w:val="en-US" w:eastAsia="zh-CN"/>
              </w:rPr>
            </w:pPr>
          </w:p>
        </w:tc>
        <w:tc>
          <w:tcPr>
            <w:tcW w:w="3950" w:type="dxa"/>
            <w:noWrap w:val="0"/>
            <w:vAlign w:val="top"/>
          </w:tcPr>
          <w:p w14:paraId="6C6F9817">
            <w:pPr>
              <w:pStyle w:val="113"/>
              <w:spacing w:before="57"/>
              <w:ind w:right="45"/>
              <w:jc w:val="both"/>
              <w:rPr>
                <w:rFonts w:hint="default"/>
                <w:color w:val="000000"/>
                <w:sz w:val="21"/>
                <w:szCs w:val="21"/>
              </w:rPr>
            </w:pPr>
            <w:r>
              <w:rPr>
                <w:rFonts w:cs="宋体"/>
                <w:color w:val="000000"/>
                <w:sz w:val="21"/>
                <w:szCs w:val="21"/>
              </w:rPr>
              <w:t>按钮</w:t>
            </w:r>
          </w:p>
        </w:tc>
        <w:tc>
          <w:tcPr>
            <w:tcW w:w="1181" w:type="dxa"/>
            <w:noWrap w:val="0"/>
            <w:vAlign w:val="center"/>
          </w:tcPr>
          <w:p w14:paraId="56B7FD34">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7F64A6B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7F4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E2BF638">
            <w:pPr>
              <w:rPr>
                <w:rFonts w:ascii="宋体" w:hAnsi="宋体" w:cs="宋体"/>
                <w:color w:val="000000"/>
                <w:kern w:val="0"/>
                <w:sz w:val="24"/>
                <w:szCs w:val="24"/>
                <w:lang w:bidi="ar"/>
              </w:rPr>
            </w:pPr>
          </w:p>
        </w:tc>
        <w:tc>
          <w:tcPr>
            <w:tcW w:w="1644" w:type="dxa"/>
            <w:noWrap w:val="0"/>
            <w:vAlign w:val="center"/>
          </w:tcPr>
          <w:p w14:paraId="2E4A1877">
            <w:pPr>
              <w:pStyle w:val="16"/>
              <w:jc w:val="center"/>
              <w:rPr>
                <w:color w:val="000000"/>
                <w:w w:val="95"/>
                <w:sz w:val="21"/>
                <w:szCs w:val="21"/>
                <w:lang w:val="en-US" w:eastAsia="zh-CN"/>
              </w:rPr>
            </w:pPr>
            <w:r>
              <w:rPr>
                <w:rFonts w:hint="eastAsia" w:hAnsi="宋体" w:cs="宋体"/>
                <w:color w:val="000000"/>
                <w:w w:val="95"/>
                <w:sz w:val="21"/>
                <w:szCs w:val="21"/>
                <w:lang w:val="en-US" w:eastAsia="zh-CN"/>
              </w:rPr>
              <w:t>声光报警器</w:t>
            </w:r>
          </w:p>
        </w:tc>
        <w:tc>
          <w:tcPr>
            <w:tcW w:w="3950" w:type="dxa"/>
            <w:noWrap w:val="0"/>
            <w:vAlign w:val="top"/>
          </w:tcPr>
          <w:p w14:paraId="74339101">
            <w:pPr>
              <w:pStyle w:val="113"/>
              <w:spacing w:before="57"/>
              <w:ind w:right="45"/>
              <w:jc w:val="both"/>
              <w:rPr>
                <w:rFonts w:hint="default"/>
                <w:color w:val="000000"/>
                <w:sz w:val="21"/>
                <w:szCs w:val="21"/>
              </w:rPr>
            </w:pPr>
            <w:r>
              <w:rPr>
                <w:rFonts w:cs="宋体"/>
                <w:color w:val="000000"/>
                <w:sz w:val="21"/>
                <w:szCs w:val="21"/>
              </w:rPr>
              <w:t>接线端子紧固、安装牢固度</w:t>
            </w:r>
          </w:p>
        </w:tc>
        <w:tc>
          <w:tcPr>
            <w:tcW w:w="1181" w:type="dxa"/>
            <w:noWrap w:val="0"/>
            <w:vAlign w:val="center"/>
          </w:tcPr>
          <w:p w14:paraId="740FB8F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431211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DE3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40FA52A">
            <w:pPr>
              <w:rPr>
                <w:rFonts w:ascii="宋体" w:hAnsi="宋体" w:cs="宋体"/>
                <w:color w:val="000000"/>
                <w:kern w:val="0"/>
                <w:sz w:val="24"/>
                <w:szCs w:val="24"/>
                <w:lang w:bidi="ar"/>
              </w:rPr>
            </w:pPr>
          </w:p>
        </w:tc>
        <w:tc>
          <w:tcPr>
            <w:tcW w:w="1644" w:type="dxa"/>
            <w:noWrap w:val="0"/>
            <w:vAlign w:val="center"/>
          </w:tcPr>
          <w:p w14:paraId="6361A300">
            <w:pPr>
              <w:pStyle w:val="16"/>
              <w:jc w:val="center"/>
              <w:rPr>
                <w:color w:val="000000"/>
                <w:w w:val="95"/>
                <w:sz w:val="21"/>
                <w:szCs w:val="21"/>
                <w:lang w:val="en-US" w:eastAsia="zh-CN"/>
              </w:rPr>
            </w:pPr>
            <w:r>
              <w:rPr>
                <w:rFonts w:hint="eastAsia" w:hAnsi="宋体" w:cs="宋体"/>
                <w:color w:val="000000"/>
                <w:w w:val="95"/>
                <w:sz w:val="21"/>
                <w:szCs w:val="21"/>
                <w:lang w:val="en-US" w:eastAsia="zh-CN"/>
              </w:rPr>
              <w:t>放气指示灯</w:t>
            </w:r>
          </w:p>
        </w:tc>
        <w:tc>
          <w:tcPr>
            <w:tcW w:w="3950" w:type="dxa"/>
            <w:noWrap w:val="0"/>
            <w:vAlign w:val="top"/>
          </w:tcPr>
          <w:p w14:paraId="328B09C5">
            <w:pPr>
              <w:pStyle w:val="113"/>
              <w:spacing w:before="57"/>
              <w:ind w:right="45"/>
              <w:jc w:val="both"/>
              <w:rPr>
                <w:rFonts w:hint="default"/>
                <w:color w:val="000000"/>
                <w:sz w:val="21"/>
                <w:szCs w:val="21"/>
              </w:rPr>
            </w:pPr>
            <w:r>
              <w:rPr>
                <w:rFonts w:cs="宋体"/>
                <w:color w:val="000000"/>
                <w:sz w:val="21"/>
                <w:szCs w:val="21"/>
              </w:rPr>
              <w:t>接线端子紧固、安装牢固度</w:t>
            </w:r>
          </w:p>
        </w:tc>
        <w:tc>
          <w:tcPr>
            <w:tcW w:w="1181" w:type="dxa"/>
            <w:noWrap w:val="0"/>
            <w:vAlign w:val="center"/>
          </w:tcPr>
          <w:p w14:paraId="6BD0F345">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6F1AB3B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702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7B8DF67">
            <w:pPr>
              <w:rPr>
                <w:rFonts w:ascii="宋体" w:hAnsi="宋体" w:cs="宋体"/>
                <w:color w:val="000000"/>
                <w:kern w:val="0"/>
                <w:sz w:val="24"/>
                <w:szCs w:val="24"/>
                <w:lang w:bidi="ar"/>
              </w:rPr>
            </w:pPr>
          </w:p>
        </w:tc>
        <w:tc>
          <w:tcPr>
            <w:tcW w:w="1644" w:type="dxa"/>
            <w:noWrap w:val="0"/>
            <w:vAlign w:val="center"/>
          </w:tcPr>
          <w:p w14:paraId="4DBB302C">
            <w:pPr>
              <w:pStyle w:val="16"/>
              <w:jc w:val="center"/>
              <w:rPr>
                <w:color w:val="000000"/>
                <w:w w:val="95"/>
                <w:sz w:val="21"/>
                <w:szCs w:val="21"/>
                <w:lang w:val="en-US" w:eastAsia="zh-CN"/>
              </w:rPr>
            </w:pPr>
            <w:r>
              <w:rPr>
                <w:rFonts w:hint="eastAsia" w:hAnsi="宋体" w:cs="宋体"/>
                <w:color w:val="000000"/>
                <w:w w:val="95"/>
                <w:sz w:val="21"/>
                <w:szCs w:val="21"/>
                <w:lang w:val="en-US" w:eastAsia="zh-CN"/>
              </w:rPr>
              <w:t>集流管</w:t>
            </w:r>
          </w:p>
        </w:tc>
        <w:tc>
          <w:tcPr>
            <w:tcW w:w="3950" w:type="dxa"/>
            <w:noWrap w:val="0"/>
            <w:vAlign w:val="top"/>
          </w:tcPr>
          <w:p w14:paraId="10A38C5E">
            <w:pPr>
              <w:pStyle w:val="113"/>
              <w:spacing w:before="89"/>
              <w:ind w:right="45"/>
              <w:jc w:val="both"/>
              <w:rPr>
                <w:rFonts w:hint="default"/>
                <w:color w:val="000000"/>
                <w:sz w:val="21"/>
                <w:szCs w:val="21"/>
              </w:rPr>
            </w:pPr>
            <w:r>
              <w:rPr>
                <w:rFonts w:cs="宋体"/>
                <w:color w:val="000000"/>
                <w:sz w:val="21"/>
                <w:szCs w:val="21"/>
              </w:rPr>
              <w:t>检查外观</w:t>
            </w:r>
          </w:p>
        </w:tc>
        <w:tc>
          <w:tcPr>
            <w:tcW w:w="1181" w:type="dxa"/>
            <w:noWrap w:val="0"/>
            <w:vAlign w:val="center"/>
          </w:tcPr>
          <w:p w14:paraId="1C3F2B19">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84058F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394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E7BA4CD">
            <w:pPr>
              <w:rPr>
                <w:rFonts w:ascii="宋体" w:hAnsi="宋体" w:cs="宋体"/>
                <w:color w:val="000000"/>
                <w:kern w:val="0"/>
                <w:sz w:val="24"/>
                <w:szCs w:val="24"/>
                <w:lang w:bidi="ar"/>
              </w:rPr>
            </w:pPr>
          </w:p>
        </w:tc>
        <w:tc>
          <w:tcPr>
            <w:tcW w:w="1644" w:type="dxa"/>
            <w:vMerge w:val="restart"/>
            <w:noWrap w:val="0"/>
            <w:vAlign w:val="center"/>
          </w:tcPr>
          <w:p w14:paraId="7ADB4ACB">
            <w:pPr>
              <w:pStyle w:val="16"/>
              <w:jc w:val="center"/>
              <w:rPr>
                <w:color w:val="000000"/>
                <w:w w:val="95"/>
                <w:sz w:val="21"/>
                <w:szCs w:val="21"/>
                <w:lang w:val="en-US" w:eastAsia="zh-CN"/>
              </w:rPr>
            </w:pPr>
            <w:r>
              <w:rPr>
                <w:rFonts w:hint="eastAsia" w:hAnsi="宋体" w:cs="宋体"/>
                <w:color w:val="000000"/>
                <w:w w:val="95"/>
                <w:sz w:val="21"/>
                <w:szCs w:val="21"/>
                <w:lang w:val="en-US" w:eastAsia="zh-CN"/>
              </w:rPr>
              <w:t>压力开关</w:t>
            </w:r>
          </w:p>
        </w:tc>
        <w:tc>
          <w:tcPr>
            <w:tcW w:w="3950" w:type="dxa"/>
            <w:noWrap w:val="0"/>
            <w:vAlign w:val="top"/>
          </w:tcPr>
          <w:p w14:paraId="78ACB875">
            <w:pPr>
              <w:pStyle w:val="113"/>
              <w:spacing w:before="57"/>
              <w:ind w:right="45"/>
              <w:jc w:val="both"/>
              <w:rPr>
                <w:rFonts w:hint="default"/>
                <w:color w:val="000000"/>
                <w:sz w:val="21"/>
                <w:szCs w:val="21"/>
              </w:rPr>
            </w:pPr>
            <w:r>
              <w:rPr>
                <w:rFonts w:cs="宋体"/>
                <w:color w:val="000000"/>
                <w:sz w:val="21"/>
                <w:szCs w:val="21"/>
              </w:rPr>
              <w:t>接线端子紧固、安装牢固度</w:t>
            </w:r>
          </w:p>
        </w:tc>
        <w:tc>
          <w:tcPr>
            <w:tcW w:w="1181" w:type="dxa"/>
            <w:noWrap w:val="0"/>
            <w:vAlign w:val="center"/>
          </w:tcPr>
          <w:p w14:paraId="5BCFCAA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7D71E9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290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4B520A1">
            <w:pPr>
              <w:rPr>
                <w:rFonts w:ascii="宋体" w:hAnsi="宋体" w:cs="宋体"/>
                <w:color w:val="000000"/>
                <w:kern w:val="0"/>
                <w:sz w:val="24"/>
                <w:szCs w:val="24"/>
                <w:lang w:bidi="ar"/>
              </w:rPr>
            </w:pPr>
          </w:p>
        </w:tc>
        <w:tc>
          <w:tcPr>
            <w:tcW w:w="1644" w:type="dxa"/>
            <w:vMerge w:val="continue"/>
            <w:noWrap w:val="0"/>
            <w:vAlign w:val="center"/>
          </w:tcPr>
          <w:p w14:paraId="4AF168D8">
            <w:pPr>
              <w:pStyle w:val="16"/>
              <w:jc w:val="center"/>
              <w:rPr>
                <w:color w:val="000000"/>
                <w:w w:val="95"/>
                <w:sz w:val="21"/>
                <w:szCs w:val="21"/>
                <w:lang w:val="en-US" w:eastAsia="zh-CN"/>
              </w:rPr>
            </w:pPr>
          </w:p>
        </w:tc>
        <w:tc>
          <w:tcPr>
            <w:tcW w:w="3950" w:type="dxa"/>
            <w:noWrap w:val="0"/>
            <w:vAlign w:val="top"/>
          </w:tcPr>
          <w:p w14:paraId="07EAEF21">
            <w:pPr>
              <w:pStyle w:val="113"/>
              <w:spacing w:before="57"/>
              <w:ind w:right="45"/>
              <w:jc w:val="both"/>
              <w:rPr>
                <w:rFonts w:hint="default"/>
                <w:color w:val="000000"/>
                <w:sz w:val="21"/>
                <w:szCs w:val="21"/>
              </w:rPr>
            </w:pPr>
            <w:r>
              <w:rPr>
                <w:rFonts w:cs="宋体"/>
                <w:color w:val="000000"/>
                <w:sz w:val="21"/>
                <w:szCs w:val="21"/>
              </w:rPr>
              <w:t>功能实验</w:t>
            </w:r>
          </w:p>
        </w:tc>
        <w:tc>
          <w:tcPr>
            <w:tcW w:w="1181" w:type="dxa"/>
            <w:noWrap w:val="0"/>
            <w:vAlign w:val="center"/>
          </w:tcPr>
          <w:p w14:paraId="217E0A1A">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6BD36CC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C21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C80B49D">
            <w:pPr>
              <w:rPr>
                <w:rFonts w:ascii="宋体" w:hAnsi="宋体" w:cs="宋体"/>
                <w:color w:val="000000"/>
                <w:kern w:val="0"/>
                <w:sz w:val="24"/>
                <w:szCs w:val="24"/>
                <w:lang w:bidi="ar"/>
              </w:rPr>
            </w:pPr>
          </w:p>
        </w:tc>
        <w:tc>
          <w:tcPr>
            <w:tcW w:w="1644" w:type="dxa"/>
            <w:noWrap w:val="0"/>
            <w:vAlign w:val="center"/>
          </w:tcPr>
          <w:p w14:paraId="5A5D4C23">
            <w:pPr>
              <w:pStyle w:val="16"/>
              <w:jc w:val="center"/>
              <w:rPr>
                <w:color w:val="000000"/>
                <w:w w:val="95"/>
                <w:sz w:val="21"/>
                <w:szCs w:val="21"/>
                <w:lang w:val="en-US" w:eastAsia="zh-CN"/>
              </w:rPr>
            </w:pPr>
            <w:r>
              <w:rPr>
                <w:rFonts w:hint="eastAsia" w:hAnsi="宋体" w:cs="宋体"/>
                <w:color w:val="000000"/>
                <w:w w:val="95"/>
                <w:sz w:val="21"/>
                <w:szCs w:val="21"/>
                <w:lang w:val="en-US" w:eastAsia="zh-CN"/>
              </w:rPr>
              <w:t>安全阀</w:t>
            </w:r>
          </w:p>
        </w:tc>
        <w:tc>
          <w:tcPr>
            <w:tcW w:w="3950" w:type="dxa"/>
            <w:noWrap w:val="0"/>
            <w:vAlign w:val="top"/>
          </w:tcPr>
          <w:p w14:paraId="56870002">
            <w:pPr>
              <w:pStyle w:val="113"/>
              <w:spacing w:before="89"/>
              <w:ind w:right="45"/>
              <w:jc w:val="both"/>
              <w:rPr>
                <w:rFonts w:hint="default"/>
                <w:color w:val="000000"/>
                <w:sz w:val="21"/>
                <w:szCs w:val="21"/>
              </w:rPr>
            </w:pPr>
            <w:r>
              <w:rPr>
                <w:rFonts w:cs="宋体"/>
                <w:color w:val="000000"/>
                <w:sz w:val="21"/>
                <w:szCs w:val="21"/>
              </w:rPr>
              <w:t>检查外观</w:t>
            </w:r>
          </w:p>
        </w:tc>
        <w:tc>
          <w:tcPr>
            <w:tcW w:w="1181" w:type="dxa"/>
            <w:noWrap w:val="0"/>
            <w:vAlign w:val="center"/>
          </w:tcPr>
          <w:p w14:paraId="0AB1253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0FC496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6AE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90DD950">
            <w:pPr>
              <w:rPr>
                <w:rFonts w:ascii="宋体" w:hAnsi="宋体" w:cs="宋体"/>
                <w:color w:val="000000"/>
                <w:kern w:val="0"/>
                <w:sz w:val="24"/>
                <w:szCs w:val="24"/>
                <w:lang w:bidi="ar"/>
              </w:rPr>
            </w:pPr>
          </w:p>
        </w:tc>
        <w:tc>
          <w:tcPr>
            <w:tcW w:w="1644" w:type="dxa"/>
            <w:noWrap w:val="0"/>
            <w:vAlign w:val="center"/>
          </w:tcPr>
          <w:p w14:paraId="34601E7B">
            <w:pPr>
              <w:pStyle w:val="16"/>
              <w:jc w:val="center"/>
              <w:rPr>
                <w:color w:val="000000"/>
                <w:w w:val="95"/>
                <w:sz w:val="21"/>
                <w:szCs w:val="21"/>
                <w:lang w:val="en-US" w:eastAsia="zh-CN"/>
              </w:rPr>
            </w:pPr>
            <w:r>
              <w:rPr>
                <w:rFonts w:hint="eastAsia" w:hAnsi="宋体" w:cs="宋体"/>
                <w:color w:val="000000"/>
                <w:w w:val="95"/>
                <w:sz w:val="21"/>
                <w:szCs w:val="21"/>
                <w:lang w:val="en-US" w:eastAsia="zh-CN"/>
              </w:rPr>
              <w:t>选择阀</w:t>
            </w:r>
          </w:p>
        </w:tc>
        <w:tc>
          <w:tcPr>
            <w:tcW w:w="3950" w:type="dxa"/>
            <w:noWrap w:val="0"/>
            <w:vAlign w:val="top"/>
          </w:tcPr>
          <w:p w14:paraId="07BD5B45">
            <w:pPr>
              <w:pStyle w:val="113"/>
              <w:spacing w:before="89"/>
              <w:ind w:right="45"/>
              <w:jc w:val="both"/>
              <w:rPr>
                <w:rFonts w:hint="default"/>
                <w:color w:val="000000"/>
                <w:sz w:val="21"/>
                <w:szCs w:val="21"/>
              </w:rPr>
            </w:pPr>
            <w:r>
              <w:rPr>
                <w:rFonts w:cs="宋体"/>
                <w:color w:val="000000"/>
                <w:sz w:val="21"/>
                <w:szCs w:val="21"/>
              </w:rPr>
              <w:t>检查外观</w:t>
            </w:r>
          </w:p>
        </w:tc>
        <w:tc>
          <w:tcPr>
            <w:tcW w:w="1181" w:type="dxa"/>
            <w:noWrap w:val="0"/>
            <w:vAlign w:val="center"/>
          </w:tcPr>
          <w:p w14:paraId="3B5DA24C">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032216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6A4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67BEB5A">
            <w:pPr>
              <w:rPr>
                <w:rFonts w:ascii="宋体" w:hAnsi="宋体" w:cs="宋体"/>
                <w:color w:val="000000"/>
                <w:kern w:val="0"/>
                <w:sz w:val="24"/>
                <w:szCs w:val="24"/>
                <w:lang w:bidi="ar"/>
              </w:rPr>
            </w:pPr>
          </w:p>
        </w:tc>
        <w:tc>
          <w:tcPr>
            <w:tcW w:w="1644" w:type="dxa"/>
            <w:noWrap w:val="0"/>
            <w:vAlign w:val="center"/>
          </w:tcPr>
          <w:p w14:paraId="1607405E">
            <w:pPr>
              <w:pStyle w:val="16"/>
              <w:jc w:val="center"/>
              <w:rPr>
                <w:color w:val="000000"/>
                <w:w w:val="95"/>
                <w:sz w:val="21"/>
                <w:szCs w:val="21"/>
                <w:lang w:val="en-US" w:eastAsia="zh-CN"/>
              </w:rPr>
            </w:pPr>
            <w:r>
              <w:rPr>
                <w:rFonts w:hint="eastAsia" w:hAnsi="宋体" w:cs="宋体"/>
                <w:color w:val="000000"/>
                <w:w w:val="95"/>
                <w:sz w:val="21"/>
                <w:szCs w:val="21"/>
                <w:lang w:val="en-US" w:eastAsia="zh-CN"/>
              </w:rPr>
              <w:t>启动钢瓶</w:t>
            </w:r>
          </w:p>
        </w:tc>
        <w:tc>
          <w:tcPr>
            <w:tcW w:w="3950" w:type="dxa"/>
            <w:noWrap w:val="0"/>
            <w:vAlign w:val="top"/>
          </w:tcPr>
          <w:p w14:paraId="28C4602E">
            <w:pPr>
              <w:pStyle w:val="113"/>
              <w:spacing w:before="89"/>
              <w:ind w:right="45"/>
              <w:jc w:val="both"/>
              <w:rPr>
                <w:rFonts w:hint="default"/>
                <w:color w:val="000000"/>
                <w:sz w:val="21"/>
                <w:szCs w:val="21"/>
              </w:rPr>
            </w:pPr>
            <w:r>
              <w:rPr>
                <w:rFonts w:cs="宋体"/>
                <w:color w:val="000000"/>
                <w:sz w:val="21"/>
                <w:szCs w:val="21"/>
              </w:rPr>
              <w:t>检查外观、安装牢固、标志、压力表指示</w:t>
            </w:r>
          </w:p>
        </w:tc>
        <w:tc>
          <w:tcPr>
            <w:tcW w:w="1181" w:type="dxa"/>
            <w:noWrap w:val="0"/>
            <w:vAlign w:val="center"/>
          </w:tcPr>
          <w:p w14:paraId="27139CE5">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0B9BEC6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869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C6AC375">
            <w:pPr>
              <w:rPr>
                <w:rFonts w:ascii="宋体" w:hAnsi="宋体" w:cs="宋体"/>
                <w:color w:val="000000"/>
                <w:kern w:val="0"/>
                <w:sz w:val="24"/>
                <w:szCs w:val="24"/>
                <w:lang w:bidi="ar"/>
              </w:rPr>
            </w:pPr>
          </w:p>
        </w:tc>
        <w:tc>
          <w:tcPr>
            <w:tcW w:w="1644" w:type="dxa"/>
            <w:noWrap w:val="0"/>
            <w:vAlign w:val="center"/>
          </w:tcPr>
          <w:p w14:paraId="6833C22D">
            <w:pPr>
              <w:pStyle w:val="16"/>
              <w:jc w:val="center"/>
              <w:rPr>
                <w:color w:val="000000"/>
                <w:w w:val="95"/>
                <w:sz w:val="21"/>
                <w:szCs w:val="21"/>
                <w:lang w:val="en-US" w:eastAsia="zh-CN"/>
              </w:rPr>
            </w:pPr>
            <w:r>
              <w:rPr>
                <w:rFonts w:hint="eastAsia" w:hAnsi="宋体" w:cs="宋体"/>
                <w:color w:val="000000"/>
                <w:w w:val="95"/>
                <w:sz w:val="21"/>
                <w:szCs w:val="21"/>
                <w:lang w:val="en-US" w:eastAsia="zh-CN"/>
              </w:rPr>
              <w:t>管网</w:t>
            </w:r>
          </w:p>
        </w:tc>
        <w:tc>
          <w:tcPr>
            <w:tcW w:w="3950" w:type="dxa"/>
            <w:noWrap w:val="0"/>
            <w:vAlign w:val="top"/>
          </w:tcPr>
          <w:p w14:paraId="03D2AFC9">
            <w:pPr>
              <w:pStyle w:val="113"/>
              <w:spacing w:before="89"/>
              <w:ind w:right="45"/>
              <w:jc w:val="both"/>
              <w:rPr>
                <w:rFonts w:hint="default"/>
                <w:color w:val="000000"/>
                <w:sz w:val="21"/>
                <w:szCs w:val="21"/>
              </w:rPr>
            </w:pPr>
          </w:p>
        </w:tc>
        <w:tc>
          <w:tcPr>
            <w:tcW w:w="1181" w:type="dxa"/>
            <w:noWrap w:val="0"/>
            <w:vAlign w:val="center"/>
          </w:tcPr>
          <w:p w14:paraId="0334D3FB">
            <w:pPr>
              <w:jc w:val="center"/>
              <w:rPr>
                <w:rFonts w:ascii="宋体" w:hAnsi="宋体" w:cs="宋体"/>
                <w:color w:val="000000"/>
                <w:kern w:val="0"/>
                <w:sz w:val="24"/>
                <w:szCs w:val="24"/>
                <w:lang w:bidi="ar"/>
              </w:rPr>
            </w:pPr>
            <w:r>
              <w:rPr>
                <w:rFonts w:hint="eastAsia" w:ascii="宋体" w:hAnsi="宋体" w:cs="宋体"/>
                <w:color w:val="000000"/>
                <w:kern w:val="0"/>
                <w:szCs w:val="21"/>
                <w:lang w:bidi="ar"/>
              </w:rPr>
              <w:t>补漆</w:t>
            </w:r>
          </w:p>
        </w:tc>
        <w:tc>
          <w:tcPr>
            <w:tcW w:w="1342" w:type="dxa"/>
            <w:noWrap w:val="0"/>
            <w:vAlign w:val="center"/>
          </w:tcPr>
          <w:p w14:paraId="5741EA3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AB5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8B3871E">
            <w:pPr>
              <w:rPr>
                <w:rFonts w:ascii="宋体" w:hAnsi="宋体" w:cs="宋体"/>
                <w:color w:val="000000"/>
                <w:kern w:val="0"/>
                <w:sz w:val="24"/>
                <w:szCs w:val="24"/>
                <w:lang w:bidi="ar"/>
              </w:rPr>
            </w:pPr>
          </w:p>
        </w:tc>
        <w:tc>
          <w:tcPr>
            <w:tcW w:w="1644" w:type="dxa"/>
            <w:noWrap w:val="0"/>
            <w:vAlign w:val="center"/>
          </w:tcPr>
          <w:p w14:paraId="7C19E003">
            <w:pPr>
              <w:rPr>
                <w:rFonts w:ascii="宋体" w:hAnsi="宋体" w:cs="宋体"/>
                <w:color w:val="000000"/>
                <w:szCs w:val="21"/>
              </w:rPr>
            </w:pPr>
            <w:r>
              <w:rPr>
                <w:rFonts w:hint="eastAsia" w:ascii="宋体" w:hAnsi="宋体" w:cs="宋体"/>
                <w:color w:val="000000"/>
                <w:w w:val="95"/>
                <w:szCs w:val="21"/>
              </w:rPr>
              <w:t>系统联动试验</w:t>
            </w:r>
          </w:p>
        </w:tc>
        <w:tc>
          <w:tcPr>
            <w:tcW w:w="3950" w:type="dxa"/>
            <w:noWrap w:val="0"/>
            <w:vAlign w:val="center"/>
          </w:tcPr>
          <w:p w14:paraId="62593B37">
            <w:pPr>
              <w:pStyle w:val="113"/>
              <w:spacing w:before="17"/>
              <w:ind w:right="45"/>
              <w:jc w:val="both"/>
              <w:rPr>
                <w:rFonts w:hint="default"/>
                <w:color w:val="000000"/>
                <w:sz w:val="21"/>
                <w:szCs w:val="21"/>
              </w:rPr>
            </w:pPr>
          </w:p>
        </w:tc>
        <w:tc>
          <w:tcPr>
            <w:tcW w:w="1181" w:type="dxa"/>
            <w:noWrap w:val="0"/>
            <w:vAlign w:val="top"/>
          </w:tcPr>
          <w:p w14:paraId="44CE75C6">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74700D9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275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30233006">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防排烟系统</w:t>
            </w:r>
          </w:p>
        </w:tc>
        <w:tc>
          <w:tcPr>
            <w:tcW w:w="1644" w:type="dxa"/>
            <w:vMerge w:val="restart"/>
            <w:noWrap w:val="0"/>
            <w:vAlign w:val="center"/>
          </w:tcPr>
          <w:p w14:paraId="08EB85A8">
            <w:pPr>
              <w:pStyle w:val="16"/>
              <w:jc w:val="center"/>
              <w:rPr>
                <w:color w:val="000000"/>
                <w:w w:val="95"/>
                <w:sz w:val="21"/>
                <w:szCs w:val="21"/>
                <w:lang w:val="en-US" w:eastAsia="zh-CN"/>
              </w:rPr>
            </w:pPr>
            <w:r>
              <w:rPr>
                <w:rFonts w:hint="eastAsia" w:hAnsi="宋体" w:cs="宋体"/>
                <w:color w:val="000000"/>
                <w:sz w:val="21"/>
                <w:szCs w:val="21"/>
                <w:lang w:val="en-US" w:eastAsia="zh-CN"/>
              </w:rPr>
              <w:t>电控柜</w:t>
            </w:r>
          </w:p>
        </w:tc>
        <w:tc>
          <w:tcPr>
            <w:tcW w:w="3950" w:type="dxa"/>
            <w:noWrap w:val="0"/>
            <w:vAlign w:val="top"/>
          </w:tcPr>
          <w:p w14:paraId="42AD26BA">
            <w:pPr>
              <w:pStyle w:val="113"/>
              <w:spacing w:before="57"/>
              <w:ind w:right="288"/>
              <w:jc w:val="both"/>
              <w:rPr>
                <w:rFonts w:hint="default"/>
                <w:color w:val="000000"/>
                <w:sz w:val="21"/>
                <w:szCs w:val="21"/>
              </w:rPr>
            </w:pPr>
            <w:r>
              <w:rPr>
                <w:rFonts w:cs="宋体"/>
                <w:color w:val="000000"/>
                <w:sz w:val="21"/>
                <w:szCs w:val="21"/>
              </w:rPr>
              <w:t>主备电切换</w:t>
            </w:r>
          </w:p>
        </w:tc>
        <w:tc>
          <w:tcPr>
            <w:tcW w:w="1181" w:type="dxa"/>
            <w:noWrap w:val="0"/>
            <w:vAlign w:val="center"/>
          </w:tcPr>
          <w:p w14:paraId="15F67CC7">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03D8DC5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E03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707C094">
            <w:pPr>
              <w:rPr>
                <w:rFonts w:ascii="宋体" w:hAnsi="宋体" w:cs="宋体"/>
                <w:color w:val="000000"/>
                <w:kern w:val="0"/>
                <w:sz w:val="24"/>
                <w:szCs w:val="24"/>
                <w:lang w:bidi="ar"/>
              </w:rPr>
            </w:pPr>
          </w:p>
        </w:tc>
        <w:tc>
          <w:tcPr>
            <w:tcW w:w="1644" w:type="dxa"/>
            <w:vMerge w:val="continue"/>
            <w:noWrap w:val="0"/>
            <w:vAlign w:val="top"/>
          </w:tcPr>
          <w:p w14:paraId="7FA8B56A">
            <w:pPr>
              <w:pStyle w:val="16"/>
              <w:jc w:val="center"/>
              <w:rPr>
                <w:color w:val="000000"/>
                <w:w w:val="95"/>
                <w:sz w:val="21"/>
                <w:szCs w:val="21"/>
                <w:lang w:val="en-US" w:eastAsia="zh-CN"/>
              </w:rPr>
            </w:pPr>
          </w:p>
        </w:tc>
        <w:tc>
          <w:tcPr>
            <w:tcW w:w="3950" w:type="dxa"/>
            <w:noWrap w:val="0"/>
            <w:vAlign w:val="top"/>
          </w:tcPr>
          <w:p w14:paraId="2EE8BB8C">
            <w:pPr>
              <w:pStyle w:val="113"/>
              <w:spacing w:before="117"/>
              <w:ind w:right="45"/>
              <w:jc w:val="both"/>
              <w:rPr>
                <w:rFonts w:hint="default"/>
                <w:color w:val="000000"/>
                <w:sz w:val="21"/>
                <w:szCs w:val="21"/>
              </w:rPr>
            </w:pPr>
            <w:r>
              <w:rPr>
                <w:rFonts w:cs="宋体"/>
                <w:color w:val="000000"/>
                <w:sz w:val="21"/>
                <w:szCs w:val="21"/>
              </w:rPr>
              <w:t>信号线、电源线绝缘电阻以及接地线接地</w:t>
            </w:r>
          </w:p>
        </w:tc>
        <w:tc>
          <w:tcPr>
            <w:tcW w:w="1181" w:type="dxa"/>
            <w:noWrap w:val="0"/>
            <w:vAlign w:val="center"/>
          </w:tcPr>
          <w:p w14:paraId="4BF01F2E">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1EC453B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204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12C7914">
            <w:pPr>
              <w:rPr>
                <w:rFonts w:ascii="宋体" w:hAnsi="宋体" w:cs="宋体"/>
                <w:color w:val="000000"/>
                <w:kern w:val="0"/>
                <w:sz w:val="24"/>
                <w:szCs w:val="24"/>
                <w:lang w:bidi="ar"/>
              </w:rPr>
            </w:pPr>
          </w:p>
        </w:tc>
        <w:tc>
          <w:tcPr>
            <w:tcW w:w="1644" w:type="dxa"/>
            <w:vMerge w:val="continue"/>
            <w:noWrap w:val="0"/>
            <w:vAlign w:val="top"/>
          </w:tcPr>
          <w:p w14:paraId="4B339129">
            <w:pPr>
              <w:pStyle w:val="16"/>
              <w:jc w:val="center"/>
              <w:rPr>
                <w:color w:val="000000"/>
                <w:w w:val="95"/>
                <w:sz w:val="21"/>
                <w:szCs w:val="21"/>
                <w:lang w:val="en-US" w:eastAsia="zh-CN"/>
              </w:rPr>
            </w:pPr>
          </w:p>
        </w:tc>
        <w:tc>
          <w:tcPr>
            <w:tcW w:w="3950" w:type="dxa"/>
            <w:noWrap w:val="0"/>
            <w:vAlign w:val="top"/>
          </w:tcPr>
          <w:p w14:paraId="3A389B54">
            <w:pPr>
              <w:pStyle w:val="113"/>
              <w:spacing w:before="117"/>
              <w:ind w:right="45"/>
              <w:jc w:val="both"/>
              <w:rPr>
                <w:rFonts w:hint="default"/>
                <w:color w:val="000000"/>
                <w:sz w:val="21"/>
                <w:szCs w:val="21"/>
              </w:rPr>
            </w:pPr>
            <w:r>
              <w:rPr>
                <w:rFonts w:cs="宋体"/>
                <w:color w:val="000000"/>
                <w:spacing w:val="-5"/>
                <w:sz w:val="21"/>
                <w:szCs w:val="21"/>
              </w:rPr>
              <w:t>风机启停功能</w:t>
            </w:r>
            <w:r>
              <w:rPr>
                <w:rFonts w:cs="宋体"/>
                <w:color w:val="000000"/>
                <w:sz w:val="21"/>
                <w:szCs w:val="21"/>
              </w:rPr>
              <w:t>（</w:t>
            </w:r>
            <w:r>
              <w:rPr>
                <w:rFonts w:cs="宋体"/>
                <w:color w:val="000000"/>
                <w:spacing w:val="-7"/>
                <w:sz w:val="21"/>
                <w:szCs w:val="21"/>
              </w:rPr>
              <w:t>各显示功能；现场及远程启动功能；自动启动功能</w:t>
            </w:r>
            <w:r>
              <w:rPr>
                <w:rFonts w:cs="宋体"/>
                <w:color w:val="000000"/>
                <w:sz w:val="21"/>
                <w:szCs w:val="21"/>
              </w:rPr>
              <w:t>）</w:t>
            </w:r>
          </w:p>
        </w:tc>
        <w:tc>
          <w:tcPr>
            <w:tcW w:w="1181" w:type="dxa"/>
            <w:noWrap w:val="0"/>
            <w:vAlign w:val="center"/>
          </w:tcPr>
          <w:p w14:paraId="305CA0E7">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2AEDDFF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948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E991D5D">
            <w:pPr>
              <w:rPr>
                <w:rFonts w:ascii="宋体" w:hAnsi="宋体" w:cs="宋体"/>
                <w:color w:val="000000"/>
                <w:kern w:val="0"/>
                <w:sz w:val="24"/>
                <w:szCs w:val="24"/>
                <w:lang w:bidi="ar"/>
              </w:rPr>
            </w:pPr>
          </w:p>
        </w:tc>
        <w:tc>
          <w:tcPr>
            <w:tcW w:w="1644" w:type="dxa"/>
            <w:vMerge w:val="continue"/>
            <w:noWrap w:val="0"/>
            <w:vAlign w:val="top"/>
          </w:tcPr>
          <w:p w14:paraId="3324F9F5">
            <w:pPr>
              <w:pStyle w:val="16"/>
              <w:jc w:val="center"/>
              <w:rPr>
                <w:color w:val="000000"/>
                <w:w w:val="95"/>
                <w:sz w:val="21"/>
                <w:szCs w:val="21"/>
                <w:lang w:val="en-US" w:eastAsia="zh-CN"/>
              </w:rPr>
            </w:pPr>
          </w:p>
        </w:tc>
        <w:tc>
          <w:tcPr>
            <w:tcW w:w="3950" w:type="dxa"/>
            <w:noWrap w:val="0"/>
            <w:vAlign w:val="top"/>
          </w:tcPr>
          <w:p w14:paraId="53ACEF2E">
            <w:pPr>
              <w:pStyle w:val="113"/>
              <w:spacing w:before="117"/>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center"/>
          </w:tcPr>
          <w:p w14:paraId="5ED534FF">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1ED766A">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BEC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6DA5760">
            <w:pPr>
              <w:rPr>
                <w:rFonts w:ascii="宋体" w:hAnsi="宋体" w:cs="宋体"/>
                <w:color w:val="000000"/>
                <w:kern w:val="0"/>
                <w:sz w:val="24"/>
                <w:szCs w:val="24"/>
                <w:lang w:bidi="ar"/>
              </w:rPr>
            </w:pPr>
          </w:p>
        </w:tc>
        <w:tc>
          <w:tcPr>
            <w:tcW w:w="1644" w:type="dxa"/>
            <w:vMerge w:val="continue"/>
            <w:noWrap w:val="0"/>
            <w:vAlign w:val="top"/>
          </w:tcPr>
          <w:p w14:paraId="4FD8D6E1">
            <w:pPr>
              <w:pStyle w:val="16"/>
              <w:jc w:val="center"/>
              <w:rPr>
                <w:color w:val="000000"/>
                <w:w w:val="95"/>
                <w:sz w:val="21"/>
                <w:szCs w:val="21"/>
                <w:lang w:val="en-US" w:eastAsia="zh-CN"/>
              </w:rPr>
            </w:pPr>
          </w:p>
        </w:tc>
        <w:tc>
          <w:tcPr>
            <w:tcW w:w="3950" w:type="dxa"/>
            <w:noWrap w:val="0"/>
            <w:vAlign w:val="top"/>
          </w:tcPr>
          <w:p w14:paraId="42FEEB0C">
            <w:pPr>
              <w:pStyle w:val="113"/>
              <w:spacing w:before="117"/>
              <w:ind w:right="45"/>
              <w:jc w:val="both"/>
              <w:rPr>
                <w:rFonts w:hint="default"/>
                <w:color w:val="000000"/>
                <w:sz w:val="21"/>
                <w:szCs w:val="21"/>
              </w:rPr>
            </w:pPr>
            <w:r>
              <w:rPr>
                <w:rFonts w:cs="宋体"/>
                <w:color w:val="000000"/>
                <w:sz w:val="21"/>
                <w:szCs w:val="21"/>
              </w:rPr>
              <w:t>柜体内外表面清洁</w:t>
            </w:r>
          </w:p>
        </w:tc>
        <w:tc>
          <w:tcPr>
            <w:tcW w:w="1181" w:type="dxa"/>
            <w:noWrap w:val="0"/>
            <w:vAlign w:val="center"/>
          </w:tcPr>
          <w:p w14:paraId="10756287">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1BAF52F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E0C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01A7EC2">
            <w:pPr>
              <w:rPr>
                <w:rFonts w:ascii="宋体" w:hAnsi="宋体" w:cs="宋体"/>
                <w:color w:val="000000"/>
                <w:kern w:val="0"/>
                <w:sz w:val="24"/>
                <w:szCs w:val="24"/>
                <w:lang w:bidi="ar"/>
              </w:rPr>
            </w:pPr>
          </w:p>
        </w:tc>
        <w:tc>
          <w:tcPr>
            <w:tcW w:w="1644" w:type="dxa"/>
            <w:vMerge w:val="continue"/>
            <w:noWrap w:val="0"/>
            <w:vAlign w:val="top"/>
          </w:tcPr>
          <w:p w14:paraId="080B954A">
            <w:pPr>
              <w:pStyle w:val="16"/>
              <w:jc w:val="center"/>
              <w:rPr>
                <w:color w:val="000000"/>
                <w:w w:val="95"/>
                <w:sz w:val="21"/>
                <w:szCs w:val="21"/>
                <w:lang w:val="en-US" w:eastAsia="zh-CN"/>
              </w:rPr>
            </w:pPr>
          </w:p>
        </w:tc>
        <w:tc>
          <w:tcPr>
            <w:tcW w:w="3950" w:type="dxa"/>
            <w:noWrap w:val="0"/>
            <w:vAlign w:val="top"/>
          </w:tcPr>
          <w:p w14:paraId="08DACC56">
            <w:pPr>
              <w:pStyle w:val="113"/>
              <w:spacing w:before="118"/>
              <w:ind w:right="45"/>
              <w:jc w:val="both"/>
              <w:rPr>
                <w:rFonts w:hint="default"/>
                <w:color w:val="000000"/>
                <w:sz w:val="21"/>
                <w:szCs w:val="21"/>
              </w:rPr>
            </w:pPr>
            <w:r>
              <w:rPr>
                <w:rFonts w:cs="宋体"/>
                <w:color w:val="000000"/>
                <w:sz w:val="21"/>
                <w:szCs w:val="21"/>
              </w:rPr>
              <w:t>电控柜元器件、标识的完好情况</w:t>
            </w:r>
          </w:p>
        </w:tc>
        <w:tc>
          <w:tcPr>
            <w:tcW w:w="1181" w:type="dxa"/>
            <w:noWrap w:val="0"/>
            <w:vAlign w:val="center"/>
          </w:tcPr>
          <w:p w14:paraId="267D4989">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6ED7C12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D99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D11A728">
            <w:pPr>
              <w:rPr>
                <w:rFonts w:ascii="宋体" w:hAnsi="宋体" w:cs="宋体"/>
                <w:color w:val="000000"/>
                <w:kern w:val="0"/>
                <w:sz w:val="24"/>
                <w:szCs w:val="24"/>
                <w:lang w:bidi="ar"/>
              </w:rPr>
            </w:pPr>
          </w:p>
        </w:tc>
        <w:tc>
          <w:tcPr>
            <w:tcW w:w="1644" w:type="dxa"/>
            <w:vMerge w:val="continue"/>
            <w:noWrap w:val="0"/>
            <w:vAlign w:val="top"/>
          </w:tcPr>
          <w:p w14:paraId="55DC1F8F">
            <w:pPr>
              <w:pStyle w:val="16"/>
              <w:jc w:val="center"/>
              <w:rPr>
                <w:color w:val="000000"/>
                <w:w w:val="95"/>
                <w:sz w:val="21"/>
                <w:szCs w:val="21"/>
                <w:lang w:val="en-US" w:eastAsia="zh-CN"/>
              </w:rPr>
            </w:pPr>
          </w:p>
        </w:tc>
        <w:tc>
          <w:tcPr>
            <w:tcW w:w="3950" w:type="dxa"/>
            <w:noWrap w:val="0"/>
            <w:vAlign w:val="top"/>
          </w:tcPr>
          <w:p w14:paraId="0569E56B">
            <w:pPr>
              <w:pStyle w:val="113"/>
              <w:spacing w:before="117"/>
              <w:ind w:right="45"/>
              <w:jc w:val="both"/>
              <w:rPr>
                <w:rFonts w:hint="default"/>
                <w:color w:val="000000"/>
                <w:sz w:val="21"/>
                <w:szCs w:val="21"/>
              </w:rPr>
            </w:pPr>
            <w:r>
              <w:rPr>
                <w:rFonts w:cs="宋体"/>
                <w:color w:val="000000"/>
                <w:sz w:val="21"/>
                <w:szCs w:val="21"/>
              </w:rPr>
              <w:t>电控柜接线端子接线进行整理、紧固</w:t>
            </w:r>
          </w:p>
        </w:tc>
        <w:tc>
          <w:tcPr>
            <w:tcW w:w="1181" w:type="dxa"/>
            <w:noWrap w:val="0"/>
            <w:vAlign w:val="center"/>
          </w:tcPr>
          <w:p w14:paraId="0838CB60">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EF6D00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F93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B880FDC">
            <w:pPr>
              <w:rPr>
                <w:rFonts w:ascii="宋体" w:hAnsi="宋体" w:cs="宋体"/>
                <w:color w:val="000000"/>
                <w:kern w:val="0"/>
                <w:sz w:val="24"/>
                <w:szCs w:val="24"/>
                <w:lang w:bidi="ar"/>
              </w:rPr>
            </w:pPr>
          </w:p>
        </w:tc>
        <w:tc>
          <w:tcPr>
            <w:tcW w:w="1644" w:type="dxa"/>
            <w:vMerge w:val="restart"/>
            <w:noWrap w:val="0"/>
            <w:vAlign w:val="center"/>
          </w:tcPr>
          <w:p w14:paraId="7EF96FA4">
            <w:pPr>
              <w:pStyle w:val="16"/>
              <w:jc w:val="center"/>
              <w:rPr>
                <w:color w:val="000000"/>
                <w:w w:val="95"/>
                <w:sz w:val="21"/>
                <w:szCs w:val="21"/>
                <w:lang w:val="en-US" w:eastAsia="zh-CN"/>
              </w:rPr>
            </w:pPr>
            <w:r>
              <w:rPr>
                <w:rFonts w:hint="eastAsia" w:hAnsi="宋体" w:cs="宋体"/>
                <w:color w:val="000000"/>
                <w:w w:val="95"/>
                <w:sz w:val="21"/>
                <w:szCs w:val="21"/>
                <w:lang w:val="en-US" w:eastAsia="zh-CN"/>
              </w:rPr>
              <w:t>风机</w:t>
            </w:r>
          </w:p>
        </w:tc>
        <w:tc>
          <w:tcPr>
            <w:tcW w:w="3950" w:type="dxa"/>
            <w:noWrap w:val="0"/>
            <w:vAlign w:val="top"/>
          </w:tcPr>
          <w:p w14:paraId="71FD18DB">
            <w:pPr>
              <w:pStyle w:val="113"/>
              <w:spacing w:before="115"/>
              <w:ind w:right="45"/>
              <w:jc w:val="both"/>
              <w:rPr>
                <w:rFonts w:hint="default"/>
                <w:color w:val="000000"/>
                <w:sz w:val="21"/>
                <w:szCs w:val="21"/>
              </w:rPr>
            </w:pPr>
            <w:r>
              <w:rPr>
                <w:rFonts w:cs="宋体"/>
                <w:color w:val="000000"/>
                <w:sz w:val="21"/>
                <w:szCs w:val="21"/>
              </w:rPr>
              <w:t>（高温软接、零配件、风管）完好、安装牢固</w:t>
            </w:r>
          </w:p>
        </w:tc>
        <w:tc>
          <w:tcPr>
            <w:tcW w:w="1181" w:type="dxa"/>
            <w:noWrap w:val="0"/>
            <w:vAlign w:val="center"/>
          </w:tcPr>
          <w:p w14:paraId="22102D60">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1218679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D8C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8819C64">
            <w:pPr>
              <w:rPr>
                <w:rFonts w:ascii="宋体" w:hAnsi="宋体" w:cs="宋体"/>
                <w:color w:val="000000"/>
                <w:kern w:val="0"/>
                <w:sz w:val="24"/>
                <w:szCs w:val="24"/>
                <w:lang w:bidi="ar"/>
              </w:rPr>
            </w:pPr>
          </w:p>
        </w:tc>
        <w:tc>
          <w:tcPr>
            <w:tcW w:w="1644" w:type="dxa"/>
            <w:vMerge w:val="continue"/>
            <w:noWrap w:val="0"/>
            <w:vAlign w:val="top"/>
          </w:tcPr>
          <w:p w14:paraId="36FE5F99">
            <w:pPr>
              <w:pStyle w:val="16"/>
              <w:jc w:val="center"/>
              <w:rPr>
                <w:color w:val="000000"/>
                <w:w w:val="95"/>
                <w:sz w:val="21"/>
                <w:szCs w:val="21"/>
                <w:lang w:val="en-US" w:eastAsia="zh-CN"/>
              </w:rPr>
            </w:pPr>
          </w:p>
        </w:tc>
        <w:tc>
          <w:tcPr>
            <w:tcW w:w="3950" w:type="dxa"/>
            <w:noWrap w:val="0"/>
            <w:vAlign w:val="top"/>
          </w:tcPr>
          <w:p w14:paraId="0F1D6F09">
            <w:pPr>
              <w:pStyle w:val="113"/>
              <w:spacing w:before="119"/>
              <w:ind w:right="45"/>
              <w:jc w:val="both"/>
              <w:rPr>
                <w:rFonts w:hint="default"/>
                <w:color w:val="000000"/>
                <w:sz w:val="21"/>
                <w:szCs w:val="21"/>
              </w:rPr>
            </w:pPr>
            <w:r>
              <w:rPr>
                <w:rFonts w:cs="宋体"/>
                <w:color w:val="000000"/>
                <w:sz w:val="21"/>
                <w:szCs w:val="21"/>
              </w:rPr>
              <w:t>电机清洁、润滑</w:t>
            </w:r>
          </w:p>
        </w:tc>
        <w:tc>
          <w:tcPr>
            <w:tcW w:w="1181" w:type="dxa"/>
            <w:noWrap w:val="0"/>
            <w:vAlign w:val="center"/>
          </w:tcPr>
          <w:p w14:paraId="6FFAC6C7">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4A4FDE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B07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1BECFFE">
            <w:pPr>
              <w:rPr>
                <w:rFonts w:ascii="宋体" w:hAnsi="宋体" w:cs="宋体"/>
                <w:color w:val="000000"/>
                <w:kern w:val="0"/>
                <w:sz w:val="24"/>
                <w:szCs w:val="24"/>
                <w:lang w:bidi="ar"/>
              </w:rPr>
            </w:pPr>
          </w:p>
        </w:tc>
        <w:tc>
          <w:tcPr>
            <w:tcW w:w="1644" w:type="dxa"/>
            <w:vMerge w:val="restart"/>
            <w:noWrap w:val="0"/>
            <w:vAlign w:val="center"/>
          </w:tcPr>
          <w:p w14:paraId="55E0C12F">
            <w:pPr>
              <w:jc w:val="center"/>
              <w:rPr>
                <w:rFonts w:ascii="宋体" w:hAnsi="宋体" w:cs="宋体"/>
                <w:color w:val="000000"/>
                <w:w w:val="95"/>
                <w:szCs w:val="21"/>
              </w:rPr>
            </w:pPr>
            <w:r>
              <w:rPr>
                <w:rFonts w:hint="eastAsia" w:ascii="宋体" w:hAnsi="宋体" w:cs="宋体"/>
                <w:color w:val="000000"/>
                <w:w w:val="95"/>
                <w:szCs w:val="21"/>
              </w:rPr>
              <w:t>风阀电源箱</w:t>
            </w:r>
          </w:p>
        </w:tc>
        <w:tc>
          <w:tcPr>
            <w:tcW w:w="3950" w:type="dxa"/>
            <w:noWrap w:val="0"/>
            <w:vAlign w:val="center"/>
          </w:tcPr>
          <w:p w14:paraId="31416EB4">
            <w:pPr>
              <w:pStyle w:val="113"/>
              <w:spacing w:before="116"/>
              <w:ind w:right="45"/>
              <w:jc w:val="both"/>
              <w:rPr>
                <w:rFonts w:hint="default"/>
                <w:color w:val="000000"/>
                <w:sz w:val="21"/>
                <w:szCs w:val="21"/>
              </w:rPr>
            </w:pPr>
            <w:r>
              <w:rPr>
                <w:rFonts w:cs="宋体"/>
                <w:color w:val="000000"/>
                <w:sz w:val="21"/>
                <w:szCs w:val="21"/>
              </w:rPr>
              <w:t>箱体内外表</w:t>
            </w:r>
          </w:p>
        </w:tc>
        <w:tc>
          <w:tcPr>
            <w:tcW w:w="1181" w:type="dxa"/>
            <w:noWrap w:val="0"/>
            <w:vAlign w:val="center"/>
          </w:tcPr>
          <w:p w14:paraId="1E085C7D">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8A6AD3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2C0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1EA1376">
            <w:pPr>
              <w:rPr>
                <w:rFonts w:ascii="宋体" w:hAnsi="宋体" w:cs="宋体"/>
                <w:color w:val="000000"/>
                <w:kern w:val="0"/>
                <w:sz w:val="24"/>
                <w:szCs w:val="24"/>
                <w:lang w:bidi="ar"/>
              </w:rPr>
            </w:pPr>
          </w:p>
        </w:tc>
        <w:tc>
          <w:tcPr>
            <w:tcW w:w="1644" w:type="dxa"/>
            <w:vMerge w:val="continue"/>
            <w:noWrap w:val="0"/>
            <w:vAlign w:val="top"/>
          </w:tcPr>
          <w:p w14:paraId="76C44ACC">
            <w:pPr>
              <w:jc w:val="center"/>
              <w:rPr>
                <w:rFonts w:ascii="宋体" w:hAnsi="宋体" w:cs="宋体"/>
                <w:color w:val="000000"/>
                <w:w w:val="95"/>
                <w:szCs w:val="21"/>
              </w:rPr>
            </w:pPr>
          </w:p>
        </w:tc>
        <w:tc>
          <w:tcPr>
            <w:tcW w:w="3950" w:type="dxa"/>
            <w:noWrap w:val="0"/>
            <w:vAlign w:val="top"/>
          </w:tcPr>
          <w:p w14:paraId="002A6BBA">
            <w:pPr>
              <w:pStyle w:val="113"/>
              <w:spacing w:before="116"/>
              <w:ind w:right="45"/>
              <w:jc w:val="both"/>
              <w:rPr>
                <w:rFonts w:hint="default"/>
                <w:color w:val="000000"/>
                <w:sz w:val="21"/>
                <w:szCs w:val="21"/>
              </w:rPr>
            </w:pPr>
            <w:r>
              <w:rPr>
                <w:rFonts w:cs="宋体"/>
                <w:color w:val="000000"/>
                <w:sz w:val="21"/>
                <w:szCs w:val="21"/>
              </w:rPr>
              <w:t>电控柜接线端子接线进行整理、紧固</w:t>
            </w:r>
          </w:p>
        </w:tc>
        <w:tc>
          <w:tcPr>
            <w:tcW w:w="1181" w:type="dxa"/>
            <w:noWrap w:val="0"/>
            <w:vAlign w:val="center"/>
          </w:tcPr>
          <w:p w14:paraId="11E8B5ED">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1284B4C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1D1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CCEC35F">
            <w:pPr>
              <w:rPr>
                <w:rFonts w:ascii="宋体" w:hAnsi="宋体" w:cs="宋体"/>
                <w:color w:val="000000"/>
                <w:kern w:val="0"/>
                <w:sz w:val="24"/>
                <w:szCs w:val="24"/>
                <w:lang w:bidi="ar"/>
              </w:rPr>
            </w:pPr>
          </w:p>
        </w:tc>
        <w:tc>
          <w:tcPr>
            <w:tcW w:w="1644" w:type="dxa"/>
            <w:noWrap w:val="0"/>
            <w:vAlign w:val="center"/>
          </w:tcPr>
          <w:p w14:paraId="2FC0E45A">
            <w:pPr>
              <w:jc w:val="center"/>
              <w:rPr>
                <w:rFonts w:ascii="宋体" w:hAnsi="宋体" w:cs="宋体"/>
                <w:color w:val="000000"/>
                <w:w w:val="95"/>
                <w:szCs w:val="21"/>
              </w:rPr>
            </w:pPr>
            <w:r>
              <w:rPr>
                <w:rFonts w:hint="eastAsia" w:ascii="宋体" w:hAnsi="宋体" w:cs="宋体"/>
                <w:color w:val="000000"/>
                <w:w w:val="95"/>
                <w:szCs w:val="21"/>
              </w:rPr>
              <w:t>送风阀</w:t>
            </w:r>
          </w:p>
        </w:tc>
        <w:tc>
          <w:tcPr>
            <w:tcW w:w="3950" w:type="dxa"/>
            <w:noWrap w:val="0"/>
            <w:vAlign w:val="top"/>
          </w:tcPr>
          <w:p w14:paraId="29444109">
            <w:pPr>
              <w:pStyle w:val="113"/>
              <w:spacing w:before="116"/>
              <w:ind w:right="45"/>
              <w:jc w:val="both"/>
              <w:rPr>
                <w:rFonts w:hint="default"/>
                <w:color w:val="000000"/>
                <w:sz w:val="21"/>
                <w:szCs w:val="21"/>
              </w:rPr>
            </w:pPr>
            <w:r>
              <w:rPr>
                <w:rFonts w:cs="宋体"/>
                <w:color w:val="000000"/>
                <w:sz w:val="21"/>
                <w:szCs w:val="21"/>
              </w:rPr>
              <w:t>零配件完好、现场及远程打开及复位</w:t>
            </w:r>
          </w:p>
        </w:tc>
        <w:tc>
          <w:tcPr>
            <w:tcW w:w="1181" w:type="dxa"/>
            <w:noWrap w:val="0"/>
            <w:vAlign w:val="center"/>
          </w:tcPr>
          <w:p w14:paraId="7468B967">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01464D7A">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482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ACD34C8">
            <w:pPr>
              <w:rPr>
                <w:rFonts w:ascii="宋体" w:hAnsi="宋体" w:cs="宋体"/>
                <w:color w:val="000000"/>
                <w:kern w:val="0"/>
                <w:sz w:val="24"/>
                <w:szCs w:val="24"/>
                <w:lang w:bidi="ar"/>
              </w:rPr>
            </w:pPr>
          </w:p>
        </w:tc>
        <w:tc>
          <w:tcPr>
            <w:tcW w:w="1644" w:type="dxa"/>
            <w:noWrap w:val="0"/>
            <w:vAlign w:val="center"/>
          </w:tcPr>
          <w:p w14:paraId="323D4D8B">
            <w:pPr>
              <w:jc w:val="center"/>
              <w:rPr>
                <w:rFonts w:ascii="宋体" w:hAnsi="宋体" w:cs="宋体"/>
                <w:color w:val="000000"/>
                <w:w w:val="95"/>
                <w:szCs w:val="21"/>
              </w:rPr>
            </w:pPr>
            <w:r>
              <w:rPr>
                <w:rFonts w:hint="eastAsia" w:ascii="宋体" w:hAnsi="宋体" w:cs="宋体"/>
                <w:color w:val="000000"/>
                <w:szCs w:val="21"/>
              </w:rPr>
              <w:t>排烟阀或防火阀</w:t>
            </w:r>
          </w:p>
        </w:tc>
        <w:tc>
          <w:tcPr>
            <w:tcW w:w="3950" w:type="dxa"/>
            <w:noWrap w:val="0"/>
            <w:vAlign w:val="top"/>
          </w:tcPr>
          <w:p w14:paraId="45CCD3C1">
            <w:pPr>
              <w:pStyle w:val="113"/>
              <w:spacing w:before="116"/>
              <w:ind w:right="45"/>
              <w:jc w:val="both"/>
              <w:rPr>
                <w:rFonts w:hint="default"/>
                <w:color w:val="000000"/>
                <w:sz w:val="21"/>
                <w:szCs w:val="21"/>
              </w:rPr>
            </w:pPr>
            <w:r>
              <w:rPr>
                <w:rFonts w:cs="宋体"/>
                <w:color w:val="000000"/>
                <w:sz w:val="21"/>
                <w:szCs w:val="21"/>
              </w:rPr>
              <w:t>零配件完好、现场及远程打开及复位</w:t>
            </w:r>
          </w:p>
        </w:tc>
        <w:tc>
          <w:tcPr>
            <w:tcW w:w="1181" w:type="dxa"/>
            <w:noWrap w:val="0"/>
            <w:vAlign w:val="center"/>
          </w:tcPr>
          <w:p w14:paraId="134F59BC">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17BA875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5A9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75DDBB5">
            <w:pPr>
              <w:rPr>
                <w:rFonts w:ascii="宋体" w:hAnsi="宋体" w:cs="宋体"/>
                <w:color w:val="000000"/>
                <w:kern w:val="0"/>
                <w:sz w:val="24"/>
                <w:szCs w:val="24"/>
                <w:lang w:bidi="ar"/>
              </w:rPr>
            </w:pPr>
          </w:p>
        </w:tc>
        <w:tc>
          <w:tcPr>
            <w:tcW w:w="1644" w:type="dxa"/>
            <w:noWrap w:val="0"/>
            <w:vAlign w:val="center"/>
          </w:tcPr>
          <w:p w14:paraId="5C6A1985">
            <w:pPr>
              <w:jc w:val="center"/>
              <w:rPr>
                <w:rFonts w:ascii="宋体" w:hAnsi="宋体" w:cs="宋体"/>
                <w:color w:val="000000"/>
                <w:szCs w:val="21"/>
              </w:rPr>
            </w:pPr>
            <w:r>
              <w:rPr>
                <w:rFonts w:hint="eastAsia" w:ascii="宋体" w:hAnsi="宋体" w:cs="宋体"/>
                <w:color w:val="000000"/>
                <w:w w:val="95"/>
                <w:szCs w:val="21"/>
              </w:rPr>
              <w:t>排烟防火阀</w:t>
            </w:r>
          </w:p>
        </w:tc>
        <w:tc>
          <w:tcPr>
            <w:tcW w:w="3950" w:type="dxa"/>
            <w:noWrap w:val="0"/>
            <w:vAlign w:val="top"/>
          </w:tcPr>
          <w:p w14:paraId="7D91922C">
            <w:pPr>
              <w:pStyle w:val="113"/>
              <w:spacing w:before="116"/>
              <w:ind w:right="45"/>
              <w:jc w:val="both"/>
              <w:rPr>
                <w:rFonts w:hint="default"/>
                <w:color w:val="000000"/>
                <w:sz w:val="21"/>
                <w:szCs w:val="21"/>
              </w:rPr>
            </w:pPr>
            <w:r>
              <w:rPr>
                <w:rFonts w:cs="宋体"/>
                <w:color w:val="000000"/>
                <w:sz w:val="21"/>
                <w:szCs w:val="21"/>
              </w:rPr>
              <w:t>零配件完好；现场及远程打开及复位；关闭停风机功能</w:t>
            </w:r>
          </w:p>
        </w:tc>
        <w:tc>
          <w:tcPr>
            <w:tcW w:w="1181" w:type="dxa"/>
            <w:noWrap w:val="0"/>
            <w:vAlign w:val="center"/>
          </w:tcPr>
          <w:p w14:paraId="67300BE5">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0E3141A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765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8C25A0D">
            <w:pPr>
              <w:rPr>
                <w:rFonts w:ascii="宋体" w:hAnsi="宋体" w:cs="宋体"/>
                <w:color w:val="000000"/>
                <w:kern w:val="0"/>
                <w:sz w:val="24"/>
                <w:szCs w:val="24"/>
                <w:lang w:bidi="ar"/>
              </w:rPr>
            </w:pPr>
          </w:p>
        </w:tc>
        <w:tc>
          <w:tcPr>
            <w:tcW w:w="1644" w:type="dxa"/>
            <w:noWrap w:val="0"/>
            <w:vAlign w:val="center"/>
          </w:tcPr>
          <w:p w14:paraId="348E092F">
            <w:pPr>
              <w:jc w:val="center"/>
              <w:rPr>
                <w:rFonts w:ascii="宋体" w:hAnsi="宋体" w:cs="宋体"/>
                <w:color w:val="000000"/>
                <w:w w:val="95"/>
                <w:szCs w:val="21"/>
              </w:rPr>
            </w:pPr>
            <w:r>
              <w:rPr>
                <w:rFonts w:hint="eastAsia" w:ascii="宋体" w:hAnsi="宋体" w:cs="宋体"/>
                <w:color w:val="000000"/>
                <w:w w:val="95"/>
                <w:szCs w:val="21"/>
              </w:rPr>
              <w:t>阀板补漆</w:t>
            </w:r>
          </w:p>
        </w:tc>
        <w:tc>
          <w:tcPr>
            <w:tcW w:w="3950" w:type="dxa"/>
            <w:noWrap w:val="0"/>
            <w:vAlign w:val="top"/>
          </w:tcPr>
          <w:p w14:paraId="2A110719">
            <w:pPr>
              <w:pStyle w:val="113"/>
              <w:spacing w:before="116"/>
              <w:ind w:right="45"/>
              <w:jc w:val="both"/>
              <w:rPr>
                <w:rFonts w:hint="default"/>
                <w:color w:val="000000"/>
                <w:sz w:val="21"/>
                <w:szCs w:val="21"/>
              </w:rPr>
            </w:pPr>
          </w:p>
        </w:tc>
        <w:tc>
          <w:tcPr>
            <w:tcW w:w="1181" w:type="dxa"/>
            <w:noWrap w:val="0"/>
            <w:vAlign w:val="center"/>
          </w:tcPr>
          <w:p w14:paraId="2610D813">
            <w:pPr>
              <w:jc w:val="center"/>
              <w:rPr>
                <w:rFonts w:ascii="宋体" w:hAnsi="宋体" w:cs="宋体"/>
                <w:color w:val="000000"/>
                <w:kern w:val="0"/>
                <w:sz w:val="24"/>
                <w:szCs w:val="24"/>
                <w:lang w:bidi="ar"/>
              </w:rPr>
            </w:pPr>
            <w:r>
              <w:rPr>
                <w:rFonts w:hint="eastAsia" w:ascii="宋体" w:hAnsi="宋体" w:cs="宋体"/>
                <w:color w:val="000000"/>
                <w:kern w:val="0"/>
                <w:szCs w:val="21"/>
                <w:lang w:bidi="ar"/>
              </w:rPr>
              <w:t>补漆</w:t>
            </w:r>
          </w:p>
        </w:tc>
        <w:tc>
          <w:tcPr>
            <w:tcW w:w="1342" w:type="dxa"/>
            <w:noWrap w:val="0"/>
            <w:vAlign w:val="center"/>
          </w:tcPr>
          <w:p w14:paraId="63B15CE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1D8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620B178E">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防火卷帘系统</w:t>
            </w:r>
          </w:p>
        </w:tc>
        <w:tc>
          <w:tcPr>
            <w:tcW w:w="1644" w:type="dxa"/>
            <w:noWrap w:val="0"/>
            <w:vAlign w:val="center"/>
          </w:tcPr>
          <w:p w14:paraId="722AFE60">
            <w:pPr>
              <w:jc w:val="center"/>
              <w:rPr>
                <w:rFonts w:ascii="宋体" w:hAnsi="宋体" w:cs="宋体"/>
                <w:color w:val="000000"/>
                <w:w w:val="95"/>
                <w:szCs w:val="21"/>
              </w:rPr>
            </w:pPr>
            <w:r>
              <w:rPr>
                <w:rFonts w:hint="eastAsia" w:ascii="宋体" w:hAnsi="宋体" w:cs="宋体"/>
                <w:color w:val="000000"/>
                <w:w w:val="95"/>
                <w:szCs w:val="21"/>
              </w:rPr>
              <w:t>帘板</w:t>
            </w:r>
          </w:p>
        </w:tc>
        <w:tc>
          <w:tcPr>
            <w:tcW w:w="3950" w:type="dxa"/>
            <w:noWrap w:val="0"/>
            <w:vAlign w:val="top"/>
          </w:tcPr>
          <w:p w14:paraId="1A02112C">
            <w:pPr>
              <w:pStyle w:val="113"/>
              <w:spacing w:before="89"/>
              <w:ind w:right="45"/>
              <w:jc w:val="both"/>
              <w:rPr>
                <w:rFonts w:hint="default"/>
                <w:color w:val="000000"/>
                <w:sz w:val="21"/>
                <w:szCs w:val="21"/>
              </w:rPr>
            </w:pPr>
            <w:r>
              <w:rPr>
                <w:rFonts w:cs="宋体"/>
                <w:color w:val="000000"/>
                <w:sz w:val="21"/>
                <w:szCs w:val="21"/>
              </w:rPr>
              <w:t>检查外观</w:t>
            </w:r>
          </w:p>
        </w:tc>
        <w:tc>
          <w:tcPr>
            <w:tcW w:w="1181" w:type="dxa"/>
            <w:noWrap w:val="0"/>
            <w:vAlign w:val="center"/>
          </w:tcPr>
          <w:p w14:paraId="6F21B6DA">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048166E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9BA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D6B03BF">
            <w:pPr>
              <w:rPr>
                <w:rFonts w:ascii="宋体" w:hAnsi="宋体" w:cs="宋体"/>
                <w:color w:val="000000"/>
                <w:kern w:val="0"/>
                <w:sz w:val="24"/>
                <w:szCs w:val="24"/>
                <w:lang w:bidi="ar"/>
              </w:rPr>
            </w:pPr>
          </w:p>
        </w:tc>
        <w:tc>
          <w:tcPr>
            <w:tcW w:w="1644" w:type="dxa"/>
            <w:vMerge w:val="restart"/>
            <w:noWrap w:val="0"/>
            <w:vAlign w:val="center"/>
          </w:tcPr>
          <w:p w14:paraId="5CCE4622">
            <w:pPr>
              <w:jc w:val="center"/>
              <w:rPr>
                <w:rFonts w:ascii="宋体" w:hAnsi="宋体" w:cs="宋体"/>
                <w:color w:val="000000"/>
                <w:w w:val="95"/>
                <w:szCs w:val="21"/>
              </w:rPr>
            </w:pPr>
            <w:r>
              <w:rPr>
                <w:rFonts w:hint="eastAsia" w:ascii="宋体" w:hAnsi="宋体" w:cs="宋体"/>
                <w:color w:val="000000"/>
                <w:w w:val="95"/>
                <w:szCs w:val="21"/>
              </w:rPr>
              <w:t>电控箱及手动按钮</w:t>
            </w:r>
          </w:p>
        </w:tc>
        <w:tc>
          <w:tcPr>
            <w:tcW w:w="3950" w:type="dxa"/>
            <w:noWrap w:val="0"/>
            <w:vAlign w:val="top"/>
          </w:tcPr>
          <w:p w14:paraId="5BF80BAE">
            <w:pPr>
              <w:rPr>
                <w:rFonts w:ascii="宋体" w:hAnsi="宋体" w:cs="宋体"/>
                <w:color w:val="000000"/>
                <w:szCs w:val="21"/>
              </w:rPr>
            </w:pPr>
            <w:r>
              <w:rPr>
                <w:rFonts w:hint="eastAsia" w:ascii="宋体" w:hAnsi="宋体" w:cs="宋体"/>
                <w:color w:val="000000"/>
                <w:szCs w:val="21"/>
              </w:rPr>
              <w:t>功能（各显示功能；现场启动功能；自动启动功能）、上下限位能自动停止、一步降或二步降正确</w:t>
            </w:r>
          </w:p>
        </w:tc>
        <w:tc>
          <w:tcPr>
            <w:tcW w:w="1181" w:type="dxa"/>
            <w:noWrap w:val="0"/>
            <w:vAlign w:val="center"/>
          </w:tcPr>
          <w:p w14:paraId="71E96C97">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04D8ADA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128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9BEC7DD">
            <w:pPr>
              <w:rPr>
                <w:rFonts w:ascii="宋体" w:hAnsi="宋体" w:cs="宋体"/>
                <w:color w:val="000000"/>
                <w:kern w:val="0"/>
                <w:sz w:val="24"/>
                <w:szCs w:val="24"/>
                <w:lang w:bidi="ar"/>
              </w:rPr>
            </w:pPr>
          </w:p>
        </w:tc>
        <w:tc>
          <w:tcPr>
            <w:tcW w:w="1644" w:type="dxa"/>
            <w:vMerge w:val="continue"/>
            <w:noWrap w:val="0"/>
            <w:vAlign w:val="center"/>
          </w:tcPr>
          <w:p w14:paraId="449A8F61">
            <w:pPr>
              <w:jc w:val="center"/>
              <w:rPr>
                <w:rFonts w:ascii="宋体" w:hAnsi="宋体" w:cs="宋体"/>
                <w:color w:val="000000"/>
                <w:w w:val="95"/>
                <w:szCs w:val="21"/>
              </w:rPr>
            </w:pPr>
          </w:p>
        </w:tc>
        <w:tc>
          <w:tcPr>
            <w:tcW w:w="3950" w:type="dxa"/>
            <w:noWrap w:val="0"/>
            <w:vAlign w:val="top"/>
          </w:tcPr>
          <w:p w14:paraId="409726CB">
            <w:pPr>
              <w:pStyle w:val="113"/>
              <w:spacing w:before="85"/>
              <w:ind w:right="45"/>
              <w:jc w:val="both"/>
              <w:rPr>
                <w:rFonts w:hint="default"/>
                <w:color w:val="000000"/>
                <w:sz w:val="21"/>
                <w:szCs w:val="21"/>
              </w:rPr>
            </w:pPr>
            <w:r>
              <w:rPr>
                <w:rFonts w:cs="宋体"/>
                <w:color w:val="000000"/>
                <w:sz w:val="21"/>
                <w:szCs w:val="21"/>
              </w:rPr>
              <w:t>上升、下降</w:t>
            </w:r>
          </w:p>
        </w:tc>
        <w:tc>
          <w:tcPr>
            <w:tcW w:w="1181" w:type="dxa"/>
            <w:noWrap w:val="0"/>
            <w:vAlign w:val="center"/>
          </w:tcPr>
          <w:p w14:paraId="3B0B439F">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167C7F8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A3D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74D6B43">
            <w:pPr>
              <w:rPr>
                <w:rFonts w:ascii="宋体" w:hAnsi="宋体" w:cs="宋体"/>
                <w:color w:val="000000"/>
                <w:kern w:val="0"/>
                <w:sz w:val="24"/>
                <w:szCs w:val="24"/>
                <w:lang w:bidi="ar"/>
              </w:rPr>
            </w:pPr>
          </w:p>
        </w:tc>
        <w:tc>
          <w:tcPr>
            <w:tcW w:w="1644" w:type="dxa"/>
            <w:vMerge w:val="continue"/>
            <w:noWrap w:val="0"/>
            <w:vAlign w:val="top"/>
          </w:tcPr>
          <w:p w14:paraId="012C003E">
            <w:pPr>
              <w:jc w:val="center"/>
              <w:rPr>
                <w:rFonts w:ascii="宋体" w:hAnsi="宋体" w:cs="宋体"/>
                <w:color w:val="000000"/>
                <w:w w:val="95"/>
                <w:szCs w:val="21"/>
              </w:rPr>
            </w:pPr>
          </w:p>
        </w:tc>
        <w:tc>
          <w:tcPr>
            <w:tcW w:w="3950" w:type="dxa"/>
            <w:noWrap w:val="0"/>
            <w:vAlign w:val="top"/>
          </w:tcPr>
          <w:p w14:paraId="0C74E392">
            <w:pPr>
              <w:pStyle w:val="113"/>
              <w:spacing w:before="85"/>
              <w:ind w:right="45"/>
              <w:jc w:val="both"/>
              <w:rPr>
                <w:rFonts w:hint="default"/>
                <w:color w:val="000000"/>
                <w:sz w:val="21"/>
                <w:szCs w:val="21"/>
              </w:rPr>
            </w:pPr>
            <w:r>
              <w:rPr>
                <w:rFonts w:cs="宋体"/>
                <w:color w:val="000000"/>
                <w:sz w:val="21"/>
                <w:szCs w:val="21"/>
              </w:rPr>
              <w:t>主备电切换</w:t>
            </w:r>
          </w:p>
        </w:tc>
        <w:tc>
          <w:tcPr>
            <w:tcW w:w="1181" w:type="dxa"/>
            <w:noWrap w:val="0"/>
            <w:vAlign w:val="center"/>
          </w:tcPr>
          <w:p w14:paraId="78478E43">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0CC6A8E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CA0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D9A9B71">
            <w:pPr>
              <w:rPr>
                <w:rFonts w:ascii="宋体" w:hAnsi="宋体" w:cs="宋体"/>
                <w:color w:val="000000"/>
                <w:kern w:val="0"/>
                <w:sz w:val="24"/>
                <w:szCs w:val="24"/>
                <w:lang w:bidi="ar"/>
              </w:rPr>
            </w:pPr>
          </w:p>
        </w:tc>
        <w:tc>
          <w:tcPr>
            <w:tcW w:w="1644" w:type="dxa"/>
            <w:vMerge w:val="continue"/>
            <w:noWrap w:val="0"/>
            <w:vAlign w:val="top"/>
          </w:tcPr>
          <w:p w14:paraId="5F027221">
            <w:pPr>
              <w:jc w:val="center"/>
              <w:rPr>
                <w:rFonts w:ascii="宋体" w:hAnsi="宋体" w:cs="宋体"/>
                <w:color w:val="000000"/>
                <w:w w:val="95"/>
                <w:szCs w:val="21"/>
              </w:rPr>
            </w:pPr>
          </w:p>
        </w:tc>
        <w:tc>
          <w:tcPr>
            <w:tcW w:w="3950" w:type="dxa"/>
            <w:noWrap w:val="0"/>
            <w:vAlign w:val="top"/>
          </w:tcPr>
          <w:p w14:paraId="2480807B">
            <w:pPr>
              <w:pStyle w:val="113"/>
              <w:spacing w:before="87"/>
              <w:ind w:right="45"/>
              <w:jc w:val="both"/>
              <w:rPr>
                <w:rFonts w:hint="default"/>
                <w:color w:val="000000"/>
                <w:sz w:val="21"/>
                <w:szCs w:val="21"/>
              </w:rPr>
            </w:pPr>
            <w:r>
              <w:rPr>
                <w:rFonts w:cs="宋体"/>
                <w:color w:val="000000"/>
                <w:sz w:val="21"/>
                <w:szCs w:val="21"/>
              </w:rPr>
              <w:t>信号线、电源线绝缘电阻以及接地线接地</w:t>
            </w:r>
          </w:p>
        </w:tc>
        <w:tc>
          <w:tcPr>
            <w:tcW w:w="1181" w:type="dxa"/>
            <w:noWrap w:val="0"/>
            <w:vAlign w:val="center"/>
          </w:tcPr>
          <w:p w14:paraId="44B8A378">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B4F546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EC4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F508245">
            <w:pPr>
              <w:rPr>
                <w:rFonts w:ascii="宋体" w:hAnsi="宋体" w:cs="宋体"/>
                <w:color w:val="000000"/>
                <w:kern w:val="0"/>
                <w:sz w:val="24"/>
                <w:szCs w:val="24"/>
                <w:lang w:bidi="ar"/>
              </w:rPr>
            </w:pPr>
          </w:p>
        </w:tc>
        <w:tc>
          <w:tcPr>
            <w:tcW w:w="1644" w:type="dxa"/>
            <w:vMerge w:val="continue"/>
            <w:noWrap w:val="0"/>
            <w:vAlign w:val="top"/>
          </w:tcPr>
          <w:p w14:paraId="194B7AC5">
            <w:pPr>
              <w:jc w:val="center"/>
              <w:rPr>
                <w:rFonts w:ascii="宋体" w:hAnsi="宋体" w:cs="宋体"/>
                <w:color w:val="000000"/>
                <w:w w:val="95"/>
                <w:szCs w:val="21"/>
              </w:rPr>
            </w:pPr>
          </w:p>
        </w:tc>
        <w:tc>
          <w:tcPr>
            <w:tcW w:w="3950" w:type="dxa"/>
            <w:noWrap w:val="0"/>
            <w:vAlign w:val="top"/>
          </w:tcPr>
          <w:p w14:paraId="04CC6CB9">
            <w:pPr>
              <w:pStyle w:val="113"/>
              <w:spacing w:before="86"/>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center"/>
          </w:tcPr>
          <w:p w14:paraId="6654B221">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9E435D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704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26CDDF6">
            <w:pPr>
              <w:rPr>
                <w:rFonts w:ascii="宋体" w:hAnsi="宋体" w:cs="宋体"/>
                <w:color w:val="000000"/>
                <w:kern w:val="0"/>
                <w:sz w:val="24"/>
                <w:szCs w:val="24"/>
                <w:lang w:bidi="ar"/>
              </w:rPr>
            </w:pPr>
          </w:p>
        </w:tc>
        <w:tc>
          <w:tcPr>
            <w:tcW w:w="1644" w:type="dxa"/>
            <w:vMerge w:val="continue"/>
            <w:noWrap w:val="0"/>
            <w:vAlign w:val="top"/>
          </w:tcPr>
          <w:p w14:paraId="44945472">
            <w:pPr>
              <w:jc w:val="center"/>
              <w:rPr>
                <w:rFonts w:ascii="宋体" w:hAnsi="宋体" w:cs="宋体"/>
                <w:color w:val="000000"/>
                <w:w w:val="95"/>
                <w:szCs w:val="21"/>
              </w:rPr>
            </w:pPr>
          </w:p>
        </w:tc>
        <w:tc>
          <w:tcPr>
            <w:tcW w:w="3950" w:type="dxa"/>
            <w:noWrap w:val="0"/>
            <w:vAlign w:val="top"/>
          </w:tcPr>
          <w:p w14:paraId="3CFCF089">
            <w:pPr>
              <w:pStyle w:val="113"/>
              <w:spacing w:before="87"/>
              <w:ind w:right="45"/>
              <w:jc w:val="both"/>
              <w:rPr>
                <w:rFonts w:hint="default"/>
                <w:color w:val="000000"/>
                <w:sz w:val="21"/>
                <w:szCs w:val="21"/>
              </w:rPr>
            </w:pPr>
            <w:r>
              <w:rPr>
                <w:rFonts w:cs="宋体"/>
                <w:color w:val="000000"/>
                <w:sz w:val="21"/>
                <w:szCs w:val="21"/>
              </w:rPr>
              <w:t>箱体内外表面清洁</w:t>
            </w:r>
          </w:p>
        </w:tc>
        <w:tc>
          <w:tcPr>
            <w:tcW w:w="1181" w:type="dxa"/>
            <w:noWrap w:val="0"/>
            <w:vAlign w:val="center"/>
          </w:tcPr>
          <w:p w14:paraId="2BB8CB41">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828D3E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7B6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139EEF2">
            <w:pPr>
              <w:rPr>
                <w:rFonts w:ascii="宋体" w:hAnsi="宋体" w:cs="宋体"/>
                <w:color w:val="000000"/>
                <w:kern w:val="0"/>
                <w:sz w:val="24"/>
                <w:szCs w:val="24"/>
                <w:lang w:bidi="ar"/>
              </w:rPr>
            </w:pPr>
          </w:p>
        </w:tc>
        <w:tc>
          <w:tcPr>
            <w:tcW w:w="1644" w:type="dxa"/>
            <w:vMerge w:val="continue"/>
            <w:noWrap w:val="0"/>
            <w:vAlign w:val="top"/>
          </w:tcPr>
          <w:p w14:paraId="1B33D905">
            <w:pPr>
              <w:jc w:val="center"/>
              <w:rPr>
                <w:rFonts w:ascii="宋体" w:hAnsi="宋体" w:cs="宋体"/>
                <w:color w:val="000000"/>
                <w:w w:val="95"/>
                <w:szCs w:val="21"/>
              </w:rPr>
            </w:pPr>
          </w:p>
        </w:tc>
        <w:tc>
          <w:tcPr>
            <w:tcW w:w="3950" w:type="dxa"/>
            <w:noWrap w:val="0"/>
            <w:vAlign w:val="top"/>
          </w:tcPr>
          <w:p w14:paraId="7299056D">
            <w:pPr>
              <w:pStyle w:val="113"/>
              <w:spacing w:before="88"/>
              <w:ind w:right="45"/>
              <w:jc w:val="both"/>
              <w:rPr>
                <w:rFonts w:hint="default"/>
                <w:color w:val="000000"/>
                <w:sz w:val="21"/>
                <w:szCs w:val="21"/>
              </w:rPr>
            </w:pPr>
            <w:r>
              <w:rPr>
                <w:rFonts w:cs="宋体"/>
                <w:color w:val="000000"/>
                <w:sz w:val="21"/>
                <w:szCs w:val="21"/>
              </w:rPr>
              <w:t>设备元器件、标识的完好情况</w:t>
            </w:r>
          </w:p>
        </w:tc>
        <w:tc>
          <w:tcPr>
            <w:tcW w:w="1181" w:type="dxa"/>
            <w:noWrap w:val="0"/>
            <w:vAlign w:val="center"/>
          </w:tcPr>
          <w:p w14:paraId="442C3287">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08A575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C9E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C72DD13">
            <w:pPr>
              <w:rPr>
                <w:rFonts w:ascii="宋体" w:hAnsi="宋体" w:cs="宋体"/>
                <w:color w:val="000000"/>
                <w:kern w:val="0"/>
                <w:sz w:val="24"/>
                <w:szCs w:val="24"/>
                <w:lang w:bidi="ar"/>
              </w:rPr>
            </w:pPr>
          </w:p>
        </w:tc>
        <w:tc>
          <w:tcPr>
            <w:tcW w:w="1644" w:type="dxa"/>
            <w:vMerge w:val="continue"/>
            <w:noWrap w:val="0"/>
            <w:vAlign w:val="top"/>
          </w:tcPr>
          <w:p w14:paraId="6A162142">
            <w:pPr>
              <w:jc w:val="center"/>
              <w:rPr>
                <w:rFonts w:ascii="宋体" w:hAnsi="宋体" w:cs="宋体"/>
                <w:color w:val="000000"/>
                <w:w w:val="95"/>
                <w:szCs w:val="21"/>
              </w:rPr>
            </w:pPr>
          </w:p>
        </w:tc>
        <w:tc>
          <w:tcPr>
            <w:tcW w:w="3950" w:type="dxa"/>
            <w:noWrap w:val="0"/>
            <w:vAlign w:val="top"/>
          </w:tcPr>
          <w:p w14:paraId="0BC1E582">
            <w:pPr>
              <w:pStyle w:val="113"/>
              <w:spacing w:before="87"/>
              <w:ind w:right="45"/>
              <w:jc w:val="both"/>
              <w:rPr>
                <w:rFonts w:hint="default"/>
                <w:color w:val="000000"/>
                <w:sz w:val="21"/>
                <w:szCs w:val="21"/>
              </w:rPr>
            </w:pPr>
            <w:r>
              <w:rPr>
                <w:rFonts w:cs="宋体"/>
                <w:color w:val="000000"/>
                <w:sz w:val="21"/>
                <w:szCs w:val="21"/>
              </w:rPr>
              <w:t>接线端子接线进行整理、紧固</w:t>
            </w:r>
          </w:p>
        </w:tc>
        <w:tc>
          <w:tcPr>
            <w:tcW w:w="1181" w:type="dxa"/>
            <w:noWrap w:val="0"/>
            <w:vAlign w:val="center"/>
          </w:tcPr>
          <w:p w14:paraId="22D2551A">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67F7EB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1FC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06C3BA0">
            <w:pPr>
              <w:rPr>
                <w:rFonts w:ascii="宋体" w:hAnsi="宋体" w:cs="宋体"/>
                <w:color w:val="000000"/>
                <w:kern w:val="0"/>
                <w:sz w:val="24"/>
                <w:szCs w:val="24"/>
                <w:lang w:bidi="ar"/>
              </w:rPr>
            </w:pPr>
          </w:p>
        </w:tc>
        <w:tc>
          <w:tcPr>
            <w:tcW w:w="1644" w:type="dxa"/>
            <w:noWrap w:val="0"/>
            <w:vAlign w:val="center"/>
          </w:tcPr>
          <w:p w14:paraId="465B47BE">
            <w:pPr>
              <w:pStyle w:val="16"/>
              <w:jc w:val="center"/>
              <w:rPr>
                <w:color w:val="000000"/>
                <w:w w:val="95"/>
                <w:sz w:val="21"/>
                <w:szCs w:val="21"/>
                <w:lang w:val="en-US" w:eastAsia="zh-CN"/>
              </w:rPr>
            </w:pPr>
            <w:r>
              <w:rPr>
                <w:rFonts w:hint="eastAsia" w:hAnsi="宋体" w:cs="宋体"/>
                <w:color w:val="000000"/>
                <w:w w:val="95"/>
                <w:sz w:val="21"/>
                <w:szCs w:val="21"/>
                <w:lang w:val="en-US" w:eastAsia="zh-CN"/>
              </w:rPr>
              <w:t>应急操作装置</w:t>
            </w:r>
          </w:p>
        </w:tc>
        <w:tc>
          <w:tcPr>
            <w:tcW w:w="3950" w:type="dxa"/>
            <w:noWrap w:val="0"/>
            <w:vAlign w:val="top"/>
          </w:tcPr>
          <w:p w14:paraId="556BA82A">
            <w:pPr>
              <w:pStyle w:val="113"/>
              <w:spacing w:before="85"/>
              <w:ind w:right="45"/>
              <w:jc w:val="both"/>
              <w:rPr>
                <w:rFonts w:hint="default"/>
                <w:color w:val="000000"/>
                <w:sz w:val="21"/>
                <w:szCs w:val="21"/>
              </w:rPr>
            </w:pPr>
            <w:r>
              <w:rPr>
                <w:rFonts w:cs="宋体"/>
                <w:color w:val="000000"/>
                <w:sz w:val="21"/>
                <w:szCs w:val="21"/>
              </w:rPr>
              <w:t>上升、下降</w:t>
            </w:r>
          </w:p>
        </w:tc>
        <w:tc>
          <w:tcPr>
            <w:tcW w:w="1181" w:type="dxa"/>
            <w:noWrap w:val="0"/>
            <w:vAlign w:val="center"/>
          </w:tcPr>
          <w:p w14:paraId="29A9F675">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7A9DEF2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4F0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FF2DE19">
            <w:pPr>
              <w:rPr>
                <w:rFonts w:ascii="宋体" w:hAnsi="宋体" w:cs="宋体"/>
                <w:color w:val="000000"/>
                <w:kern w:val="0"/>
                <w:sz w:val="24"/>
                <w:szCs w:val="24"/>
                <w:lang w:bidi="ar"/>
              </w:rPr>
            </w:pPr>
          </w:p>
        </w:tc>
        <w:tc>
          <w:tcPr>
            <w:tcW w:w="1644" w:type="dxa"/>
            <w:noWrap w:val="0"/>
            <w:vAlign w:val="center"/>
          </w:tcPr>
          <w:p w14:paraId="34E21B5E">
            <w:pPr>
              <w:pStyle w:val="16"/>
              <w:jc w:val="center"/>
              <w:rPr>
                <w:color w:val="000000"/>
                <w:w w:val="95"/>
                <w:sz w:val="21"/>
                <w:szCs w:val="21"/>
                <w:lang w:val="en-US" w:eastAsia="zh-CN"/>
              </w:rPr>
            </w:pPr>
            <w:r>
              <w:rPr>
                <w:rFonts w:hint="eastAsia" w:hAnsi="宋体" w:cs="宋体"/>
                <w:color w:val="000000"/>
                <w:w w:val="95"/>
                <w:sz w:val="21"/>
                <w:szCs w:val="21"/>
                <w:lang w:val="en-US" w:eastAsia="zh-CN"/>
              </w:rPr>
              <w:t>轨道、转轴、齿轮</w:t>
            </w:r>
          </w:p>
        </w:tc>
        <w:tc>
          <w:tcPr>
            <w:tcW w:w="3950" w:type="dxa"/>
            <w:noWrap w:val="0"/>
            <w:vAlign w:val="top"/>
          </w:tcPr>
          <w:p w14:paraId="4094C0F8">
            <w:pPr>
              <w:pStyle w:val="113"/>
              <w:spacing w:before="85"/>
              <w:ind w:right="45"/>
              <w:jc w:val="both"/>
              <w:rPr>
                <w:rFonts w:hint="default"/>
                <w:color w:val="000000"/>
                <w:sz w:val="21"/>
                <w:szCs w:val="21"/>
              </w:rPr>
            </w:pPr>
            <w:r>
              <w:rPr>
                <w:rFonts w:cs="宋体"/>
                <w:color w:val="000000"/>
                <w:sz w:val="21"/>
                <w:szCs w:val="21"/>
              </w:rPr>
              <w:t>清洁、润滑、检查</w:t>
            </w:r>
          </w:p>
        </w:tc>
        <w:tc>
          <w:tcPr>
            <w:tcW w:w="1181" w:type="dxa"/>
            <w:noWrap w:val="0"/>
            <w:vAlign w:val="center"/>
          </w:tcPr>
          <w:p w14:paraId="0CD86FAE">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1337A0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3F8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76D5914">
            <w:pPr>
              <w:rPr>
                <w:rFonts w:ascii="宋体" w:hAnsi="宋体" w:cs="宋体"/>
                <w:color w:val="000000"/>
                <w:kern w:val="0"/>
                <w:sz w:val="24"/>
                <w:szCs w:val="24"/>
                <w:lang w:bidi="ar"/>
              </w:rPr>
            </w:pPr>
          </w:p>
        </w:tc>
        <w:tc>
          <w:tcPr>
            <w:tcW w:w="1644" w:type="dxa"/>
            <w:noWrap w:val="0"/>
            <w:vAlign w:val="center"/>
          </w:tcPr>
          <w:p w14:paraId="26BF7A3F">
            <w:pPr>
              <w:rPr>
                <w:rFonts w:ascii="宋体" w:hAnsi="宋体" w:cs="宋体"/>
                <w:color w:val="000000"/>
                <w:szCs w:val="21"/>
              </w:rPr>
            </w:pPr>
            <w:r>
              <w:rPr>
                <w:rFonts w:hint="eastAsia" w:ascii="宋体" w:hAnsi="宋体" w:cs="宋体"/>
                <w:color w:val="000000"/>
                <w:w w:val="95"/>
                <w:szCs w:val="21"/>
              </w:rPr>
              <w:t>系统联动试验</w:t>
            </w:r>
          </w:p>
        </w:tc>
        <w:tc>
          <w:tcPr>
            <w:tcW w:w="3950" w:type="dxa"/>
            <w:noWrap w:val="0"/>
            <w:vAlign w:val="center"/>
          </w:tcPr>
          <w:p w14:paraId="07FFFC8C">
            <w:pPr>
              <w:pStyle w:val="113"/>
              <w:spacing w:before="17"/>
              <w:ind w:right="45"/>
              <w:jc w:val="both"/>
              <w:rPr>
                <w:rFonts w:hint="default"/>
                <w:color w:val="000000"/>
                <w:sz w:val="21"/>
                <w:szCs w:val="21"/>
              </w:rPr>
            </w:pPr>
          </w:p>
        </w:tc>
        <w:tc>
          <w:tcPr>
            <w:tcW w:w="1181" w:type="dxa"/>
            <w:noWrap w:val="0"/>
            <w:vAlign w:val="top"/>
          </w:tcPr>
          <w:p w14:paraId="5A63FD66">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133BBCED">
            <w:pPr>
              <w:rPr>
                <w:rFonts w:ascii="宋体" w:hAnsi="宋体" w:cs="宋体"/>
                <w:color w:val="000000"/>
                <w:kern w:val="0"/>
                <w:szCs w:val="21"/>
                <w:lang w:bidi="ar"/>
              </w:rPr>
            </w:pPr>
            <w:r>
              <w:rPr>
                <w:rFonts w:hint="eastAsia" w:ascii="宋体" w:hAnsi="宋体" w:cs="宋体"/>
                <w:color w:val="000000"/>
                <w:kern w:val="0"/>
                <w:szCs w:val="21"/>
                <w:lang w:bidi="ar"/>
              </w:rPr>
              <w:t>非开放时间</w:t>
            </w:r>
          </w:p>
        </w:tc>
      </w:tr>
      <w:tr w14:paraId="1F0C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246DA286">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应急疏散系统</w:t>
            </w:r>
          </w:p>
        </w:tc>
        <w:tc>
          <w:tcPr>
            <w:tcW w:w="1644" w:type="dxa"/>
            <w:vMerge w:val="restart"/>
            <w:noWrap w:val="0"/>
            <w:vAlign w:val="center"/>
          </w:tcPr>
          <w:p w14:paraId="14198811">
            <w:pPr>
              <w:jc w:val="center"/>
              <w:rPr>
                <w:rFonts w:ascii="宋体" w:hAnsi="宋体" w:cs="宋体"/>
                <w:color w:val="000000"/>
                <w:w w:val="95"/>
                <w:szCs w:val="21"/>
              </w:rPr>
            </w:pPr>
            <w:r>
              <w:rPr>
                <w:rFonts w:hint="eastAsia" w:ascii="宋体" w:hAnsi="宋体" w:cs="宋体"/>
                <w:color w:val="000000"/>
                <w:w w:val="95"/>
                <w:szCs w:val="21"/>
              </w:rPr>
              <w:t>疏散指示灯</w:t>
            </w:r>
          </w:p>
        </w:tc>
        <w:tc>
          <w:tcPr>
            <w:tcW w:w="3950" w:type="dxa"/>
            <w:noWrap w:val="0"/>
            <w:vAlign w:val="center"/>
          </w:tcPr>
          <w:p w14:paraId="619D3C95">
            <w:pPr>
              <w:pStyle w:val="113"/>
              <w:spacing w:before="86"/>
              <w:ind w:right="45"/>
              <w:jc w:val="both"/>
              <w:rPr>
                <w:rFonts w:hint="default"/>
                <w:color w:val="000000"/>
                <w:sz w:val="21"/>
                <w:szCs w:val="21"/>
              </w:rPr>
            </w:pPr>
            <w:r>
              <w:rPr>
                <w:rFonts w:cs="宋体"/>
                <w:color w:val="000000"/>
                <w:sz w:val="21"/>
                <w:szCs w:val="21"/>
              </w:rPr>
              <w:t>外清洁、接线端子紧固、安装牢固度</w:t>
            </w:r>
          </w:p>
        </w:tc>
        <w:tc>
          <w:tcPr>
            <w:tcW w:w="1181" w:type="dxa"/>
            <w:noWrap w:val="0"/>
            <w:vAlign w:val="center"/>
          </w:tcPr>
          <w:p w14:paraId="6EF260A7">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0CF2201A">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EB8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CF4A56B">
            <w:pPr>
              <w:rPr>
                <w:rFonts w:ascii="宋体" w:hAnsi="宋体" w:cs="宋体"/>
                <w:color w:val="000000"/>
                <w:kern w:val="0"/>
                <w:sz w:val="24"/>
                <w:szCs w:val="24"/>
                <w:lang w:bidi="ar"/>
              </w:rPr>
            </w:pPr>
          </w:p>
        </w:tc>
        <w:tc>
          <w:tcPr>
            <w:tcW w:w="1644" w:type="dxa"/>
            <w:vMerge w:val="continue"/>
            <w:noWrap w:val="0"/>
            <w:vAlign w:val="top"/>
          </w:tcPr>
          <w:p w14:paraId="789AE451">
            <w:pPr>
              <w:rPr>
                <w:rFonts w:ascii="宋体" w:hAnsi="宋体" w:cs="宋体"/>
                <w:color w:val="000000"/>
                <w:w w:val="95"/>
                <w:szCs w:val="21"/>
              </w:rPr>
            </w:pPr>
          </w:p>
        </w:tc>
        <w:tc>
          <w:tcPr>
            <w:tcW w:w="3950" w:type="dxa"/>
            <w:noWrap w:val="0"/>
            <w:vAlign w:val="center"/>
          </w:tcPr>
          <w:p w14:paraId="1141349A">
            <w:pPr>
              <w:pStyle w:val="113"/>
              <w:spacing w:before="115"/>
              <w:ind w:right="288"/>
              <w:jc w:val="both"/>
              <w:rPr>
                <w:rFonts w:hint="default"/>
                <w:color w:val="000000"/>
                <w:sz w:val="21"/>
                <w:szCs w:val="21"/>
              </w:rPr>
            </w:pPr>
            <w:r>
              <w:rPr>
                <w:rFonts w:cs="宋体"/>
                <w:color w:val="000000"/>
                <w:sz w:val="21"/>
                <w:szCs w:val="21"/>
              </w:rPr>
              <w:t>主备切换、电池充放电</w:t>
            </w:r>
          </w:p>
        </w:tc>
        <w:tc>
          <w:tcPr>
            <w:tcW w:w="1181" w:type="dxa"/>
            <w:noWrap w:val="0"/>
            <w:vAlign w:val="center"/>
          </w:tcPr>
          <w:p w14:paraId="0DE1CEE9">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2368E0B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126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4E08843">
            <w:pPr>
              <w:rPr>
                <w:rFonts w:ascii="宋体" w:hAnsi="宋体" w:cs="宋体"/>
                <w:color w:val="000000"/>
                <w:kern w:val="0"/>
                <w:sz w:val="24"/>
                <w:szCs w:val="24"/>
                <w:lang w:bidi="ar"/>
              </w:rPr>
            </w:pPr>
          </w:p>
        </w:tc>
        <w:tc>
          <w:tcPr>
            <w:tcW w:w="1644" w:type="dxa"/>
            <w:vMerge w:val="continue"/>
            <w:noWrap w:val="0"/>
            <w:vAlign w:val="top"/>
          </w:tcPr>
          <w:p w14:paraId="1097D976">
            <w:pPr>
              <w:rPr>
                <w:rFonts w:ascii="宋体" w:hAnsi="宋体" w:cs="宋体"/>
                <w:color w:val="000000"/>
                <w:w w:val="95"/>
                <w:szCs w:val="21"/>
              </w:rPr>
            </w:pPr>
          </w:p>
        </w:tc>
        <w:tc>
          <w:tcPr>
            <w:tcW w:w="3950" w:type="dxa"/>
            <w:noWrap w:val="0"/>
            <w:vAlign w:val="top"/>
          </w:tcPr>
          <w:p w14:paraId="4B860951">
            <w:pPr>
              <w:pStyle w:val="113"/>
              <w:spacing w:before="87"/>
              <w:ind w:right="290"/>
              <w:jc w:val="both"/>
              <w:rPr>
                <w:rFonts w:hint="default"/>
                <w:color w:val="000000"/>
                <w:sz w:val="21"/>
                <w:szCs w:val="21"/>
              </w:rPr>
            </w:pPr>
            <w:r>
              <w:rPr>
                <w:rFonts w:cs="宋体"/>
                <w:color w:val="000000"/>
                <w:sz w:val="21"/>
                <w:szCs w:val="21"/>
              </w:rPr>
              <w:t>内外清洁、接线端子紧固、安装牢固度</w:t>
            </w:r>
          </w:p>
        </w:tc>
        <w:tc>
          <w:tcPr>
            <w:tcW w:w="1181" w:type="dxa"/>
            <w:noWrap w:val="0"/>
            <w:vAlign w:val="center"/>
          </w:tcPr>
          <w:p w14:paraId="37B82D6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008814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27A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82261B1">
            <w:pPr>
              <w:rPr>
                <w:rFonts w:ascii="宋体" w:hAnsi="宋体" w:cs="宋体"/>
                <w:color w:val="000000"/>
                <w:kern w:val="0"/>
                <w:sz w:val="24"/>
                <w:szCs w:val="24"/>
                <w:lang w:bidi="ar"/>
              </w:rPr>
            </w:pPr>
          </w:p>
        </w:tc>
        <w:tc>
          <w:tcPr>
            <w:tcW w:w="1644" w:type="dxa"/>
            <w:vMerge w:val="restart"/>
            <w:noWrap w:val="0"/>
            <w:vAlign w:val="center"/>
          </w:tcPr>
          <w:p w14:paraId="50CCDD03">
            <w:pPr>
              <w:jc w:val="center"/>
              <w:rPr>
                <w:rFonts w:ascii="宋体" w:hAnsi="宋体" w:cs="宋体"/>
                <w:color w:val="000000"/>
                <w:w w:val="95"/>
                <w:szCs w:val="21"/>
              </w:rPr>
            </w:pPr>
            <w:r>
              <w:rPr>
                <w:rFonts w:hint="eastAsia" w:ascii="宋体" w:hAnsi="宋体" w:cs="宋体"/>
                <w:color w:val="000000"/>
                <w:w w:val="95"/>
                <w:szCs w:val="21"/>
              </w:rPr>
              <w:t>应急照明灯</w:t>
            </w:r>
          </w:p>
        </w:tc>
        <w:tc>
          <w:tcPr>
            <w:tcW w:w="3950" w:type="dxa"/>
            <w:noWrap w:val="0"/>
            <w:vAlign w:val="top"/>
          </w:tcPr>
          <w:p w14:paraId="7D5E8DB2">
            <w:pPr>
              <w:pStyle w:val="113"/>
              <w:spacing w:before="115"/>
              <w:ind w:right="288"/>
              <w:jc w:val="both"/>
              <w:rPr>
                <w:rFonts w:hint="default"/>
                <w:color w:val="000000"/>
                <w:sz w:val="21"/>
                <w:szCs w:val="21"/>
              </w:rPr>
            </w:pPr>
            <w:r>
              <w:rPr>
                <w:rFonts w:cs="宋体"/>
                <w:color w:val="000000"/>
                <w:sz w:val="21"/>
                <w:szCs w:val="21"/>
              </w:rPr>
              <w:t>照度</w:t>
            </w:r>
          </w:p>
        </w:tc>
        <w:tc>
          <w:tcPr>
            <w:tcW w:w="1181" w:type="dxa"/>
            <w:noWrap w:val="0"/>
            <w:vAlign w:val="center"/>
          </w:tcPr>
          <w:p w14:paraId="74C2B2F3">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4CEB85A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F52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769758E">
            <w:pPr>
              <w:rPr>
                <w:rFonts w:ascii="宋体" w:hAnsi="宋体" w:cs="宋体"/>
                <w:color w:val="000000"/>
                <w:kern w:val="0"/>
                <w:sz w:val="24"/>
                <w:szCs w:val="24"/>
                <w:lang w:bidi="ar"/>
              </w:rPr>
            </w:pPr>
          </w:p>
        </w:tc>
        <w:tc>
          <w:tcPr>
            <w:tcW w:w="1644" w:type="dxa"/>
            <w:vMerge w:val="continue"/>
            <w:noWrap w:val="0"/>
            <w:vAlign w:val="top"/>
          </w:tcPr>
          <w:p w14:paraId="0431CEC3">
            <w:pPr>
              <w:rPr>
                <w:rFonts w:ascii="宋体" w:hAnsi="宋体" w:cs="宋体"/>
                <w:color w:val="000000"/>
                <w:w w:val="95"/>
                <w:szCs w:val="21"/>
              </w:rPr>
            </w:pPr>
          </w:p>
        </w:tc>
        <w:tc>
          <w:tcPr>
            <w:tcW w:w="3950" w:type="dxa"/>
            <w:noWrap w:val="0"/>
            <w:vAlign w:val="center"/>
          </w:tcPr>
          <w:p w14:paraId="317423DE">
            <w:pPr>
              <w:pStyle w:val="113"/>
              <w:spacing w:before="115"/>
              <w:ind w:right="288"/>
              <w:jc w:val="both"/>
              <w:rPr>
                <w:rFonts w:hint="default"/>
                <w:color w:val="000000"/>
                <w:sz w:val="21"/>
                <w:szCs w:val="21"/>
              </w:rPr>
            </w:pPr>
            <w:r>
              <w:rPr>
                <w:rFonts w:cs="宋体"/>
                <w:color w:val="000000"/>
                <w:sz w:val="21"/>
                <w:szCs w:val="21"/>
              </w:rPr>
              <w:t>主备切换、电池充放电</w:t>
            </w:r>
          </w:p>
        </w:tc>
        <w:tc>
          <w:tcPr>
            <w:tcW w:w="1181" w:type="dxa"/>
            <w:noWrap w:val="0"/>
            <w:vAlign w:val="center"/>
          </w:tcPr>
          <w:p w14:paraId="06479572">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4EDDB93B">
            <w:pPr>
              <w:rPr>
                <w:rFonts w:ascii="宋体" w:hAnsi="宋体" w:cs="宋体"/>
                <w:color w:val="000000"/>
                <w:kern w:val="0"/>
                <w:szCs w:val="21"/>
                <w:lang w:bidi="ar"/>
              </w:rPr>
            </w:pPr>
            <w:r>
              <w:rPr>
                <w:rFonts w:hint="eastAsia" w:ascii="宋体" w:hAnsi="宋体" w:cs="宋体"/>
                <w:color w:val="000000"/>
                <w:kern w:val="0"/>
                <w:szCs w:val="21"/>
                <w:lang w:bidi="ar"/>
              </w:rPr>
              <w:t>全天</w:t>
            </w:r>
          </w:p>
        </w:tc>
      </w:tr>
    </w:tbl>
    <w:p w14:paraId="2D2B8E63">
      <w:pPr>
        <w:widowControl/>
        <w:tabs>
          <w:tab w:val="left" w:pos="220"/>
        </w:tabs>
        <w:spacing w:line="500" w:lineRule="exact"/>
        <w:ind w:firstLine="482" w:firstLineChars="200"/>
        <w:rPr>
          <w:rFonts w:ascii="宋体" w:hAnsi="宋体" w:cs="宋体"/>
          <w:b/>
          <w:color w:val="000000"/>
          <w:kern w:val="0"/>
          <w:sz w:val="24"/>
          <w:szCs w:val="24"/>
        </w:rPr>
      </w:pPr>
      <w:r>
        <w:rPr>
          <w:rFonts w:hint="eastAsia" w:ascii="宋体" w:hAnsi="宋体" w:cs="宋体"/>
          <w:b/>
          <w:color w:val="000000"/>
          <w:kern w:val="0"/>
          <w:sz w:val="24"/>
          <w:szCs w:val="24"/>
          <w:lang w:bidi="ar"/>
        </w:rPr>
        <w:t>6、维修保养过程管理要求</w:t>
      </w:r>
    </w:p>
    <w:p w14:paraId="3AC74702">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为</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提供维保过程全流程透明化服务，具体如下：</w:t>
      </w:r>
    </w:p>
    <w:p w14:paraId="5A33C6AD">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（1）维保单位需安排专人（具有消防从业资格证书）为</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提供24小时维保服务，不得随意更换，维修人员需保证通讯畅通，一旦接到报修电话后需在1小时内赶到现场，24小时内维修完毕；</w:t>
      </w:r>
    </w:p>
    <w:p w14:paraId="038D0271">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（2）维保单位每月出具</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消防设施设备及器材运行情况报告（盖维保公司公章），针对具体消防隐患须要整改的并附整改原因及意见；</w:t>
      </w:r>
    </w:p>
    <w:p w14:paraId="0ACA1C60">
      <w:pPr>
        <w:widowControl/>
        <w:snapToGrid w:val="0"/>
        <w:spacing w:line="500" w:lineRule="exact"/>
        <w:ind w:firstLine="420" w:firstLineChars="200"/>
        <w:rPr>
          <w:rFonts w:ascii="宋体" w:hAnsi="宋体" w:cs="宋体"/>
          <w:b/>
          <w:color w:val="000000"/>
          <w:kern w:val="0"/>
          <w:sz w:val="21"/>
          <w:szCs w:val="21"/>
        </w:rPr>
      </w:pPr>
      <w:r>
        <w:rPr>
          <w:rFonts w:hint="eastAsia" w:ascii="宋体" w:hAnsi="宋体" w:cs="宋体"/>
          <w:color w:val="000000"/>
          <w:kern w:val="0"/>
          <w:sz w:val="21"/>
          <w:szCs w:val="21"/>
          <w:lang w:bidi="ar"/>
        </w:rPr>
        <w:t>（3）</w:t>
      </w:r>
      <w:r>
        <w:rPr>
          <w:rFonts w:hint="eastAsia" w:ascii="宋体" w:hAnsi="宋体" w:cs="宋体"/>
          <w:b/>
          <w:color w:val="000000"/>
          <w:kern w:val="0"/>
          <w:sz w:val="21"/>
          <w:szCs w:val="21"/>
          <w:lang w:bidi="ar"/>
        </w:rPr>
        <w:t>每周必须安排最少一次技术人员到现场检查主要设施设备（监控室消防报警主机及从机，消防泵房，湿式报警阀间等相关设备）运行情况，并到现场了解其它需要更换维修的设备并及时修复；</w:t>
      </w:r>
    </w:p>
    <w:p w14:paraId="216A71B2">
      <w:pPr>
        <w:widowControl/>
        <w:snapToGrid w:val="0"/>
        <w:spacing w:line="500" w:lineRule="exact"/>
        <w:ind w:firstLine="422" w:firstLineChars="200"/>
        <w:rPr>
          <w:rFonts w:ascii="宋体" w:hAnsi="宋体" w:cs="宋体"/>
          <w:color w:val="000000"/>
          <w:kern w:val="0"/>
          <w:sz w:val="21"/>
          <w:szCs w:val="21"/>
        </w:rPr>
      </w:pPr>
      <w:r>
        <w:rPr>
          <w:rFonts w:hint="eastAsia" w:ascii="宋体" w:hAnsi="宋体" w:cs="宋体"/>
          <w:b/>
          <w:color w:val="000000"/>
          <w:kern w:val="0"/>
          <w:sz w:val="21"/>
          <w:szCs w:val="21"/>
          <w:lang w:bidi="ar"/>
        </w:rPr>
        <w:t>（4）中标人提供具备中级消防操作员证以上资质的维保人员（持证三年或以上）名单及相关资料。</w:t>
      </w:r>
      <w:r>
        <w:rPr>
          <w:rFonts w:hint="eastAsia" w:ascii="宋体" w:hAnsi="宋体" w:cs="宋体"/>
          <w:color w:val="000000"/>
          <w:kern w:val="0"/>
          <w:sz w:val="21"/>
          <w:szCs w:val="21"/>
          <w:lang w:bidi="ar"/>
        </w:rPr>
        <w:t>负责日常设备检查、巡查、维修及发生突发事故情况下应急处置。夜间及节假日保持电话畅通，</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发生突发事故后1小时内到场。</w:t>
      </w:r>
    </w:p>
    <w:p w14:paraId="0FF96E1F">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（5）每次到现场填写检查维修记录表；</w:t>
      </w:r>
    </w:p>
    <w:p w14:paraId="18786536">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（6）每月月底前提供当月消防设施设备维保报告及工作记录；</w:t>
      </w:r>
    </w:p>
    <w:p w14:paraId="3BAC8AE1">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（7）维保单位于每月末需向</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提供下月的维保检测计划，并得到</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的认可，日常维护检修工作需严格按计划执行。</w:t>
      </w:r>
    </w:p>
    <w:p w14:paraId="4B435C4F">
      <w:pPr>
        <w:widowControl/>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（8）维保单位要按照</w:t>
      </w:r>
      <w:r>
        <w:rPr>
          <w:rFonts w:hint="eastAsia" w:ascii="宋体" w:hAnsi="宋体" w:cs="宋体"/>
          <w:color w:val="000000"/>
          <w:kern w:val="0"/>
          <w:sz w:val="21"/>
          <w:szCs w:val="21"/>
          <w:lang w:val="en-US" w:eastAsia="zh-CN" w:bidi="ar"/>
        </w:rPr>
        <w:t>招标</w:t>
      </w:r>
      <w:r>
        <w:rPr>
          <w:rFonts w:hint="eastAsia" w:ascii="宋体" w:hAnsi="宋体" w:cs="宋体"/>
          <w:color w:val="000000"/>
          <w:kern w:val="0"/>
          <w:sz w:val="21"/>
          <w:szCs w:val="21"/>
          <w:lang w:bidi="ar"/>
        </w:rPr>
        <w:t>文件要求进行维保，并进行月度考核，考核办法依照《合肥体育中心消防设施维保项目考核细则》执行。</w:t>
      </w:r>
    </w:p>
    <w:p w14:paraId="7F65949F">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（9）如果因为维保单位日常维保不到位造成事故的发生时消防设施设备不能及时启动，报警设备没有报警反馈信号，维保单位将承担全部的责任，并赔偿</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损失。</w:t>
      </w:r>
    </w:p>
    <w:p w14:paraId="639E4D48">
      <w:pPr>
        <w:widowControl/>
        <w:tabs>
          <w:tab w:val="left" w:pos="220"/>
        </w:tabs>
        <w:spacing w:line="500" w:lineRule="exact"/>
        <w:ind w:firstLine="482" w:firstLineChars="200"/>
        <w:rPr>
          <w:rFonts w:ascii="宋体" w:hAnsi="宋体" w:cs="宋体"/>
          <w:b/>
          <w:color w:val="000000"/>
          <w:kern w:val="0"/>
          <w:sz w:val="24"/>
          <w:szCs w:val="24"/>
          <w:highlight w:val="none"/>
        </w:rPr>
      </w:pPr>
      <w:r>
        <w:rPr>
          <w:rFonts w:hint="eastAsia" w:ascii="宋体" w:hAnsi="宋体" w:cs="宋体"/>
          <w:b/>
          <w:color w:val="000000"/>
          <w:kern w:val="0"/>
          <w:sz w:val="24"/>
          <w:szCs w:val="24"/>
          <w:highlight w:val="none"/>
          <w:lang w:val="en-US" w:eastAsia="zh-CN" w:bidi="ar"/>
        </w:rPr>
        <w:t>7</w:t>
      </w:r>
      <w:r>
        <w:rPr>
          <w:rFonts w:hint="eastAsia" w:ascii="宋体" w:hAnsi="宋体" w:cs="宋体"/>
          <w:b/>
          <w:color w:val="000000"/>
          <w:kern w:val="0"/>
          <w:sz w:val="24"/>
          <w:szCs w:val="24"/>
          <w:highlight w:val="none"/>
          <w:lang w:bidi="ar"/>
        </w:rPr>
        <w:t>、</w:t>
      </w:r>
      <w:r>
        <w:rPr>
          <w:rFonts w:hint="eastAsia" w:ascii="Calibri" w:hAnsi="宋体" w:cs="宋体"/>
          <w:b/>
          <w:color w:val="000000"/>
          <w:sz w:val="24"/>
          <w:szCs w:val="24"/>
          <w:highlight w:val="none"/>
          <w:lang w:bidi="ar"/>
        </w:rPr>
        <w:t>培训及其它</w:t>
      </w:r>
    </w:p>
    <w:p w14:paraId="29718728">
      <w:pPr>
        <w:widowControl/>
        <w:snapToGrid w:val="0"/>
        <w:spacing w:line="500" w:lineRule="exact"/>
        <w:ind w:firstLine="420" w:firstLineChars="200"/>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（1）培训要求：在每次周期服务中，维保单位免费对</w:t>
      </w:r>
      <w:r>
        <w:rPr>
          <w:rFonts w:hint="eastAsia" w:ascii="宋体" w:hAnsi="宋体" w:eastAsia="宋体" w:cs="宋体"/>
          <w:color w:val="000000"/>
          <w:kern w:val="0"/>
          <w:sz w:val="21"/>
          <w:szCs w:val="21"/>
          <w:highlight w:val="none"/>
          <w:lang w:val="en-US" w:eastAsia="zh-CN" w:bidi="ar"/>
        </w:rPr>
        <w:t>招标人</w:t>
      </w:r>
      <w:r>
        <w:rPr>
          <w:rFonts w:hint="eastAsia" w:ascii="宋体" w:hAnsi="宋体" w:eastAsia="宋体" w:cs="宋体"/>
          <w:color w:val="000000"/>
          <w:kern w:val="0"/>
          <w:sz w:val="21"/>
          <w:szCs w:val="21"/>
          <w:highlight w:val="none"/>
          <w:lang w:bidi="ar"/>
        </w:rPr>
        <w:t>所指定的工作人员提供使用的系统、设备管理、设备的操作以及故障的排除等方面进行现场培训；</w:t>
      </w:r>
    </w:p>
    <w:p w14:paraId="5005E82E">
      <w:pPr>
        <w:widowControl/>
        <w:snapToGrid w:val="0"/>
        <w:spacing w:line="500" w:lineRule="exact"/>
        <w:ind w:firstLine="420" w:firstLineChars="200"/>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（2）为</w:t>
      </w:r>
      <w:r>
        <w:rPr>
          <w:rFonts w:hint="eastAsia" w:ascii="宋体" w:hAnsi="宋体" w:eastAsia="宋体" w:cs="宋体"/>
          <w:color w:val="000000"/>
          <w:kern w:val="0"/>
          <w:sz w:val="21"/>
          <w:szCs w:val="21"/>
          <w:highlight w:val="none"/>
          <w:lang w:val="en-US" w:eastAsia="zh-CN" w:bidi="ar"/>
        </w:rPr>
        <w:t>招标人</w:t>
      </w:r>
      <w:r>
        <w:rPr>
          <w:rFonts w:hint="eastAsia" w:ascii="宋体" w:hAnsi="宋体" w:eastAsia="宋体" w:cs="宋体"/>
          <w:color w:val="000000"/>
          <w:kern w:val="0"/>
          <w:sz w:val="21"/>
          <w:szCs w:val="21"/>
          <w:highlight w:val="none"/>
          <w:lang w:bidi="ar"/>
        </w:rPr>
        <w:t>提供其他消防专业咨询服务。</w:t>
      </w:r>
    </w:p>
    <w:p w14:paraId="0EF3F5B2">
      <w:pPr>
        <w:widowControl/>
        <w:tabs>
          <w:tab w:val="left" w:pos="220"/>
        </w:tabs>
        <w:spacing w:line="500" w:lineRule="exact"/>
        <w:ind w:firstLine="482" w:firstLineChars="200"/>
        <w:rPr>
          <w:rFonts w:ascii="宋体" w:hAnsi="宋体" w:cs="宋体"/>
          <w:b/>
          <w:color w:val="000000"/>
          <w:kern w:val="0"/>
          <w:sz w:val="24"/>
          <w:szCs w:val="24"/>
          <w:highlight w:val="none"/>
          <w:lang w:bidi="ar"/>
        </w:rPr>
      </w:pPr>
      <w:r>
        <w:rPr>
          <w:rFonts w:hint="eastAsia" w:ascii="宋体" w:hAnsi="宋体" w:cs="宋体"/>
          <w:b/>
          <w:color w:val="000000"/>
          <w:kern w:val="0"/>
          <w:sz w:val="24"/>
          <w:szCs w:val="24"/>
          <w:highlight w:val="none"/>
          <w:lang w:val="en-US" w:eastAsia="zh-CN" w:bidi="ar"/>
        </w:rPr>
        <w:t>8</w:t>
      </w:r>
      <w:r>
        <w:rPr>
          <w:rFonts w:hint="eastAsia" w:ascii="宋体" w:hAnsi="宋体" w:cs="宋体"/>
          <w:b/>
          <w:color w:val="000000"/>
          <w:kern w:val="0"/>
          <w:sz w:val="24"/>
          <w:szCs w:val="24"/>
          <w:highlight w:val="none"/>
          <w:lang w:bidi="ar"/>
        </w:rPr>
        <w:t>、维保考核评分细则</w:t>
      </w:r>
    </w:p>
    <w:p w14:paraId="4FAEDE5E">
      <w:pPr>
        <w:widowControl/>
        <w:tabs>
          <w:tab w:val="left" w:pos="220"/>
        </w:tabs>
        <w:spacing w:line="500" w:lineRule="exact"/>
        <w:ind w:firstLine="480" w:firstLineChars="200"/>
        <w:rPr>
          <w:rFonts w:ascii="宋体" w:hAnsi="宋体" w:cs="宋体"/>
          <w:color w:val="000000"/>
          <w:kern w:val="0"/>
          <w:sz w:val="21"/>
          <w:szCs w:val="21"/>
          <w:highlight w:val="none"/>
          <w:lang w:bidi="ar"/>
        </w:rPr>
      </w:pPr>
      <w:r>
        <w:rPr>
          <w:rFonts w:hint="eastAsia" w:ascii="宋体" w:hAnsi="宋体" w:cs="宋体"/>
          <w:color w:val="000000"/>
          <w:kern w:val="0"/>
          <w:sz w:val="24"/>
          <w:szCs w:val="24"/>
          <w:highlight w:val="none"/>
          <w:lang w:val="en-US" w:eastAsia="zh-CN" w:bidi="ar"/>
        </w:rPr>
        <w:t>8</w:t>
      </w:r>
      <w:r>
        <w:rPr>
          <w:rFonts w:hint="eastAsia" w:ascii="宋体" w:hAnsi="宋体" w:cs="宋体"/>
          <w:color w:val="000000"/>
          <w:kern w:val="0"/>
          <w:sz w:val="24"/>
          <w:szCs w:val="24"/>
          <w:highlight w:val="none"/>
          <w:lang w:bidi="ar"/>
        </w:rPr>
        <w:t>.1</w:t>
      </w:r>
      <w:r>
        <w:rPr>
          <w:rFonts w:hint="eastAsia" w:ascii="宋体" w:hAnsi="宋体" w:cs="宋体"/>
          <w:color w:val="000000"/>
          <w:kern w:val="0"/>
          <w:sz w:val="21"/>
          <w:szCs w:val="21"/>
          <w:highlight w:val="none"/>
          <w:lang w:bidi="ar"/>
        </w:rPr>
        <w:t>考核目的：</w:t>
      </w:r>
    </w:p>
    <w:p w14:paraId="2BE4372C">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通过对</w:t>
      </w:r>
      <w:r>
        <w:rPr>
          <w:rFonts w:hint="eastAsia" w:ascii="宋体" w:hAnsi="宋体" w:cs="仿宋"/>
          <w:color w:val="000000"/>
          <w:sz w:val="21"/>
          <w:szCs w:val="21"/>
        </w:rPr>
        <w:t>维保单位</w:t>
      </w:r>
      <w:r>
        <w:rPr>
          <w:rFonts w:hint="eastAsia" w:ascii="宋体" w:hAnsi="宋体" w:cs="宋体"/>
          <w:color w:val="000000"/>
          <w:kern w:val="0"/>
          <w:sz w:val="21"/>
          <w:szCs w:val="21"/>
          <w:lang w:bidi="ar"/>
        </w:rPr>
        <w:t>的日常维保工作情况进行综合的评定，并根据考核结果核算维保费用，以及根据考核结果决定是否与该</w:t>
      </w:r>
      <w:r>
        <w:rPr>
          <w:rFonts w:hint="eastAsia" w:ascii="宋体" w:hAnsi="宋体" w:cs="仿宋"/>
          <w:color w:val="000000"/>
          <w:sz w:val="21"/>
          <w:szCs w:val="21"/>
        </w:rPr>
        <w:t>维保单位</w:t>
      </w:r>
      <w:r>
        <w:rPr>
          <w:rFonts w:hint="eastAsia" w:ascii="宋体" w:hAnsi="宋体" w:cs="宋体"/>
          <w:color w:val="000000"/>
          <w:kern w:val="0"/>
          <w:sz w:val="21"/>
          <w:szCs w:val="21"/>
          <w:lang w:bidi="ar"/>
        </w:rPr>
        <w:t>继续合作等措施，全面提升项目维保工作标准，提高维保工作成果。</w:t>
      </w:r>
    </w:p>
    <w:p w14:paraId="43531C2E">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.2考核方式：</w:t>
      </w:r>
    </w:p>
    <w:p w14:paraId="40ED6BEC">
      <w:pPr>
        <w:widowControl/>
        <w:tabs>
          <w:tab w:val="left" w:pos="220"/>
        </w:tabs>
        <w:spacing w:line="500" w:lineRule="exact"/>
        <w:ind w:firstLine="420" w:firstLineChars="200"/>
        <w:rPr>
          <w:color w:val="000000"/>
          <w:sz w:val="21"/>
          <w:szCs w:val="21"/>
        </w:rPr>
      </w:pPr>
      <w:r>
        <w:rPr>
          <w:rFonts w:hint="eastAsia" w:ascii="宋体" w:hAnsi="宋体" w:cs="宋体"/>
          <w:color w:val="000000"/>
          <w:kern w:val="0"/>
          <w:sz w:val="21"/>
          <w:szCs w:val="21"/>
          <w:lang w:bidi="ar"/>
        </w:rPr>
        <w:t>考核采取定期方式或者不定期方式，即</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针对在日常工作中检查发现的问题，按考核标准进行月度综合评分。</w:t>
      </w:r>
    </w:p>
    <w:p w14:paraId="594243F8">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.3考核单位：主合同甲方</w:t>
      </w:r>
    </w:p>
    <w:p w14:paraId="3ADFA289">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.4被考核单位（服务供应商）：主合同方乙方</w:t>
      </w:r>
    </w:p>
    <w:p w14:paraId="028667C3">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.5考核范围、事项：</w:t>
      </w:r>
    </w:p>
    <w:p w14:paraId="5E074EB6">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主合同范围内所有委托维保的消防设备设施、所有与维保工作有关的事项。</w:t>
      </w:r>
    </w:p>
    <w:p w14:paraId="78D5DB3D">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.6考核评分：</w:t>
      </w:r>
    </w:p>
    <w:p w14:paraId="4D6D9DED">
      <w:pPr>
        <w:spacing w:line="360" w:lineRule="auto"/>
        <w:ind w:firstLine="630" w:firstLineChars="300"/>
        <w:rPr>
          <w:rFonts w:ascii="宋体" w:hAnsi="宋体" w:cs="宋体"/>
          <w:color w:val="000000"/>
          <w:kern w:val="0"/>
          <w:sz w:val="21"/>
          <w:szCs w:val="21"/>
          <w:lang w:bidi="ar"/>
        </w:rPr>
      </w:pPr>
      <w:r>
        <w:rPr>
          <w:rFonts w:hint="eastAsia" w:ascii="宋体" w:hAnsi="宋体" w:cs="宋体"/>
          <w:color w:val="000000"/>
          <w:kern w:val="0"/>
          <w:sz w:val="21"/>
          <w:szCs w:val="21"/>
          <w:lang w:bidi="ar"/>
        </w:rPr>
        <w:t>以 100 分为基准分，按本细则进行扣分；90 分（含 90 分）以上为合格，90 分以下为不合格；</w:t>
      </w:r>
    </w:p>
    <w:p w14:paraId="1EF6CCD6">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.7考核结果处理：</w:t>
      </w:r>
    </w:p>
    <w:p w14:paraId="7164F948">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当次考评得分在 90 分（含 90 分）以上合格范围内的，</w:t>
      </w:r>
      <w:r>
        <w:rPr>
          <w:rFonts w:hint="eastAsia" w:ascii="宋体" w:hAnsi="宋体" w:cs="仿宋"/>
          <w:color w:val="000000"/>
          <w:sz w:val="21"/>
          <w:szCs w:val="21"/>
        </w:rPr>
        <w:t>执行维保费用除以12个月的当月合同价</w:t>
      </w:r>
      <w:r>
        <w:rPr>
          <w:rFonts w:hint="eastAsia" w:ascii="宋体" w:hAnsi="宋体" w:cs="宋体"/>
          <w:color w:val="000000"/>
          <w:kern w:val="0"/>
          <w:sz w:val="21"/>
          <w:szCs w:val="21"/>
          <w:lang w:bidi="ar"/>
        </w:rPr>
        <w:t>。如当次考评得分低于 90 分（不含 90 分）的，每低1分</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按维保合同定价扣取当月维保费用 1000 元/分，依此类推。如考评得分低于 80 分（不含80 分）的，每低1分甲方按维保合同定价扣取维保费用 2000元/分，依此类推；</w:t>
      </w:r>
      <w:r>
        <w:rPr>
          <w:rFonts w:hint="eastAsia" w:ascii="宋体" w:hAnsi="宋体" w:cs="仿宋"/>
          <w:color w:val="000000"/>
          <w:sz w:val="21"/>
          <w:szCs w:val="21"/>
        </w:rPr>
        <w:t>维保单位若连续2个月考核得分在80分（不含）以下扣除1个月全额维保费和全部履</w:t>
      </w:r>
      <w:r>
        <w:rPr>
          <w:rFonts w:hint="eastAsia" w:ascii="宋体" w:hAnsi="宋体" w:cs="宋体"/>
          <w:color w:val="000000"/>
          <w:kern w:val="0"/>
          <w:sz w:val="21"/>
          <w:szCs w:val="21"/>
          <w:lang w:bidi="ar"/>
        </w:rPr>
        <w:t>约保证金。同时，</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可终止合同，取消其维保资格。</w:t>
      </w:r>
    </w:p>
    <w:p w14:paraId="7B510ADC">
      <w:pPr>
        <w:widowControl/>
        <w:tabs>
          <w:tab w:val="left" w:pos="220"/>
        </w:tabs>
        <w:spacing w:line="500" w:lineRule="exact"/>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.8考核细则：</w:t>
      </w:r>
    </w:p>
    <w:p w14:paraId="6365111F">
      <w:pPr>
        <w:pStyle w:val="5"/>
        <w:numPr>
          <w:ilvl w:val="3"/>
          <w:numId w:val="0"/>
        </w:numPr>
        <w:spacing w:line="500" w:lineRule="exact"/>
        <w:jc w:val="center"/>
        <w:rPr>
          <w:color w:val="000000"/>
        </w:rPr>
      </w:pPr>
      <w:r>
        <w:rPr>
          <w:rFonts w:hint="eastAsia" w:ascii="仿宋_GB2312" w:hAnsi="仿宋_GB2312" w:eastAsia="仿宋_GB2312" w:cs="仿宋_GB2312"/>
          <w:color w:val="000000"/>
          <w:kern w:val="0"/>
          <w:lang w:val="en-US" w:eastAsia="zh-CN" w:bidi="ar"/>
        </w:rPr>
        <w:t>合肥市妇女儿童活动中心</w:t>
      </w:r>
      <w:r>
        <w:rPr>
          <w:rFonts w:hint="eastAsia" w:ascii="仿宋_GB2312" w:hAnsi="仿宋_GB2312" w:eastAsia="仿宋_GB2312" w:cs="仿宋_GB2312"/>
          <w:color w:val="000000"/>
          <w:kern w:val="0"/>
          <w:lang w:bidi="ar"/>
        </w:rPr>
        <w:t>消防设施维保项目月度考核细则</w:t>
      </w:r>
    </w:p>
    <w:tbl>
      <w:tblPr>
        <w:tblStyle w:val="4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4686"/>
        <w:gridCol w:w="851"/>
        <w:gridCol w:w="1276"/>
        <w:gridCol w:w="1134"/>
      </w:tblGrid>
      <w:tr w14:paraId="2173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58374DF">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考核项目</w:t>
            </w:r>
          </w:p>
        </w:tc>
        <w:tc>
          <w:tcPr>
            <w:tcW w:w="4686" w:type="dxa"/>
            <w:noWrap w:val="0"/>
            <w:vAlign w:val="center"/>
          </w:tcPr>
          <w:p w14:paraId="0D817B3A">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考核内容及标准</w:t>
            </w:r>
          </w:p>
        </w:tc>
        <w:tc>
          <w:tcPr>
            <w:tcW w:w="851" w:type="dxa"/>
            <w:noWrap w:val="0"/>
            <w:vAlign w:val="center"/>
          </w:tcPr>
          <w:p w14:paraId="33DF6977">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规定分值</w:t>
            </w:r>
          </w:p>
        </w:tc>
        <w:tc>
          <w:tcPr>
            <w:tcW w:w="1276" w:type="dxa"/>
            <w:noWrap w:val="0"/>
            <w:vAlign w:val="center"/>
          </w:tcPr>
          <w:p w14:paraId="13749D7D">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评分办法</w:t>
            </w:r>
          </w:p>
        </w:tc>
        <w:tc>
          <w:tcPr>
            <w:tcW w:w="1134" w:type="dxa"/>
            <w:noWrap w:val="0"/>
            <w:vAlign w:val="center"/>
          </w:tcPr>
          <w:p w14:paraId="74AC21DB">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测评分值</w:t>
            </w:r>
          </w:p>
        </w:tc>
      </w:tr>
      <w:tr w14:paraId="7C11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092" w:type="dxa"/>
            <w:vMerge w:val="restart"/>
            <w:noWrap w:val="0"/>
            <w:vAlign w:val="center"/>
          </w:tcPr>
          <w:p w14:paraId="5AAE7957">
            <w:pPr>
              <w:widowControl/>
              <w:tabs>
                <w:tab w:val="left" w:pos="220"/>
              </w:tabs>
              <w:spacing w:line="3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维保工作履约情况</w:t>
            </w:r>
          </w:p>
        </w:tc>
        <w:tc>
          <w:tcPr>
            <w:tcW w:w="4686" w:type="dxa"/>
            <w:noWrap w:val="0"/>
            <w:vAlign w:val="top"/>
          </w:tcPr>
          <w:p w14:paraId="41B667A1">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1.维保人员必须有正式的劳动合同、社保缴纳记录；人员变动需及时向管理单位报备更新。</w:t>
            </w:r>
          </w:p>
        </w:tc>
        <w:tc>
          <w:tcPr>
            <w:tcW w:w="851" w:type="dxa"/>
            <w:vMerge w:val="restart"/>
            <w:noWrap w:val="0"/>
            <w:vAlign w:val="center"/>
          </w:tcPr>
          <w:p w14:paraId="12B3B61C">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10分</w:t>
            </w:r>
          </w:p>
        </w:tc>
        <w:tc>
          <w:tcPr>
            <w:tcW w:w="1276" w:type="dxa"/>
            <w:vMerge w:val="restart"/>
            <w:noWrap w:val="0"/>
            <w:vAlign w:val="center"/>
          </w:tcPr>
          <w:p w14:paraId="38102C00">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不符合要求的每次扣2分，扣完为止。</w:t>
            </w:r>
          </w:p>
        </w:tc>
        <w:tc>
          <w:tcPr>
            <w:tcW w:w="1134" w:type="dxa"/>
            <w:vMerge w:val="restart"/>
            <w:noWrap w:val="0"/>
            <w:vAlign w:val="center"/>
          </w:tcPr>
          <w:p w14:paraId="441DB041">
            <w:pPr>
              <w:widowControl/>
              <w:tabs>
                <w:tab w:val="left" w:pos="220"/>
              </w:tabs>
              <w:spacing w:line="360" w:lineRule="exact"/>
              <w:jc w:val="left"/>
              <w:rPr>
                <w:rFonts w:ascii="宋体" w:hAnsi="宋体" w:cs="宋体"/>
                <w:color w:val="000000"/>
                <w:kern w:val="0"/>
                <w:szCs w:val="21"/>
                <w:lang w:bidi="ar"/>
              </w:rPr>
            </w:pPr>
          </w:p>
        </w:tc>
      </w:tr>
      <w:tr w14:paraId="4444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092" w:type="dxa"/>
            <w:vMerge w:val="continue"/>
            <w:noWrap w:val="0"/>
            <w:vAlign w:val="center"/>
          </w:tcPr>
          <w:p w14:paraId="0FEB4B33">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35E686A5">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2.维保人员需与投标方案中拟投入人员配备一致；人员变动需及时向管理单位报备更新；维保人员按要求进行签到，至少每周一次签到。</w:t>
            </w:r>
          </w:p>
        </w:tc>
        <w:tc>
          <w:tcPr>
            <w:tcW w:w="851" w:type="dxa"/>
            <w:vMerge w:val="continue"/>
            <w:noWrap w:val="0"/>
            <w:vAlign w:val="center"/>
          </w:tcPr>
          <w:p w14:paraId="017F3B2F">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31128061">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351D3A73">
            <w:pPr>
              <w:widowControl/>
              <w:tabs>
                <w:tab w:val="left" w:pos="220"/>
              </w:tabs>
              <w:spacing w:line="360" w:lineRule="exact"/>
              <w:jc w:val="left"/>
              <w:rPr>
                <w:rFonts w:ascii="宋体" w:hAnsi="宋体" w:cs="宋体"/>
                <w:color w:val="000000"/>
                <w:kern w:val="0"/>
                <w:szCs w:val="21"/>
                <w:lang w:bidi="ar"/>
              </w:rPr>
            </w:pPr>
          </w:p>
        </w:tc>
      </w:tr>
      <w:tr w14:paraId="20ED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92" w:type="dxa"/>
            <w:vMerge w:val="continue"/>
            <w:noWrap w:val="0"/>
            <w:vAlign w:val="top"/>
          </w:tcPr>
          <w:p w14:paraId="3B439D60">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2022F9B3">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3.按合同配置消防维保工具：包括但不限于温枪1套、烟枪1套、,末端水流测试仪1个和消火栓压力测试仪1个等工具，没有维保无工具的情况发生；</w:t>
            </w:r>
          </w:p>
        </w:tc>
        <w:tc>
          <w:tcPr>
            <w:tcW w:w="851" w:type="dxa"/>
            <w:vMerge w:val="continue"/>
            <w:noWrap w:val="0"/>
            <w:vAlign w:val="center"/>
          </w:tcPr>
          <w:p w14:paraId="797DE80B">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2ACF6267">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6E39FD29">
            <w:pPr>
              <w:widowControl/>
              <w:tabs>
                <w:tab w:val="left" w:pos="220"/>
              </w:tabs>
              <w:spacing w:line="360" w:lineRule="exact"/>
              <w:jc w:val="left"/>
              <w:rPr>
                <w:rFonts w:ascii="宋体" w:hAnsi="宋体" w:cs="宋体"/>
                <w:color w:val="000000"/>
                <w:kern w:val="0"/>
                <w:szCs w:val="21"/>
                <w:lang w:bidi="ar"/>
              </w:rPr>
            </w:pPr>
          </w:p>
        </w:tc>
      </w:tr>
      <w:tr w14:paraId="41D6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092" w:type="dxa"/>
            <w:vMerge w:val="continue"/>
            <w:noWrap w:val="0"/>
            <w:vAlign w:val="top"/>
          </w:tcPr>
          <w:p w14:paraId="3FD59573">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0E3CA256">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4.维保单位必须在每个月的20日前，向管理单位提交次月维保计划；如有特殊情况，需取得甲方书面同意。月度维保计划包含：维保时间、维保项目、维保目的、维保范围、维保达到效果、参加人员名单；</w:t>
            </w:r>
          </w:p>
        </w:tc>
        <w:tc>
          <w:tcPr>
            <w:tcW w:w="851" w:type="dxa"/>
            <w:vMerge w:val="continue"/>
            <w:noWrap w:val="0"/>
            <w:vAlign w:val="center"/>
          </w:tcPr>
          <w:p w14:paraId="76086E2F">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6DFACAB6">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0DDDF8FD">
            <w:pPr>
              <w:widowControl/>
              <w:tabs>
                <w:tab w:val="left" w:pos="220"/>
              </w:tabs>
              <w:spacing w:line="360" w:lineRule="exact"/>
              <w:jc w:val="left"/>
              <w:rPr>
                <w:rFonts w:ascii="宋体" w:hAnsi="宋体" w:cs="宋体"/>
                <w:color w:val="000000"/>
                <w:kern w:val="0"/>
                <w:szCs w:val="21"/>
                <w:lang w:bidi="ar"/>
              </w:rPr>
            </w:pPr>
          </w:p>
        </w:tc>
      </w:tr>
      <w:tr w14:paraId="3577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92" w:type="dxa"/>
            <w:vMerge w:val="continue"/>
            <w:noWrap w:val="0"/>
            <w:vAlign w:val="top"/>
          </w:tcPr>
          <w:p w14:paraId="294E4943">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1B9650DE">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5.维保人员需按时按量完成维保工作内容及要求，无抵触、拖拉、怠工现象，工作中主动发现问题，并提出合理化建议。</w:t>
            </w:r>
          </w:p>
        </w:tc>
        <w:tc>
          <w:tcPr>
            <w:tcW w:w="851" w:type="dxa"/>
            <w:vMerge w:val="continue"/>
            <w:noWrap w:val="0"/>
            <w:vAlign w:val="center"/>
          </w:tcPr>
          <w:p w14:paraId="0B0B1997">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6573BAC7">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364E49ED">
            <w:pPr>
              <w:widowControl/>
              <w:tabs>
                <w:tab w:val="left" w:pos="220"/>
              </w:tabs>
              <w:spacing w:line="360" w:lineRule="exact"/>
              <w:jc w:val="left"/>
              <w:rPr>
                <w:rFonts w:ascii="宋体" w:hAnsi="宋体" w:cs="宋体"/>
                <w:color w:val="000000"/>
                <w:kern w:val="0"/>
                <w:szCs w:val="21"/>
                <w:lang w:bidi="ar"/>
              </w:rPr>
            </w:pPr>
          </w:p>
        </w:tc>
      </w:tr>
      <w:tr w14:paraId="577A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092" w:type="dxa"/>
            <w:vMerge w:val="restart"/>
            <w:noWrap w:val="0"/>
            <w:vAlign w:val="center"/>
          </w:tcPr>
          <w:p w14:paraId="55AF5D9D">
            <w:pPr>
              <w:widowControl/>
              <w:tabs>
                <w:tab w:val="left" w:pos="220"/>
              </w:tabs>
              <w:spacing w:line="3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维修工作准时率、及时率</w:t>
            </w:r>
          </w:p>
        </w:tc>
        <w:tc>
          <w:tcPr>
            <w:tcW w:w="4686" w:type="dxa"/>
            <w:noWrap w:val="0"/>
            <w:vAlign w:val="top"/>
          </w:tcPr>
          <w:p w14:paraId="0C158AD3">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1.消防主机确保无故障、无屏蔽及信号反馈正常；消防强弱电设备及水系统设备故障需1小时内进场维修，普通故障6小时内完成故障维修，特殊故障处理不得超过24小时；</w:t>
            </w:r>
          </w:p>
        </w:tc>
        <w:tc>
          <w:tcPr>
            <w:tcW w:w="851" w:type="dxa"/>
            <w:vMerge w:val="restart"/>
            <w:noWrap w:val="0"/>
            <w:vAlign w:val="center"/>
          </w:tcPr>
          <w:p w14:paraId="17231CEC">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20分</w:t>
            </w:r>
          </w:p>
        </w:tc>
        <w:tc>
          <w:tcPr>
            <w:tcW w:w="1276" w:type="dxa"/>
            <w:vMerge w:val="restart"/>
            <w:noWrap w:val="0"/>
            <w:vAlign w:val="center"/>
          </w:tcPr>
          <w:p w14:paraId="659429C9">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不符合要求的每次扣2分，扣完为止。</w:t>
            </w:r>
          </w:p>
        </w:tc>
        <w:tc>
          <w:tcPr>
            <w:tcW w:w="1134" w:type="dxa"/>
            <w:vMerge w:val="restart"/>
            <w:noWrap w:val="0"/>
            <w:vAlign w:val="center"/>
          </w:tcPr>
          <w:p w14:paraId="345A5711">
            <w:pPr>
              <w:widowControl/>
              <w:tabs>
                <w:tab w:val="left" w:pos="220"/>
              </w:tabs>
              <w:spacing w:line="360" w:lineRule="exact"/>
              <w:rPr>
                <w:rFonts w:ascii="宋体" w:hAnsi="宋体" w:cs="宋体"/>
                <w:color w:val="000000"/>
                <w:kern w:val="0"/>
                <w:szCs w:val="21"/>
                <w:lang w:bidi="ar"/>
              </w:rPr>
            </w:pPr>
          </w:p>
        </w:tc>
      </w:tr>
      <w:tr w14:paraId="106F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092" w:type="dxa"/>
            <w:vMerge w:val="continue"/>
            <w:noWrap w:val="0"/>
            <w:vAlign w:val="top"/>
          </w:tcPr>
          <w:p w14:paraId="6C388807">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549C438B">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2.如委托维保设备出现紧急设备故障，接到使用单位通知后，乙方维保人员必须在1小时内到达现场处理突发事件，必须确保系统 24 小时内能恢复正常（需要更换部件的、需厂家解决的和不可抗拒的自然灾害引起的事故除外）。</w:t>
            </w:r>
          </w:p>
        </w:tc>
        <w:tc>
          <w:tcPr>
            <w:tcW w:w="851" w:type="dxa"/>
            <w:vMerge w:val="continue"/>
            <w:noWrap w:val="0"/>
            <w:vAlign w:val="center"/>
          </w:tcPr>
          <w:p w14:paraId="0CCA946E">
            <w:pPr>
              <w:widowControl/>
              <w:tabs>
                <w:tab w:val="left" w:pos="220"/>
              </w:tabs>
              <w:spacing w:line="360" w:lineRule="exact"/>
              <w:jc w:val="center"/>
              <w:rPr>
                <w:rFonts w:ascii="宋体" w:hAnsi="宋体" w:cs="宋体"/>
                <w:color w:val="000000"/>
                <w:kern w:val="0"/>
                <w:szCs w:val="21"/>
                <w:lang w:bidi="ar"/>
              </w:rPr>
            </w:pPr>
          </w:p>
        </w:tc>
        <w:tc>
          <w:tcPr>
            <w:tcW w:w="1276" w:type="dxa"/>
            <w:vMerge w:val="continue"/>
            <w:noWrap w:val="0"/>
            <w:vAlign w:val="center"/>
          </w:tcPr>
          <w:p w14:paraId="5008338D">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61542286">
            <w:pPr>
              <w:widowControl/>
              <w:tabs>
                <w:tab w:val="left" w:pos="220"/>
              </w:tabs>
              <w:spacing w:line="360" w:lineRule="exact"/>
              <w:rPr>
                <w:rFonts w:ascii="宋体" w:hAnsi="宋体" w:cs="宋体"/>
                <w:color w:val="000000"/>
                <w:kern w:val="0"/>
                <w:szCs w:val="21"/>
                <w:lang w:bidi="ar"/>
              </w:rPr>
            </w:pPr>
          </w:p>
        </w:tc>
      </w:tr>
      <w:tr w14:paraId="40C5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restart"/>
            <w:noWrap w:val="0"/>
            <w:vAlign w:val="center"/>
          </w:tcPr>
          <w:p w14:paraId="473B9BF6">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维保作业</w:t>
            </w:r>
          </w:p>
        </w:tc>
        <w:tc>
          <w:tcPr>
            <w:tcW w:w="4686" w:type="dxa"/>
            <w:noWrap w:val="0"/>
            <w:vAlign w:val="top"/>
          </w:tcPr>
          <w:p w14:paraId="1474DCEA">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1.乙方的保养人员必须按月度制定的计划实施保养作业，保养作业完毕必须按要求填写保养记录，记录为一式两份（乙方与甲方各一份），同时甲方将对维保情况按照记录进行随机抽查。</w:t>
            </w:r>
          </w:p>
        </w:tc>
        <w:tc>
          <w:tcPr>
            <w:tcW w:w="851" w:type="dxa"/>
            <w:vMerge w:val="restart"/>
            <w:noWrap w:val="0"/>
            <w:vAlign w:val="center"/>
          </w:tcPr>
          <w:p w14:paraId="01FE0B53">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30分</w:t>
            </w:r>
          </w:p>
        </w:tc>
        <w:tc>
          <w:tcPr>
            <w:tcW w:w="1276" w:type="dxa"/>
            <w:vMerge w:val="restart"/>
            <w:noWrap w:val="0"/>
            <w:vAlign w:val="center"/>
          </w:tcPr>
          <w:p w14:paraId="20631E42">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不符合要求的每次扣2分，扣完为止。</w:t>
            </w:r>
          </w:p>
        </w:tc>
        <w:tc>
          <w:tcPr>
            <w:tcW w:w="1134" w:type="dxa"/>
            <w:vMerge w:val="restart"/>
            <w:noWrap w:val="0"/>
            <w:vAlign w:val="top"/>
          </w:tcPr>
          <w:p w14:paraId="2987E168">
            <w:pPr>
              <w:widowControl/>
              <w:tabs>
                <w:tab w:val="left" w:pos="220"/>
              </w:tabs>
              <w:spacing w:line="360" w:lineRule="exact"/>
              <w:jc w:val="left"/>
              <w:rPr>
                <w:rFonts w:ascii="宋体" w:hAnsi="宋体" w:cs="宋体"/>
                <w:color w:val="000000"/>
                <w:kern w:val="0"/>
                <w:szCs w:val="21"/>
                <w:lang w:bidi="ar"/>
              </w:rPr>
            </w:pPr>
          </w:p>
        </w:tc>
      </w:tr>
      <w:tr w14:paraId="4221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2" w:type="dxa"/>
            <w:vMerge w:val="continue"/>
            <w:noWrap w:val="0"/>
            <w:vAlign w:val="top"/>
          </w:tcPr>
          <w:p w14:paraId="08350D62">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461442B8">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乙方的保养人员必须按月度制定的计划实施保养作业，按质按量完成计划规定的保养内容，乙方提供的维保服务，必须参照国家规定的相关要求执行。消防设备设施通过定期的维保，必须达到相关技术要求正常使用、运行。因乙方过错而导致发生意外事件的，全部责任由乙方承担；</w:t>
            </w:r>
          </w:p>
        </w:tc>
        <w:tc>
          <w:tcPr>
            <w:tcW w:w="851" w:type="dxa"/>
            <w:vMerge w:val="continue"/>
            <w:noWrap w:val="0"/>
            <w:vAlign w:val="center"/>
          </w:tcPr>
          <w:p w14:paraId="1FEFAEE7">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5497BA40">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199FEE3A">
            <w:pPr>
              <w:widowControl/>
              <w:tabs>
                <w:tab w:val="left" w:pos="220"/>
              </w:tabs>
              <w:spacing w:line="360" w:lineRule="exact"/>
              <w:rPr>
                <w:rFonts w:ascii="宋体" w:hAnsi="宋体" w:cs="宋体"/>
                <w:color w:val="000000"/>
                <w:kern w:val="0"/>
                <w:szCs w:val="21"/>
                <w:lang w:bidi="ar"/>
              </w:rPr>
            </w:pPr>
          </w:p>
        </w:tc>
      </w:tr>
      <w:tr w14:paraId="6F20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294B8975">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0BB1853C">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3.乙方保养人员在进入机房作业完毕后，应锁好门窗，关闭不使用的电器电源。同时由此导致发生意外事件的，全部责任由乙方承担；</w:t>
            </w:r>
          </w:p>
        </w:tc>
        <w:tc>
          <w:tcPr>
            <w:tcW w:w="851" w:type="dxa"/>
            <w:vMerge w:val="continue"/>
            <w:noWrap w:val="0"/>
            <w:vAlign w:val="center"/>
          </w:tcPr>
          <w:p w14:paraId="44934A4C">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0E349C0B">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56F9CC0D">
            <w:pPr>
              <w:widowControl/>
              <w:tabs>
                <w:tab w:val="left" w:pos="220"/>
              </w:tabs>
              <w:spacing w:line="360" w:lineRule="exact"/>
              <w:rPr>
                <w:rFonts w:ascii="宋体" w:hAnsi="宋体" w:cs="宋体"/>
                <w:color w:val="000000"/>
                <w:kern w:val="0"/>
                <w:szCs w:val="21"/>
                <w:lang w:bidi="ar"/>
              </w:rPr>
            </w:pPr>
          </w:p>
        </w:tc>
      </w:tr>
      <w:tr w14:paraId="0BDF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58CE3EAE">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40C53645">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4.乙方保养人员在实施维保作业时，必须以国家规范及合同附件里的保养项目表作为参照范围依据，制定相关计划定期对相关项目进行维保。</w:t>
            </w:r>
          </w:p>
        </w:tc>
        <w:tc>
          <w:tcPr>
            <w:tcW w:w="851" w:type="dxa"/>
            <w:vMerge w:val="continue"/>
            <w:noWrap w:val="0"/>
            <w:vAlign w:val="center"/>
          </w:tcPr>
          <w:p w14:paraId="2EE81206">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15E53426">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0A0FAC3F">
            <w:pPr>
              <w:widowControl/>
              <w:tabs>
                <w:tab w:val="left" w:pos="220"/>
              </w:tabs>
              <w:spacing w:line="360" w:lineRule="exact"/>
              <w:rPr>
                <w:rFonts w:ascii="宋体" w:hAnsi="宋体" w:cs="宋体"/>
                <w:color w:val="000000"/>
                <w:kern w:val="0"/>
                <w:szCs w:val="21"/>
                <w:lang w:bidi="ar"/>
              </w:rPr>
            </w:pPr>
          </w:p>
        </w:tc>
      </w:tr>
      <w:tr w14:paraId="6502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61D41A72">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058765C7">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5.维保人员</w:t>
            </w:r>
            <w:r>
              <w:rPr>
                <w:rFonts w:hint="eastAsia" w:ascii="宋体" w:hAnsi="宋体" w:cs="宋体"/>
                <w:color w:val="000000"/>
                <w:kern w:val="0"/>
                <w:szCs w:val="21"/>
                <w:lang w:val="zh-CN" w:bidi="ar"/>
              </w:rPr>
              <w:t>负责消防设施每</w:t>
            </w:r>
            <w:r>
              <w:rPr>
                <w:rFonts w:hint="eastAsia" w:ascii="宋体" w:hAnsi="宋体" w:cs="宋体"/>
                <w:color w:val="000000"/>
                <w:kern w:val="0"/>
                <w:szCs w:val="21"/>
                <w:lang w:bidi="ar"/>
              </w:rPr>
              <w:t>周</w:t>
            </w:r>
            <w:r>
              <w:rPr>
                <w:rFonts w:hint="eastAsia" w:ascii="宋体" w:hAnsi="宋体" w:cs="宋体"/>
                <w:color w:val="000000"/>
                <w:kern w:val="0"/>
                <w:szCs w:val="21"/>
                <w:lang w:val="zh-CN" w:bidi="ar"/>
              </w:rPr>
              <w:t>的日常巡检维护工作并填写“巡检记录表”及“设施设备日常维护检修记录表”，并存档备查。</w:t>
            </w:r>
          </w:p>
        </w:tc>
        <w:tc>
          <w:tcPr>
            <w:tcW w:w="851" w:type="dxa"/>
            <w:vMerge w:val="continue"/>
            <w:noWrap w:val="0"/>
            <w:vAlign w:val="center"/>
          </w:tcPr>
          <w:p w14:paraId="387B6DBC">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73B69212">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3E5B8B33">
            <w:pPr>
              <w:widowControl/>
              <w:tabs>
                <w:tab w:val="left" w:pos="220"/>
              </w:tabs>
              <w:spacing w:line="360" w:lineRule="exact"/>
              <w:rPr>
                <w:rFonts w:ascii="宋体" w:hAnsi="宋体" w:cs="宋体"/>
                <w:color w:val="000000"/>
                <w:kern w:val="0"/>
                <w:szCs w:val="21"/>
                <w:lang w:bidi="ar"/>
              </w:rPr>
            </w:pPr>
          </w:p>
        </w:tc>
      </w:tr>
      <w:tr w14:paraId="602D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1C4D9DC2">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59ACFCD0">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6.</w:t>
            </w:r>
            <w:r>
              <w:rPr>
                <w:rFonts w:hint="eastAsia" w:ascii="宋体" w:hAnsi="宋体" w:cs="宋体"/>
                <w:color w:val="000000"/>
                <w:kern w:val="0"/>
                <w:szCs w:val="21"/>
                <w:lang w:val="zh-CN" w:bidi="ar"/>
              </w:rPr>
              <w:t>维保技术人员每月</w:t>
            </w:r>
            <w:r>
              <w:rPr>
                <w:rFonts w:hint="eastAsia" w:ascii="宋体" w:hAnsi="宋体" w:cs="宋体"/>
                <w:color w:val="000000"/>
                <w:kern w:val="0"/>
                <w:szCs w:val="21"/>
                <w:lang w:bidi="ar"/>
              </w:rPr>
              <w:t>20日前</w:t>
            </w:r>
            <w:r>
              <w:rPr>
                <w:rFonts w:hint="eastAsia" w:ascii="宋体" w:hAnsi="宋体" w:cs="宋体"/>
                <w:color w:val="000000"/>
                <w:kern w:val="0"/>
                <w:szCs w:val="21"/>
                <w:lang w:val="zh-CN" w:bidi="ar"/>
              </w:rPr>
              <w:t>应以书面形式上报所完成的工作落实执行情况报告(附</w:t>
            </w:r>
            <w:r>
              <w:rPr>
                <w:rFonts w:hint="eastAsia" w:ascii="宋体" w:hAnsi="宋体" w:cs="宋体"/>
                <w:color w:val="000000"/>
                <w:kern w:val="0"/>
                <w:szCs w:val="21"/>
                <w:lang w:bidi="ar"/>
              </w:rPr>
              <w:t>带日期的</w:t>
            </w:r>
            <w:r>
              <w:rPr>
                <w:rFonts w:hint="eastAsia" w:ascii="宋体" w:hAnsi="宋体" w:cs="宋体"/>
                <w:color w:val="000000"/>
                <w:kern w:val="0"/>
                <w:szCs w:val="21"/>
                <w:lang w:val="zh-CN" w:bidi="ar"/>
              </w:rPr>
              <w:t>影像照片资料)。</w:t>
            </w:r>
          </w:p>
        </w:tc>
        <w:tc>
          <w:tcPr>
            <w:tcW w:w="851" w:type="dxa"/>
            <w:vMerge w:val="continue"/>
            <w:noWrap w:val="0"/>
            <w:vAlign w:val="center"/>
          </w:tcPr>
          <w:p w14:paraId="513D0EA2">
            <w:pPr>
              <w:widowControl/>
              <w:spacing w:line="360" w:lineRule="exact"/>
              <w:jc w:val="center"/>
              <w:rPr>
                <w:rFonts w:ascii="宋体" w:hAnsi="宋体" w:cs="宋体"/>
                <w:color w:val="000000"/>
                <w:kern w:val="0"/>
                <w:szCs w:val="21"/>
                <w:lang w:bidi="ar"/>
              </w:rPr>
            </w:pPr>
          </w:p>
        </w:tc>
        <w:tc>
          <w:tcPr>
            <w:tcW w:w="1276" w:type="dxa"/>
            <w:noWrap w:val="0"/>
            <w:vAlign w:val="center"/>
          </w:tcPr>
          <w:p w14:paraId="11EF2FEB">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如未提交，扣5分。</w:t>
            </w:r>
          </w:p>
        </w:tc>
        <w:tc>
          <w:tcPr>
            <w:tcW w:w="1134" w:type="dxa"/>
            <w:vMerge w:val="continue"/>
            <w:noWrap w:val="0"/>
            <w:vAlign w:val="center"/>
          </w:tcPr>
          <w:p w14:paraId="1C679EDA">
            <w:pPr>
              <w:widowControl/>
              <w:tabs>
                <w:tab w:val="left" w:pos="220"/>
              </w:tabs>
              <w:spacing w:line="360" w:lineRule="exact"/>
              <w:rPr>
                <w:rFonts w:ascii="宋体" w:hAnsi="宋体" w:cs="宋体"/>
                <w:color w:val="000000"/>
                <w:kern w:val="0"/>
                <w:szCs w:val="21"/>
                <w:lang w:bidi="ar"/>
              </w:rPr>
            </w:pPr>
          </w:p>
        </w:tc>
      </w:tr>
      <w:tr w14:paraId="408B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92" w:type="dxa"/>
            <w:vMerge w:val="restart"/>
            <w:noWrap w:val="0"/>
            <w:vAlign w:val="center"/>
          </w:tcPr>
          <w:p w14:paraId="78C35BD1">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维修更换工作</w:t>
            </w:r>
          </w:p>
          <w:p w14:paraId="7FE07933">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1A9A82D0">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1.维修设备时，必须采取安全措施；</w:t>
            </w:r>
          </w:p>
        </w:tc>
        <w:tc>
          <w:tcPr>
            <w:tcW w:w="851" w:type="dxa"/>
            <w:vMerge w:val="restart"/>
            <w:noWrap w:val="0"/>
            <w:vAlign w:val="center"/>
          </w:tcPr>
          <w:p w14:paraId="77CF2DEF">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20分</w:t>
            </w:r>
          </w:p>
        </w:tc>
        <w:tc>
          <w:tcPr>
            <w:tcW w:w="1276" w:type="dxa"/>
            <w:vMerge w:val="restart"/>
            <w:noWrap w:val="0"/>
            <w:vAlign w:val="center"/>
          </w:tcPr>
          <w:p w14:paraId="2B450731">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不符合要求的每次扣4分，扣完为止。</w:t>
            </w:r>
          </w:p>
        </w:tc>
        <w:tc>
          <w:tcPr>
            <w:tcW w:w="1134" w:type="dxa"/>
            <w:vMerge w:val="restart"/>
            <w:noWrap w:val="0"/>
            <w:vAlign w:val="top"/>
          </w:tcPr>
          <w:p w14:paraId="0A3F1A63">
            <w:pPr>
              <w:widowControl/>
              <w:tabs>
                <w:tab w:val="left" w:pos="220"/>
              </w:tabs>
              <w:spacing w:line="360" w:lineRule="exact"/>
              <w:jc w:val="left"/>
              <w:rPr>
                <w:rFonts w:ascii="宋体" w:hAnsi="宋体" w:cs="宋体"/>
                <w:color w:val="000000"/>
                <w:kern w:val="0"/>
                <w:szCs w:val="21"/>
                <w:lang w:bidi="ar"/>
              </w:rPr>
            </w:pPr>
          </w:p>
        </w:tc>
      </w:tr>
      <w:tr w14:paraId="2385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092" w:type="dxa"/>
            <w:vMerge w:val="continue"/>
            <w:noWrap w:val="0"/>
            <w:vAlign w:val="top"/>
          </w:tcPr>
          <w:p w14:paraId="0A4EF9ED">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430878BB">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2.乙方提供的零配件价格应符合常用配件报价表中的品牌，乙方作为专业商家，应建议并提供性能可靠、质量合格的配件；</w:t>
            </w:r>
          </w:p>
        </w:tc>
        <w:tc>
          <w:tcPr>
            <w:tcW w:w="851" w:type="dxa"/>
            <w:vMerge w:val="continue"/>
            <w:noWrap w:val="0"/>
            <w:vAlign w:val="center"/>
          </w:tcPr>
          <w:p w14:paraId="32F93410">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553527FB">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top"/>
          </w:tcPr>
          <w:p w14:paraId="14AEFE33">
            <w:pPr>
              <w:widowControl/>
              <w:tabs>
                <w:tab w:val="left" w:pos="220"/>
              </w:tabs>
              <w:spacing w:line="360" w:lineRule="exact"/>
              <w:jc w:val="left"/>
              <w:rPr>
                <w:rFonts w:ascii="宋体" w:hAnsi="宋体" w:cs="宋体"/>
                <w:color w:val="000000"/>
                <w:kern w:val="0"/>
                <w:szCs w:val="21"/>
                <w:lang w:bidi="ar"/>
              </w:rPr>
            </w:pPr>
          </w:p>
        </w:tc>
      </w:tr>
      <w:tr w14:paraId="2D7B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noWrap w:val="0"/>
            <w:vAlign w:val="top"/>
          </w:tcPr>
          <w:p w14:paraId="08005643">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7E8FD022">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3.不酒后从事高危工作；</w:t>
            </w:r>
          </w:p>
        </w:tc>
        <w:tc>
          <w:tcPr>
            <w:tcW w:w="851" w:type="dxa"/>
            <w:vMerge w:val="continue"/>
            <w:noWrap w:val="0"/>
            <w:vAlign w:val="center"/>
          </w:tcPr>
          <w:p w14:paraId="0D15B906">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19A9A6CC">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6DAB1356">
            <w:pPr>
              <w:widowControl/>
              <w:tabs>
                <w:tab w:val="left" w:pos="220"/>
              </w:tabs>
              <w:spacing w:line="360" w:lineRule="exact"/>
              <w:rPr>
                <w:rFonts w:ascii="宋体" w:hAnsi="宋体" w:cs="宋体"/>
                <w:color w:val="000000"/>
                <w:kern w:val="0"/>
                <w:szCs w:val="21"/>
                <w:lang w:bidi="ar"/>
              </w:rPr>
            </w:pPr>
          </w:p>
        </w:tc>
      </w:tr>
      <w:tr w14:paraId="313B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92" w:type="dxa"/>
            <w:vMerge w:val="continue"/>
            <w:noWrap w:val="0"/>
            <w:vAlign w:val="top"/>
          </w:tcPr>
          <w:p w14:paraId="73E4F6AE">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1F660B68">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4.严禁违规改接控制回路及不按规范操作维修；</w:t>
            </w:r>
          </w:p>
        </w:tc>
        <w:tc>
          <w:tcPr>
            <w:tcW w:w="851" w:type="dxa"/>
            <w:vMerge w:val="continue"/>
            <w:noWrap w:val="0"/>
            <w:vAlign w:val="center"/>
          </w:tcPr>
          <w:p w14:paraId="6E92ACB3">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59959B75">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712297C7">
            <w:pPr>
              <w:widowControl/>
              <w:tabs>
                <w:tab w:val="left" w:pos="220"/>
              </w:tabs>
              <w:spacing w:line="360" w:lineRule="exact"/>
              <w:rPr>
                <w:rFonts w:ascii="宋体" w:hAnsi="宋体" w:cs="宋体"/>
                <w:color w:val="000000"/>
                <w:kern w:val="0"/>
                <w:szCs w:val="21"/>
                <w:lang w:bidi="ar"/>
              </w:rPr>
            </w:pPr>
          </w:p>
        </w:tc>
      </w:tr>
      <w:tr w14:paraId="3BE1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92" w:type="dxa"/>
            <w:vMerge w:val="continue"/>
            <w:noWrap w:val="0"/>
            <w:vAlign w:val="top"/>
          </w:tcPr>
          <w:p w14:paraId="2A9A1E3C">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7C6D4256">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5.按质按量填写维修情况记录表。</w:t>
            </w:r>
          </w:p>
        </w:tc>
        <w:tc>
          <w:tcPr>
            <w:tcW w:w="851" w:type="dxa"/>
            <w:vMerge w:val="continue"/>
            <w:noWrap w:val="0"/>
            <w:vAlign w:val="center"/>
          </w:tcPr>
          <w:p w14:paraId="74FE6E31">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63BA1F6A">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64CC5886">
            <w:pPr>
              <w:widowControl/>
              <w:tabs>
                <w:tab w:val="left" w:pos="220"/>
              </w:tabs>
              <w:spacing w:line="360" w:lineRule="exact"/>
              <w:rPr>
                <w:rFonts w:ascii="宋体" w:hAnsi="宋体" w:cs="宋体"/>
                <w:color w:val="000000"/>
                <w:kern w:val="0"/>
                <w:szCs w:val="21"/>
                <w:lang w:bidi="ar"/>
              </w:rPr>
            </w:pPr>
          </w:p>
        </w:tc>
      </w:tr>
      <w:tr w14:paraId="2DD3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restart"/>
            <w:noWrap w:val="0"/>
            <w:vAlign w:val="center"/>
          </w:tcPr>
          <w:p w14:paraId="1DCC6EEF">
            <w:pPr>
              <w:widowControl/>
              <w:tabs>
                <w:tab w:val="left" w:pos="220"/>
              </w:tabs>
              <w:spacing w:line="360" w:lineRule="exact"/>
              <w:jc w:val="center"/>
              <w:rPr>
                <w:rFonts w:ascii="宋体" w:hAnsi="宋体" w:cs="宋体"/>
                <w:color w:val="000000"/>
                <w:kern w:val="0"/>
                <w:szCs w:val="21"/>
                <w:lang w:bidi="ar"/>
              </w:rPr>
            </w:pPr>
          </w:p>
          <w:p w14:paraId="5B69BF33">
            <w:pPr>
              <w:widowControl/>
              <w:tabs>
                <w:tab w:val="left" w:pos="220"/>
              </w:tabs>
              <w:spacing w:line="360" w:lineRule="exact"/>
              <w:jc w:val="center"/>
              <w:rPr>
                <w:rFonts w:ascii="宋体" w:hAnsi="宋体" w:cs="宋体"/>
                <w:color w:val="000000"/>
                <w:kern w:val="0"/>
                <w:szCs w:val="21"/>
                <w:lang w:bidi="ar"/>
              </w:rPr>
            </w:pPr>
          </w:p>
          <w:p w14:paraId="51E427DD">
            <w:pPr>
              <w:widowControl/>
              <w:tabs>
                <w:tab w:val="left" w:pos="220"/>
              </w:tabs>
              <w:spacing w:line="360" w:lineRule="exact"/>
              <w:jc w:val="center"/>
              <w:rPr>
                <w:rFonts w:ascii="宋体" w:hAnsi="宋体" w:cs="宋体"/>
                <w:color w:val="000000"/>
                <w:kern w:val="0"/>
                <w:szCs w:val="21"/>
                <w:lang w:bidi="ar"/>
              </w:rPr>
            </w:pPr>
          </w:p>
          <w:p w14:paraId="045FDA4F">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活动保障</w:t>
            </w:r>
          </w:p>
        </w:tc>
        <w:tc>
          <w:tcPr>
            <w:tcW w:w="4686" w:type="dxa"/>
            <w:noWrap w:val="0"/>
            <w:vAlign w:val="top"/>
          </w:tcPr>
          <w:p w14:paraId="24682B74">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1.在举办大型体育赛事、大型文艺演出等活动时，乙方维保人员必须进行系统巡检一次，确保系统运行正常，活动正常进行；</w:t>
            </w:r>
          </w:p>
        </w:tc>
        <w:tc>
          <w:tcPr>
            <w:tcW w:w="851" w:type="dxa"/>
            <w:vMerge w:val="restart"/>
            <w:noWrap w:val="0"/>
            <w:vAlign w:val="center"/>
          </w:tcPr>
          <w:p w14:paraId="050631D0">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15分</w:t>
            </w:r>
          </w:p>
        </w:tc>
        <w:tc>
          <w:tcPr>
            <w:tcW w:w="1276" w:type="dxa"/>
            <w:vMerge w:val="restart"/>
            <w:noWrap w:val="0"/>
            <w:vAlign w:val="center"/>
          </w:tcPr>
          <w:p w14:paraId="6FF2846E">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不符合要求的每次扣5分，扣完为止。</w:t>
            </w:r>
          </w:p>
        </w:tc>
        <w:tc>
          <w:tcPr>
            <w:tcW w:w="1134" w:type="dxa"/>
            <w:vMerge w:val="restart"/>
            <w:noWrap w:val="0"/>
            <w:vAlign w:val="center"/>
          </w:tcPr>
          <w:p w14:paraId="091A15B9">
            <w:pPr>
              <w:widowControl/>
              <w:tabs>
                <w:tab w:val="left" w:pos="220"/>
              </w:tabs>
              <w:spacing w:line="360" w:lineRule="exact"/>
              <w:rPr>
                <w:rFonts w:ascii="宋体" w:hAnsi="宋体" w:cs="宋体"/>
                <w:color w:val="000000"/>
                <w:kern w:val="0"/>
                <w:szCs w:val="21"/>
                <w:lang w:bidi="ar"/>
              </w:rPr>
            </w:pPr>
          </w:p>
        </w:tc>
      </w:tr>
      <w:tr w14:paraId="5AEC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92" w:type="dxa"/>
            <w:vMerge w:val="continue"/>
            <w:noWrap w:val="0"/>
            <w:vAlign w:val="top"/>
          </w:tcPr>
          <w:p w14:paraId="4E3044B2">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7B1DE426">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2.在举办大型体育赛事、大型文艺演出等活动时，乙方维保人员必须进行现场技术保障，确保活动正常进行。</w:t>
            </w:r>
          </w:p>
        </w:tc>
        <w:tc>
          <w:tcPr>
            <w:tcW w:w="851" w:type="dxa"/>
            <w:vMerge w:val="continue"/>
            <w:noWrap w:val="0"/>
            <w:vAlign w:val="center"/>
          </w:tcPr>
          <w:p w14:paraId="04B60409">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2476E7E8">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2112980A">
            <w:pPr>
              <w:widowControl/>
              <w:tabs>
                <w:tab w:val="left" w:pos="220"/>
              </w:tabs>
              <w:spacing w:line="360" w:lineRule="exact"/>
              <w:rPr>
                <w:rFonts w:ascii="宋体" w:hAnsi="宋体" w:cs="宋体"/>
                <w:color w:val="000000"/>
                <w:kern w:val="0"/>
                <w:szCs w:val="21"/>
                <w:lang w:bidi="ar"/>
              </w:rPr>
            </w:pPr>
          </w:p>
        </w:tc>
      </w:tr>
      <w:tr w14:paraId="5122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92" w:type="dxa"/>
            <w:vMerge w:val="continue"/>
            <w:noWrap w:val="0"/>
            <w:vAlign w:val="top"/>
          </w:tcPr>
          <w:p w14:paraId="109401FA">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7C42367D">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3.维保单位需配合甲方做好市消防部门和各个监管部门的迎接检查、技术服务等协调工作。</w:t>
            </w:r>
          </w:p>
        </w:tc>
        <w:tc>
          <w:tcPr>
            <w:tcW w:w="851" w:type="dxa"/>
            <w:vMerge w:val="continue"/>
            <w:noWrap w:val="0"/>
            <w:vAlign w:val="center"/>
          </w:tcPr>
          <w:p w14:paraId="20D0F435">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5A8B3CDD">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2F690956">
            <w:pPr>
              <w:widowControl/>
              <w:tabs>
                <w:tab w:val="left" w:pos="220"/>
              </w:tabs>
              <w:spacing w:line="360" w:lineRule="exact"/>
              <w:rPr>
                <w:rFonts w:ascii="宋体" w:hAnsi="宋体" w:cs="宋体"/>
                <w:color w:val="000000"/>
                <w:kern w:val="0"/>
                <w:szCs w:val="21"/>
                <w:lang w:bidi="ar"/>
              </w:rPr>
            </w:pPr>
          </w:p>
        </w:tc>
      </w:tr>
      <w:tr w14:paraId="6420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8F84100">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技术指导</w:t>
            </w:r>
          </w:p>
        </w:tc>
        <w:tc>
          <w:tcPr>
            <w:tcW w:w="4686" w:type="dxa"/>
            <w:noWrap w:val="0"/>
            <w:vAlign w:val="top"/>
          </w:tcPr>
          <w:p w14:paraId="04C05EDA">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维保单位需负责甲方指定人员的专业技术指导工作，主机设备密码及点位信息更改需甲方人员报备。</w:t>
            </w:r>
          </w:p>
        </w:tc>
        <w:tc>
          <w:tcPr>
            <w:tcW w:w="851" w:type="dxa"/>
            <w:noWrap w:val="0"/>
            <w:vAlign w:val="center"/>
          </w:tcPr>
          <w:p w14:paraId="19BD7629">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5分</w:t>
            </w:r>
          </w:p>
        </w:tc>
        <w:tc>
          <w:tcPr>
            <w:tcW w:w="1276" w:type="dxa"/>
            <w:noWrap w:val="0"/>
            <w:vAlign w:val="center"/>
          </w:tcPr>
          <w:p w14:paraId="61F8E803">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如有不合格，扣5分</w:t>
            </w:r>
          </w:p>
        </w:tc>
        <w:tc>
          <w:tcPr>
            <w:tcW w:w="1134" w:type="dxa"/>
            <w:noWrap w:val="0"/>
            <w:vAlign w:val="center"/>
          </w:tcPr>
          <w:p w14:paraId="6F1501EA">
            <w:pPr>
              <w:widowControl/>
              <w:tabs>
                <w:tab w:val="left" w:pos="220"/>
              </w:tabs>
              <w:spacing w:line="360" w:lineRule="exact"/>
              <w:rPr>
                <w:rFonts w:ascii="宋体" w:hAnsi="宋体" w:cs="宋体"/>
                <w:color w:val="000000"/>
                <w:kern w:val="0"/>
                <w:szCs w:val="21"/>
                <w:lang w:bidi="ar"/>
              </w:rPr>
            </w:pPr>
          </w:p>
        </w:tc>
      </w:tr>
      <w:tr w14:paraId="4590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BE0D647">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备注</w:t>
            </w:r>
          </w:p>
        </w:tc>
        <w:tc>
          <w:tcPr>
            <w:tcW w:w="7947" w:type="dxa"/>
            <w:gridSpan w:val="4"/>
            <w:noWrap w:val="0"/>
            <w:vAlign w:val="top"/>
          </w:tcPr>
          <w:p w14:paraId="4784A66A">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考核内容及标准包含但不限于已列明的内容，如有未列明的以实际要求为准。</w:t>
            </w:r>
          </w:p>
        </w:tc>
      </w:tr>
      <w:tr w14:paraId="6B60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92" w:type="dxa"/>
            <w:noWrap w:val="0"/>
            <w:vAlign w:val="center"/>
          </w:tcPr>
          <w:p w14:paraId="507D01A2">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合计得分</w:t>
            </w:r>
          </w:p>
        </w:tc>
        <w:tc>
          <w:tcPr>
            <w:tcW w:w="7947" w:type="dxa"/>
            <w:gridSpan w:val="4"/>
            <w:noWrap w:val="0"/>
            <w:vAlign w:val="center"/>
          </w:tcPr>
          <w:p w14:paraId="4E19488A">
            <w:pPr>
              <w:widowControl/>
              <w:tabs>
                <w:tab w:val="left" w:pos="220"/>
              </w:tabs>
              <w:spacing w:line="360" w:lineRule="exact"/>
              <w:jc w:val="center"/>
              <w:rPr>
                <w:rFonts w:ascii="宋体" w:hAnsi="宋体" w:cs="宋体"/>
                <w:color w:val="000000"/>
                <w:kern w:val="0"/>
                <w:szCs w:val="21"/>
                <w:lang w:bidi="ar"/>
              </w:rPr>
            </w:pPr>
          </w:p>
        </w:tc>
      </w:tr>
      <w:tr w14:paraId="790D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92" w:type="dxa"/>
            <w:noWrap w:val="0"/>
            <w:vAlign w:val="center"/>
          </w:tcPr>
          <w:p w14:paraId="5C46F000">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被考核人</w:t>
            </w:r>
          </w:p>
        </w:tc>
        <w:tc>
          <w:tcPr>
            <w:tcW w:w="7947" w:type="dxa"/>
            <w:gridSpan w:val="4"/>
            <w:noWrap w:val="0"/>
            <w:vAlign w:val="center"/>
          </w:tcPr>
          <w:p w14:paraId="5DF8A80F">
            <w:pPr>
              <w:widowControl/>
              <w:tabs>
                <w:tab w:val="left" w:pos="220"/>
              </w:tabs>
              <w:spacing w:line="360" w:lineRule="exact"/>
              <w:jc w:val="center"/>
              <w:rPr>
                <w:rFonts w:ascii="宋体" w:hAnsi="宋体" w:cs="宋体"/>
                <w:color w:val="000000"/>
                <w:kern w:val="0"/>
                <w:szCs w:val="21"/>
                <w:lang w:bidi="ar"/>
              </w:rPr>
            </w:pPr>
          </w:p>
        </w:tc>
      </w:tr>
      <w:tr w14:paraId="4805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92" w:type="dxa"/>
            <w:noWrap w:val="0"/>
            <w:vAlign w:val="center"/>
          </w:tcPr>
          <w:p w14:paraId="0B47616F">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考核人</w:t>
            </w:r>
          </w:p>
        </w:tc>
        <w:tc>
          <w:tcPr>
            <w:tcW w:w="7947" w:type="dxa"/>
            <w:gridSpan w:val="4"/>
            <w:noWrap w:val="0"/>
            <w:vAlign w:val="center"/>
          </w:tcPr>
          <w:p w14:paraId="72A56883">
            <w:pPr>
              <w:widowControl/>
              <w:tabs>
                <w:tab w:val="left" w:pos="220"/>
              </w:tabs>
              <w:spacing w:line="360" w:lineRule="exact"/>
              <w:jc w:val="center"/>
              <w:rPr>
                <w:rFonts w:ascii="宋体" w:hAnsi="宋体" w:cs="宋体"/>
                <w:color w:val="000000"/>
                <w:kern w:val="0"/>
                <w:szCs w:val="21"/>
                <w:lang w:bidi="ar"/>
              </w:rPr>
            </w:pPr>
          </w:p>
        </w:tc>
      </w:tr>
      <w:tr w14:paraId="2711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092" w:type="dxa"/>
            <w:noWrap w:val="0"/>
            <w:vAlign w:val="center"/>
          </w:tcPr>
          <w:p w14:paraId="3B98F2CD">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应扣金额</w:t>
            </w:r>
          </w:p>
        </w:tc>
        <w:tc>
          <w:tcPr>
            <w:tcW w:w="7947" w:type="dxa"/>
            <w:gridSpan w:val="4"/>
            <w:noWrap w:val="0"/>
            <w:vAlign w:val="center"/>
          </w:tcPr>
          <w:p w14:paraId="16E0BA85">
            <w:pPr>
              <w:widowControl/>
              <w:tabs>
                <w:tab w:val="left" w:pos="220"/>
              </w:tabs>
              <w:spacing w:line="360" w:lineRule="exact"/>
              <w:jc w:val="center"/>
              <w:rPr>
                <w:rFonts w:ascii="宋体" w:hAnsi="宋体" w:cs="宋体"/>
                <w:color w:val="000000"/>
                <w:kern w:val="0"/>
                <w:szCs w:val="21"/>
                <w:lang w:bidi="ar"/>
              </w:rPr>
            </w:pPr>
          </w:p>
        </w:tc>
      </w:tr>
    </w:tbl>
    <w:p w14:paraId="7020C640">
      <w:pPr>
        <w:widowControl/>
        <w:tabs>
          <w:tab w:val="left" w:pos="220"/>
        </w:tabs>
        <w:spacing w:line="500" w:lineRule="exact"/>
        <w:rPr>
          <w:rFonts w:ascii="宋体" w:hAnsi="宋体" w:cs="宋体"/>
          <w:b/>
          <w:color w:val="000000"/>
          <w:kern w:val="0"/>
          <w:sz w:val="24"/>
          <w:szCs w:val="24"/>
          <w:lang w:bidi="ar"/>
        </w:rPr>
      </w:pPr>
      <w:r>
        <w:rPr>
          <w:rFonts w:hint="eastAsia" w:ascii="宋体" w:hAnsi="宋体" w:cs="宋体"/>
          <w:b/>
          <w:color w:val="000000"/>
          <w:kern w:val="0"/>
          <w:sz w:val="24"/>
          <w:szCs w:val="24"/>
          <w:lang w:val="en-US" w:eastAsia="zh-CN" w:bidi="ar"/>
        </w:rPr>
        <w:t>9</w:t>
      </w:r>
      <w:r>
        <w:rPr>
          <w:rFonts w:hint="eastAsia" w:ascii="宋体" w:hAnsi="宋体" w:cs="宋体"/>
          <w:b/>
          <w:color w:val="000000"/>
          <w:kern w:val="0"/>
          <w:sz w:val="24"/>
          <w:szCs w:val="24"/>
          <w:lang w:bidi="ar"/>
        </w:rPr>
        <w:t>、消防评估</w:t>
      </w:r>
    </w:p>
    <w:p w14:paraId="2AA8B1C5">
      <w:pPr>
        <w:spacing w:line="500" w:lineRule="exact"/>
        <w:ind w:firstLine="550"/>
        <w:rPr>
          <w:rFonts w:ascii="宋体" w:hAnsi="宋体" w:cs="宋体"/>
          <w:color w:val="000000"/>
          <w:kern w:val="0"/>
          <w:sz w:val="21"/>
          <w:szCs w:val="21"/>
        </w:rPr>
      </w:pPr>
      <w:r>
        <w:rPr>
          <w:rFonts w:hint="eastAsia" w:ascii="宋体" w:hAnsi="宋体" w:cs="仿宋"/>
          <w:color w:val="000000"/>
          <w:sz w:val="21"/>
          <w:szCs w:val="21"/>
        </w:rPr>
        <w:t>维保单位</w:t>
      </w:r>
      <w:r>
        <w:rPr>
          <w:rFonts w:hint="eastAsia" w:ascii="宋体" w:hAnsi="宋体" w:cs="宋体"/>
          <w:color w:val="000000"/>
          <w:kern w:val="0"/>
          <w:sz w:val="21"/>
          <w:szCs w:val="21"/>
        </w:rPr>
        <w:t>每年定期对</w:t>
      </w:r>
      <w:r>
        <w:rPr>
          <w:rFonts w:hint="eastAsia" w:ascii="宋体" w:hAnsi="宋体"/>
          <w:color w:val="000000"/>
          <w:sz w:val="21"/>
          <w:szCs w:val="21"/>
          <w:lang w:val="en-US" w:eastAsia="zh-CN"/>
        </w:rPr>
        <w:t>招标人</w:t>
      </w:r>
      <w:r>
        <w:rPr>
          <w:rFonts w:hint="eastAsia" w:ascii="宋体" w:hAnsi="宋体" w:cs="宋体"/>
          <w:color w:val="000000"/>
          <w:kern w:val="0"/>
          <w:sz w:val="21"/>
          <w:szCs w:val="21"/>
        </w:rPr>
        <w:t>消防系统维护保养情况进行评估，并出具应急管理部门认可的消防安全评估报告。中标人对接好辖区（或更高级别）应急管理部门的消防检查工作。</w:t>
      </w:r>
    </w:p>
    <w:p w14:paraId="29934618">
      <w:pPr>
        <w:spacing w:line="500" w:lineRule="exact"/>
        <w:ind w:firstLine="550"/>
        <w:rPr>
          <w:rFonts w:ascii="宋体" w:hAnsi="宋体" w:cs="宋体"/>
          <w:color w:val="000000"/>
          <w:kern w:val="0"/>
          <w:sz w:val="21"/>
          <w:szCs w:val="21"/>
        </w:rPr>
      </w:pPr>
      <w:r>
        <w:rPr>
          <w:rFonts w:hint="eastAsia" w:ascii="宋体" w:hAnsi="宋体" w:cs="宋体"/>
          <w:color w:val="000000"/>
          <w:kern w:val="0"/>
          <w:sz w:val="21"/>
          <w:szCs w:val="21"/>
        </w:rPr>
        <w:t>未按照消防评估要求在消防主管单位要求的时间内出具消防评估报告，</w:t>
      </w:r>
      <w:r>
        <w:rPr>
          <w:rFonts w:hint="eastAsia" w:ascii="宋体" w:hAnsi="宋体"/>
          <w:color w:val="000000"/>
          <w:sz w:val="21"/>
          <w:szCs w:val="21"/>
          <w:lang w:val="en-US" w:eastAsia="zh-CN"/>
        </w:rPr>
        <w:t>招标人</w:t>
      </w:r>
      <w:r>
        <w:rPr>
          <w:rFonts w:hint="eastAsia" w:ascii="宋体" w:hAnsi="宋体" w:cs="宋体"/>
          <w:color w:val="000000"/>
          <w:kern w:val="0"/>
          <w:sz w:val="21"/>
          <w:szCs w:val="21"/>
        </w:rPr>
        <w:t>可通过招标形式进行消防评估招标，所产生的费用在中标单位维保费用中扣除，由此产生的其他损失，由</w:t>
      </w:r>
      <w:r>
        <w:rPr>
          <w:rFonts w:hint="eastAsia" w:ascii="宋体" w:hAnsi="宋体" w:cs="仿宋"/>
          <w:color w:val="000000"/>
          <w:sz w:val="21"/>
          <w:szCs w:val="21"/>
        </w:rPr>
        <w:t>维保单位</w:t>
      </w:r>
      <w:r>
        <w:rPr>
          <w:rFonts w:hint="eastAsia" w:ascii="宋体" w:hAnsi="宋体" w:cs="宋体"/>
          <w:color w:val="000000"/>
          <w:kern w:val="0"/>
          <w:sz w:val="21"/>
          <w:szCs w:val="21"/>
        </w:rPr>
        <w:t>承担，产生的社会负面影响，</w:t>
      </w:r>
      <w:r>
        <w:rPr>
          <w:rFonts w:hint="eastAsia" w:ascii="宋体" w:hAnsi="宋体"/>
          <w:color w:val="000000"/>
          <w:sz w:val="21"/>
          <w:szCs w:val="21"/>
          <w:lang w:val="en-US" w:eastAsia="zh-CN"/>
        </w:rPr>
        <w:t>招标人</w:t>
      </w:r>
      <w:r>
        <w:rPr>
          <w:rFonts w:hint="eastAsia" w:ascii="宋体" w:hAnsi="宋体" w:cs="宋体"/>
          <w:color w:val="000000"/>
          <w:kern w:val="0"/>
          <w:sz w:val="21"/>
          <w:szCs w:val="21"/>
        </w:rPr>
        <w:t>将追究中标人的法律责任。</w:t>
      </w:r>
    </w:p>
    <w:p w14:paraId="793252F3">
      <w:pPr>
        <w:adjustRightInd w:val="0"/>
        <w:snapToGrid w:val="0"/>
        <w:spacing w:line="500" w:lineRule="exact"/>
        <w:jc w:val="left"/>
        <w:rPr>
          <w:rFonts w:ascii="宋体" w:hAnsi="宋体" w:cs="仿宋"/>
          <w:b/>
          <w:color w:val="000000"/>
          <w:sz w:val="24"/>
          <w:szCs w:val="24"/>
        </w:rPr>
      </w:pPr>
      <w:r>
        <w:rPr>
          <w:rFonts w:hint="eastAsia" w:ascii="宋体" w:hAnsi="宋体" w:cs="仿宋"/>
          <w:b/>
          <w:color w:val="000000"/>
          <w:sz w:val="24"/>
          <w:szCs w:val="24"/>
        </w:rPr>
        <w:t>项目清单</w:t>
      </w:r>
    </w:p>
    <w:p w14:paraId="73C96B08">
      <w:pPr>
        <w:adjustRightInd w:val="0"/>
        <w:snapToGrid w:val="0"/>
        <w:spacing w:line="500" w:lineRule="exact"/>
        <w:rPr>
          <w:rFonts w:ascii="宋体" w:hAnsi="宋体" w:cs="仿宋"/>
          <w:color w:val="000000"/>
          <w:sz w:val="24"/>
          <w:szCs w:val="24"/>
        </w:rPr>
      </w:pPr>
      <w:r>
        <w:rPr>
          <w:rFonts w:hint="eastAsia" w:ascii="宋体" w:hAnsi="宋体" w:cs="仿宋"/>
          <w:color w:val="000000"/>
          <w:sz w:val="24"/>
          <w:szCs w:val="24"/>
        </w:rPr>
        <w:t>（</w:t>
      </w:r>
      <w:r>
        <w:rPr>
          <w:rFonts w:hint="eastAsia" w:ascii="宋体" w:hAnsi="宋体" w:cs="仿宋"/>
          <w:color w:val="000000"/>
          <w:sz w:val="24"/>
          <w:szCs w:val="24"/>
          <w:lang w:val="en-US" w:eastAsia="zh-CN"/>
        </w:rPr>
        <w:t>1</w:t>
      </w:r>
      <w:r>
        <w:rPr>
          <w:rFonts w:hint="eastAsia" w:ascii="宋体" w:hAnsi="宋体" w:cs="仿宋"/>
          <w:color w:val="000000"/>
          <w:sz w:val="24"/>
          <w:szCs w:val="24"/>
        </w:rPr>
        <w:t>）</w:t>
      </w:r>
      <w:r>
        <w:rPr>
          <w:rFonts w:hint="eastAsia" w:ascii="宋体" w:hAnsi="宋体" w:cs="仿宋"/>
          <w:color w:val="000000"/>
          <w:sz w:val="24"/>
          <w:szCs w:val="24"/>
          <w:lang w:val="en-US" w:eastAsia="zh-CN"/>
        </w:rPr>
        <w:t>合肥市妇女儿童活动中心</w:t>
      </w:r>
      <w:r>
        <w:rPr>
          <w:rFonts w:hint="eastAsia" w:ascii="宋体" w:hAnsi="宋体" w:cs="仿宋"/>
          <w:color w:val="000000"/>
          <w:sz w:val="24"/>
          <w:szCs w:val="24"/>
        </w:rPr>
        <w:t>消防设备清单</w:t>
      </w:r>
    </w:p>
    <w:tbl>
      <w:tblPr>
        <w:tblStyle w:val="43"/>
        <w:tblW w:w="8129" w:type="dxa"/>
        <w:jc w:val="center"/>
        <w:tblLayout w:type="fixed"/>
        <w:tblCellMar>
          <w:top w:w="0" w:type="dxa"/>
          <w:left w:w="108" w:type="dxa"/>
          <w:bottom w:w="0" w:type="dxa"/>
          <w:right w:w="108" w:type="dxa"/>
        </w:tblCellMar>
      </w:tblPr>
      <w:tblGrid>
        <w:gridCol w:w="885"/>
        <w:gridCol w:w="3899"/>
        <w:gridCol w:w="914"/>
        <w:gridCol w:w="1116"/>
        <w:gridCol w:w="1315"/>
      </w:tblGrid>
      <w:tr w14:paraId="62B992C8">
        <w:tblPrEx>
          <w:tblCellMar>
            <w:top w:w="0" w:type="dxa"/>
            <w:left w:w="108" w:type="dxa"/>
            <w:bottom w:w="0" w:type="dxa"/>
            <w:right w:w="108" w:type="dxa"/>
          </w:tblCellMar>
        </w:tblPrEx>
        <w:trPr>
          <w:trHeight w:val="567" w:hRule="atLeast"/>
          <w:jc w:val="center"/>
        </w:trPr>
        <w:tc>
          <w:tcPr>
            <w:tcW w:w="885" w:type="dxa"/>
            <w:tcBorders>
              <w:top w:val="single" w:color="auto" w:sz="4" w:space="0"/>
              <w:left w:val="single" w:color="auto" w:sz="4" w:space="0"/>
              <w:bottom w:val="single" w:color="auto" w:sz="4" w:space="0"/>
              <w:right w:val="single" w:color="auto" w:sz="4" w:space="0"/>
            </w:tcBorders>
            <w:noWrap/>
            <w:vAlign w:val="center"/>
          </w:tcPr>
          <w:p w14:paraId="3279ED7C">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序号</w:t>
            </w:r>
          </w:p>
        </w:tc>
        <w:tc>
          <w:tcPr>
            <w:tcW w:w="3899" w:type="dxa"/>
            <w:tcBorders>
              <w:top w:val="single" w:color="auto" w:sz="4" w:space="0"/>
              <w:left w:val="nil"/>
              <w:bottom w:val="single" w:color="auto" w:sz="4" w:space="0"/>
              <w:right w:val="single" w:color="auto" w:sz="4" w:space="0"/>
            </w:tcBorders>
            <w:noWrap/>
            <w:vAlign w:val="center"/>
          </w:tcPr>
          <w:p w14:paraId="75025B3C">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名 称</w:t>
            </w:r>
          </w:p>
        </w:tc>
        <w:tc>
          <w:tcPr>
            <w:tcW w:w="914" w:type="dxa"/>
            <w:tcBorders>
              <w:top w:val="single" w:color="auto" w:sz="4" w:space="0"/>
              <w:left w:val="nil"/>
              <w:bottom w:val="single" w:color="auto" w:sz="4" w:space="0"/>
              <w:right w:val="single" w:color="auto" w:sz="4" w:space="0"/>
            </w:tcBorders>
            <w:noWrap/>
            <w:vAlign w:val="center"/>
          </w:tcPr>
          <w:p w14:paraId="4FB46A07">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单位</w:t>
            </w:r>
          </w:p>
        </w:tc>
        <w:tc>
          <w:tcPr>
            <w:tcW w:w="1116" w:type="dxa"/>
            <w:tcBorders>
              <w:top w:val="single" w:color="auto" w:sz="4" w:space="0"/>
              <w:left w:val="nil"/>
              <w:bottom w:val="single" w:color="auto" w:sz="4" w:space="0"/>
              <w:right w:val="single" w:color="auto" w:sz="4" w:space="0"/>
            </w:tcBorders>
            <w:noWrap/>
            <w:vAlign w:val="center"/>
          </w:tcPr>
          <w:p w14:paraId="243DA678">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数量</w:t>
            </w:r>
          </w:p>
        </w:tc>
        <w:tc>
          <w:tcPr>
            <w:tcW w:w="1315" w:type="dxa"/>
            <w:tcBorders>
              <w:top w:val="single" w:color="auto" w:sz="4" w:space="0"/>
              <w:left w:val="nil"/>
              <w:bottom w:val="single" w:color="auto" w:sz="4" w:space="0"/>
              <w:right w:val="single" w:color="auto" w:sz="4" w:space="0"/>
            </w:tcBorders>
            <w:noWrap/>
            <w:vAlign w:val="center"/>
          </w:tcPr>
          <w:p w14:paraId="53164F58">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备注</w:t>
            </w:r>
          </w:p>
        </w:tc>
      </w:tr>
      <w:tr w14:paraId="0802244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403FEE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3899" w:type="dxa"/>
            <w:tcBorders>
              <w:top w:val="nil"/>
              <w:left w:val="nil"/>
              <w:bottom w:val="single" w:color="auto" w:sz="4" w:space="0"/>
              <w:right w:val="single" w:color="auto" w:sz="4" w:space="0"/>
            </w:tcBorders>
            <w:noWrap/>
            <w:vAlign w:val="center"/>
          </w:tcPr>
          <w:p w14:paraId="7440D1A2">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可燃气体报警控制器    </w:t>
            </w:r>
          </w:p>
        </w:tc>
        <w:tc>
          <w:tcPr>
            <w:tcW w:w="914" w:type="dxa"/>
            <w:tcBorders>
              <w:top w:val="nil"/>
              <w:left w:val="nil"/>
              <w:bottom w:val="single" w:color="auto" w:sz="4" w:space="0"/>
              <w:right w:val="single" w:color="auto" w:sz="4" w:space="0"/>
            </w:tcBorders>
            <w:noWrap/>
            <w:vAlign w:val="center"/>
          </w:tcPr>
          <w:p w14:paraId="39E40AF3">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7E6AD6EF">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64C5976B">
            <w:pPr>
              <w:adjustRightInd w:val="0"/>
              <w:snapToGrid w:val="0"/>
              <w:spacing w:line="500" w:lineRule="exact"/>
              <w:jc w:val="center"/>
              <w:rPr>
                <w:rFonts w:ascii="宋体" w:hAnsi="宋体" w:cs="仿宋"/>
                <w:color w:val="000000"/>
                <w:sz w:val="21"/>
                <w:szCs w:val="21"/>
              </w:rPr>
            </w:pPr>
          </w:p>
        </w:tc>
      </w:tr>
      <w:tr w14:paraId="62894822">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F8E788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w:t>
            </w:r>
          </w:p>
        </w:tc>
        <w:tc>
          <w:tcPr>
            <w:tcW w:w="3899" w:type="dxa"/>
            <w:tcBorders>
              <w:top w:val="nil"/>
              <w:left w:val="nil"/>
              <w:bottom w:val="single" w:color="auto" w:sz="4" w:space="0"/>
              <w:right w:val="single" w:color="auto" w:sz="4" w:space="0"/>
            </w:tcBorders>
            <w:noWrap/>
            <w:vAlign w:val="center"/>
          </w:tcPr>
          <w:p w14:paraId="30A83422">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点型感温探测器</w:t>
            </w:r>
          </w:p>
        </w:tc>
        <w:tc>
          <w:tcPr>
            <w:tcW w:w="914" w:type="dxa"/>
            <w:tcBorders>
              <w:top w:val="nil"/>
              <w:left w:val="nil"/>
              <w:bottom w:val="single" w:color="auto" w:sz="4" w:space="0"/>
              <w:right w:val="single" w:color="auto" w:sz="4" w:space="0"/>
            </w:tcBorders>
            <w:noWrap/>
            <w:vAlign w:val="center"/>
          </w:tcPr>
          <w:p w14:paraId="7C3555F6">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63804F1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10</w:t>
            </w:r>
          </w:p>
        </w:tc>
        <w:tc>
          <w:tcPr>
            <w:tcW w:w="1315" w:type="dxa"/>
            <w:tcBorders>
              <w:top w:val="nil"/>
              <w:left w:val="nil"/>
              <w:bottom w:val="single" w:color="auto" w:sz="4" w:space="0"/>
              <w:right w:val="single" w:color="auto" w:sz="4" w:space="0"/>
            </w:tcBorders>
            <w:noWrap/>
            <w:vAlign w:val="center"/>
          </w:tcPr>
          <w:p w14:paraId="6F342259">
            <w:pPr>
              <w:adjustRightInd w:val="0"/>
              <w:snapToGrid w:val="0"/>
              <w:spacing w:line="500" w:lineRule="exact"/>
              <w:jc w:val="center"/>
              <w:rPr>
                <w:rFonts w:ascii="宋体" w:hAnsi="宋体" w:cs="仿宋"/>
                <w:color w:val="000000"/>
                <w:sz w:val="21"/>
                <w:szCs w:val="21"/>
              </w:rPr>
            </w:pPr>
          </w:p>
        </w:tc>
      </w:tr>
      <w:tr w14:paraId="735AD00D">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C3ACE3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w:t>
            </w:r>
          </w:p>
        </w:tc>
        <w:tc>
          <w:tcPr>
            <w:tcW w:w="3899" w:type="dxa"/>
            <w:tcBorders>
              <w:top w:val="nil"/>
              <w:left w:val="nil"/>
              <w:bottom w:val="single" w:color="auto" w:sz="4" w:space="0"/>
              <w:right w:val="single" w:color="auto" w:sz="4" w:space="0"/>
            </w:tcBorders>
            <w:noWrap/>
            <w:vAlign w:val="center"/>
          </w:tcPr>
          <w:p w14:paraId="229F01F0">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点型感烟探测器</w:t>
            </w:r>
          </w:p>
        </w:tc>
        <w:tc>
          <w:tcPr>
            <w:tcW w:w="914" w:type="dxa"/>
            <w:tcBorders>
              <w:top w:val="nil"/>
              <w:left w:val="nil"/>
              <w:bottom w:val="single" w:color="auto" w:sz="4" w:space="0"/>
              <w:right w:val="single" w:color="auto" w:sz="4" w:space="0"/>
            </w:tcBorders>
            <w:noWrap/>
            <w:vAlign w:val="center"/>
          </w:tcPr>
          <w:p w14:paraId="339A1D7B">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A9EB734">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1308</w:t>
            </w:r>
          </w:p>
        </w:tc>
        <w:tc>
          <w:tcPr>
            <w:tcW w:w="1315" w:type="dxa"/>
            <w:tcBorders>
              <w:top w:val="nil"/>
              <w:left w:val="nil"/>
              <w:bottom w:val="single" w:color="auto" w:sz="4" w:space="0"/>
              <w:right w:val="single" w:color="auto" w:sz="4" w:space="0"/>
            </w:tcBorders>
            <w:noWrap/>
            <w:vAlign w:val="center"/>
          </w:tcPr>
          <w:p w14:paraId="5639D0EC">
            <w:pPr>
              <w:adjustRightInd w:val="0"/>
              <w:snapToGrid w:val="0"/>
              <w:spacing w:line="500" w:lineRule="exact"/>
              <w:jc w:val="center"/>
              <w:rPr>
                <w:rFonts w:ascii="宋体" w:hAnsi="宋体" w:cs="仿宋"/>
                <w:color w:val="000000"/>
                <w:sz w:val="21"/>
                <w:szCs w:val="21"/>
              </w:rPr>
            </w:pPr>
          </w:p>
        </w:tc>
      </w:tr>
      <w:tr w14:paraId="5B4B127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008E939">
            <w:pPr>
              <w:adjustRightInd w:val="0"/>
              <w:snapToGrid w:val="0"/>
              <w:spacing w:line="500" w:lineRule="exact"/>
              <w:jc w:val="center"/>
              <w:rPr>
                <w:rFonts w:hint="eastAsia" w:ascii="宋体" w:hAnsi="宋体" w:eastAsia="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4</w:t>
            </w:r>
          </w:p>
        </w:tc>
        <w:tc>
          <w:tcPr>
            <w:tcW w:w="3899" w:type="dxa"/>
            <w:tcBorders>
              <w:top w:val="nil"/>
              <w:left w:val="nil"/>
              <w:bottom w:val="single" w:color="auto" w:sz="4" w:space="0"/>
              <w:right w:val="single" w:color="auto" w:sz="4" w:space="0"/>
            </w:tcBorders>
            <w:noWrap/>
            <w:vAlign w:val="center"/>
          </w:tcPr>
          <w:p w14:paraId="7FDC8C85">
            <w:pPr>
              <w:keepNext w:val="0"/>
              <w:keepLines w:val="0"/>
              <w:widowControl/>
              <w:suppressLineNumbers w:val="0"/>
              <w:jc w:val="left"/>
              <w:textAlignment w:val="center"/>
              <w:rPr>
                <w:rFonts w:hint="eastAsia" w:ascii="宋体" w:hAnsi="宋体" w:cs="仿宋"/>
                <w:color w:val="000000"/>
                <w:sz w:val="21"/>
                <w:szCs w:val="21"/>
                <w:highlight w:val="none"/>
              </w:rPr>
            </w:pPr>
            <w:r>
              <w:rPr>
                <w:rFonts w:hint="eastAsia" w:ascii="宋体" w:hAnsi="宋体" w:eastAsia="宋体" w:cs="宋体"/>
                <w:i w:val="0"/>
                <w:iCs w:val="0"/>
                <w:color w:val="000000"/>
                <w:kern w:val="0"/>
                <w:sz w:val="21"/>
                <w:szCs w:val="21"/>
                <w:u w:val="none"/>
                <w:lang w:val="en-US" w:eastAsia="zh-CN" w:bidi="ar"/>
              </w:rPr>
              <w:t>线型光束感烟火灾探测器（发射端）</w:t>
            </w:r>
          </w:p>
        </w:tc>
        <w:tc>
          <w:tcPr>
            <w:tcW w:w="914" w:type="dxa"/>
            <w:tcBorders>
              <w:top w:val="nil"/>
              <w:left w:val="nil"/>
              <w:bottom w:val="single" w:color="auto" w:sz="4" w:space="0"/>
              <w:right w:val="single" w:color="auto" w:sz="4" w:space="0"/>
            </w:tcBorders>
            <w:noWrap/>
            <w:vAlign w:val="center"/>
          </w:tcPr>
          <w:p w14:paraId="4896ED65">
            <w:pPr>
              <w:keepNext w:val="0"/>
              <w:keepLines w:val="0"/>
              <w:widowControl/>
              <w:suppressLineNumbers w:val="0"/>
              <w:jc w:val="center"/>
              <w:textAlignment w:val="center"/>
              <w:rPr>
                <w:rFonts w:hint="eastAsia" w:ascii="宋体" w:hAnsi="宋体" w:cs="仿宋"/>
                <w:color w:val="000000"/>
                <w:sz w:val="21"/>
                <w:szCs w:val="21"/>
                <w:highlight w:val="none"/>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76B8CAED">
            <w:pPr>
              <w:keepNext w:val="0"/>
              <w:keepLines w:val="0"/>
              <w:widowControl/>
              <w:suppressLineNumbers w:val="0"/>
              <w:jc w:val="center"/>
              <w:textAlignment w:val="center"/>
              <w:rPr>
                <w:rFonts w:hint="eastAsia" w:ascii="宋体" w:hAnsi="宋体" w:eastAsia="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1315" w:type="dxa"/>
            <w:tcBorders>
              <w:top w:val="nil"/>
              <w:left w:val="nil"/>
              <w:bottom w:val="single" w:color="auto" w:sz="4" w:space="0"/>
              <w:right w:val="single" w:color="auto" w:sz="4" w:space="0"/>
            </w:tcBorders>
            <w:noWrap/>
            <w:vAlign w:val="center"/>
          </w:tcPr>
          <w:p w14:paraId="2D615A58">
            <w:pPr>
              <w:adjustRightInd w:val="0"/>
              <w:snapToGrid w:val="0"/>
              <w:spacing w:line="500" w:lineRule="exact"/>
              <w:jc w:val="center"/>
              <w:rPr>
                <w:rFonts w:ascii="宋体" w:hAnsi="宋体" w:cs="仿宋"/>
                <w:color w:val="000000"/>
                <w:sz w:val="21"/>
                <w:szCs w:val="21"/>
              </w:rPr>
            </w:pPr>
          </w:p>
        </w:tc>
      </w:tr>
      <w:tr w14:paraId="79A926FC">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1E0E28D">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5</w:t>
            </w:r>
          </w:p>
        </w:tc>
        <w:tc>
          <w:tcPr>
            <w:tcW w:w="3899" w:type="dxa"/>
            <w:tcBorders>
              <w:top w:val="nil"/>
              <w:left w:val="nil"/>
              <w:bottom w:val="single" w:color="auto" w:sz="4" w:space="0"/>
              <w:right w:val="single" w:color="auto" w:sz="4" w:space="0"/>
            </w:tcBorders>
            <w:noWrap/>
            <w:vAlign w:val="center"/>
          </w:tcPr>
          <w:p w14:paraId="5A0C3F6C">
            <w:pPr>
              <w:keepNext w:val="0"/>
              <w:keepLines w:val="0"/>
              <w:widowControl/>
              <w:suppressLineNumbers w:val="0"/>
              <w:jc w:val="left"/>
              <w:textAlignment w:val="center"/>
              <w:rPr>
                <w:rFonts w:hint="default" w:ascii="宋体" w:hAnsi="宋体" w:eastAsia="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线型光束感烟火灾探测器（接收端）</w:t>
            </w:r>
          </w:p>
        </w:tc>
        <w:tc>
          <w:tcPr>
            <w:tcW w:w="914" w:type="dxa"/>
            <w:tcBorders>
              <w:top w:val="nil"/>
              <w:left w:val="nil"/>
              <w:bottom w:val="single" w:color="auto" w:sz="4" w:space="0"/>
              <w:right w:val="single" w:color="auto" w:sz="4" w:space="0"/>
            </w:tcBorders>
            <w:noWrap/>
            <w:vAlign w:val="center"/>
          </w:tcPr>
          <w:p w14:paraId="6DCF60F1">
            <w:pPr>
              <w:keepNext w:val="0"/>
              <w:keepLines w:val="0"/>
              <w:widowControl/>
              <w:suppressLineNumbers w:val="0"/>
              <w:jc w:val="center"/>
              <w:textAlignment w:val="center"/>
              <w:rPr>
                <w:rFonts w:hint="eastAsia" w:ascii="宋体" w:hAnsi="宋体" w:cs="仿宋"/>
                <w:color w:val="000000"/>
                <w:sz w:val="21"/>
                <w:szCs w:val="21"/>
                <w:highlight w:val="none"/>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5EF78248">
            <w:pPr>
              <w:keepNext w:val="0"/>
              <w:keepLines w:val="0"/>
              <w:widowControl/>
              <w:suppressLineNumbers w:val="0"/>
              <w:jc w:val="center"/>
              <w:textAlignment w:val="center"/>
              <w:rPr>
                <w:rFonts w:hint="default" w:ascii="宋体" w:hAnsi="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649F1B27">
            <w:pPr>
              <w:adjustRightInd w:val="0"/>
              <w:snapToGrid w:val="0"/>
              <w:spacing w:line="500" w:lineRule="exact"/>
              <w:jc w:val="center"/>
              <w:rPr>
                <w:rFonts w:ascii="宋体" w:hAnsi="宋体" w:cs="仿宋"/>
                <w:color w:val="000000"/>
                <w:sz w:val="21"/>
                <w:szCs w:val="21"/>
              </w:rPr>
            </w:pPr>
          </w:p>
        </w:tc>
      </w:tr>
      <w:tr w14:paraId="1C0F5688">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1165E41">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6</w:t>
            </w:r>
          </w:p>
        </w:tc>
        <w:tc>
          <w:tcPr>
            <w:tcW w:w="3899" w:type="dxa"/>
            <w:tcBorders>
              <w:top w:val="nil"/>
              <w:left w:val="nil"/>
              <w:bottom w:val="single" w:color="auto" w:sz="4" w:space="0"/>
              <w:right w:val="single" w:color="auto" w:sz="4" w:space="0"/>
            </w:tcBorders>
            <w:noWrap/>
            <w:vAlign w:val="center"/>
          </w:tcPr>
          <w:p w14:paraId="53D18F3A">
            <w:pPr>
              <w:keepNext w:val="0"/>
              <w:keepLines w:val="0"/>
              <w:widowControl/>
              <w:suppressLineNumbers w:val="0"/>
              <w:jc w:val="left"/>
              <w:textAlignment w:val="center"/>
              <w:rPr>
                <w:rFonts w:hint="eastAsia" w:ascii="宋体" w:hAnsi="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 xml:space="preserve">电气火灾监控探测器    </w:t>
            </w:r>
          </w:p>
        </w:tc>
        <w:tc>
          <w:tcPr>
            <w:tcW w:w="914" w:type="dxa"/>
            <w:tcBorders>
              <w:top w:val="nil"/>
              <w:left w:val="nil"/>
              <w:bottom w:val="single" w:color="auto" w:sz="4" w:space="0"/>
              <w:right w:val="single" w:color="auto" w:sz="4" w:space="0"/>
            </w:tcBorders>
            <w:noWrap/>
            <w:vAlign w:val="center"/>
          </w:tcPr>
          <w:p w14:paraId="36C70D3C">
            <w:pPr>
              <w:keepNext w:val="0"/>
              <w:keepLines w:val="0"/>
              <w:widowControl/>
              <w:suppressLineNumbers w:val="0"/>
              <w:jc w:val="center"/>
              <w:textAlignment w:val="center"/>
              <w:rPr>
                <w:rFonts w:hint="eastAsia" w:ascii="宋体" w:hAnsi="宋体" w:cs="仿宋"/>
                <w:color w:val="000000"/>
                <w:sz w:val="21"/>
                <w:szCs w:val="21"/>
                <w:highlight w:val="none"/>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37F33451">
            <w:pPr>
              <w:keepNext w:val="0"/>
              <w:keepLines w:val="0"/>
              <w:widowControl/>
              <w:suppressLineNumbers w:val="0"/>
              <w:jc w:val="center"/>
              <w:textAlignment w:val="center"/>
              <w:rPr>
                <w:rFonts w:hint="default" w:ascii="宋体" w:hAnsi="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91</w:t>
            </w:r>
          </w:p>
        </w:tc>
        <w:tc>
          <w:tcPr>
            <w:tcW w:w="1315" w:type="dxa"/>
            <w:tcBorders>
              <w:top w:val="nil"/>
              <w:left w:val="nil"/>
              <w:bottom w:val="single" w:color="auto" w:sz="4" w:space="0"/>
              <w:right w:val="single" w:color="auto" w:sz="4" w:space="0"/>
            </w:tcBorders>
            <w:noWrap/>
            <w:vAlign w:val="center"/>
          </w:tcPr>
          <w:p w14:paraId="0D7D6E12">
            <w:pPr>
              <w:adjustRightInd w:val="0"/>
              <w:snapToGrid w:val="0"/>
              <w:spacing w:line="500" w:lineRule="exact"/>
              <w:jc w:val="center"/>
              <w:rPr>
                <w:rFonts w:ascii="宋体" w:hAnsi="宋体" w:cs="仿宋"/>
                <w:color w:val="000000"/>
                <w:sz w:val="21"/>
                <w:szCs w:val="21"/>
              </w:rPr>
            </w:pPr>
          </w:p>
        </w:tc>
      </w:tr>
      <w:tr w14:paraId="37E32EF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3183688">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7</w:t>
            </w:r>
          </w:p>
        </w:tc>
        <w:tc>
          <w:tcPr>
            <w:tcW w:w="3899" w:type="dxa"/>
            <w:tcBorders>
              <w:top w:val="nil"/>
              <w:left w:val="nil"/>
              <w:bottom w:val="single" w:color="auto" w:sz="4" w:space="0"/>
              <w:right w:val="single" w:color="auto" w:sz="4" w:space="0"/>
            </w:tcBorders>
            <w:noWrap/>
            <w:vAlign w:val="center"/>
          </w:tcPr>
          <w:p w14:paraId="513A11AE">
            <w:pPr>
              <w:keepNext w:val="0"/>
              <w:keepLines w:val="0"/>
              <w:widowControl/>
              <w:suppressLineNumbers w:val="0"/>
              <w:jc w:val="left"/>
              <w:textAlignment w:val="center"/>
              <w:rPr>
                <w:rFonts w:hint="default" w:ascii="宋体" w:hAnsi="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 xml:space="preserve">消防设备电源监控探测器    </w:t>
            </w:r>
          </w:p>
        </w:tc>
        <w:tc>
          <w:tcPr>
            <w:tcW w:w="914" w:type="dxa"/>
            <w:tcBorders>
              <w:top w:val="nil"/>
              <w:left w:val="nil"/>
              <w:bottom w:val="single" w:color="auto" w:sz="4" w:space="0"/>
              <w:right w:val="single" w:color="auto" w:sz="4" w:space="0"/>
            </w:tcBorders>
            <w:noWrap/>
            <w:vAlign w:val="center"/>
          </w:tcPr>
          <w:p w14:paraId="2CD8B84E">
            <w:pPr>
              <w:keepNext w:val="0"/>
              <w:keepLines w:val="0"/>
              <w:widowControl/>
              <w:suppressLineNumbers w:val="0"/>
              <w:jc w:val="center"/>
              <w:textAlignment w:val="center"/>
              <w:rPr>
                <w:rFonts w:hint="eastAsia" w:ascii="宋体" w:hAnsi="宋体" w:cs="仿宋"/>
                <w:color w:val="000000"/>
                <w:sz w:val="21"/>
                <w:szCs w:val="21"/>
                <w:highlight w:val="none"/>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0AD284C7">
            <w:pPr>
              <w:keepNext w:val="0"/>
              <w:keepLines w:val="0"/>
              <w:widowControl/>
              <w:suppressLineNumbers w:val="0"/>
              <w:jc w:val="center"/>
              <w:textAlignment w:val="center"/>
              <w:rPr>
                <w:rFonts w:hint="default" w:ascii="宋体" w:hAnsi="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77</w:t>
            </w:r>
          </w:p>
        </w:tc>
        <w:tc>
          <w:tcPr>
            <w:tcW w:w="1315" w:type="dxa"/>
            <w:tcBorders>
              <w:top w:val="nil"/>
              <w:left w:val="nil"/>
              <w:bottom w:val="single" w:color="auto" w:sz="4" w:space="0"/>
              <w:right w:val="single" w:color="auto" w:sz="4" w:space="0"/>
            </w:tcBorders>
            <w:noWrap/>
            <w:vAlign w:val="center"/>
          </w:tcPr>
          <w:p w14:paraId="255405F2">
            <w:pPr>
              <w:adjustRightInd w:val="0"/>
              <w:snapToGrid w:val="0"/>
              <w:spacing w:line="500" w:lineRule="exact"/>
              <w:jc w:val="center"/>
              <w:rPr>
                <w:rFonts w:ascii="宋体" w:hAnsi="宋体" w:cs="仿宋"/>
                <w:color w:val="000000"/>
                <w:sz w:val="21"/>
                <w:szCs w:val="21"/>
              </w:rPr>
            </w:pPr>
          </w:p>
        </w:tc>
      </w:tr>
      <w:tr w14:paraId="4A14024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B610DB4">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8</w:t>
            </w:r>
          </w:p>
        </w:tc>
        <w:tc>
          <w:tcPr>
            <w:tcW w:w="3899" w:type="dxa"/>
            <w:tcBorders>
              <w:top w:val="nil"/>
              <w:left w:val="nil"/>
              <w:bottom w:val="single" w:color="auto" w:sz="4" w:space="0"/>
              <w:right w:val="single" w:color="auto" w:sz="4" w:space="0"/>
            </w:tcBorders>
            <w:noWrap/>
            <w:vAlign w:val="center"/>
          </w:tcPr>
          <w:p w14:paraId="6428BA81">
            <w:pPr>
              <w:keepNext w:val="0"/>
              <w:keepLines w:val="0"/>
              <w:widowControl/>
              <w:suppressLineNumbers w:val="0"/>
              <w:jc w:val="left"/>
              <w:textAlignment w:val="center"/>
              <w:rPr>
                <w:rFonts w:hint="default" w:ascii="宋体" w:hAnsi="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 xml:space="preserve">可燃气体探测器    </w:t>
            </w:r>
          </w:p>
        </w:tc>
        <w:tc>
          <w:tcPr>
            <w:tcW w:w="914" w:type="dxa"/>
            <w:tcBorders>
              <w:top w:val="nil"/>
              <w:left w:val="nil"/>
              <w:bottom w:val="single" w:color="auto" w:sz="4" w:space="0"/>
              <w:right w:val="single" w:color="auto" w:sz="4" w:space="0"/>
            </w:tcBorders>
            <w:noWrap/>
            <w:vAlign w:val="center"/>
          </w:tcPr>
          <w:p w14:paraId="4E329EEC">
            <w:pPr>
              <w:keepNext w:val="0"/>
              <w:keepLines w:val="0"/>
              <w:widowControl/>
              <w:suppressLineNumbers w:val="0"/>
              <w:jc w:val="center"/>
              <w:textAlignment w:val="center"/>
              <w:rPr>
                <w:rFonts w:hint="eastAsia" w:ascii="宋体" w:hAnsi="宋体" w:cs="仿宋"/>
                <w:color w:val="000000"/>
                <w:sz w:val="21"/>
                <w:szCs w:val="21"/>
                <w:highlight w:val="none"/>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6906A1E">
            <w:pPr>
              <w:keepNext w:val="0"/>
              <w:keepLines w:val="0"/>
              <w:widowControl/>
              <w:suppressLineNumbers w:val="0"/>
              <w:jc w:val="center"/>
              <w:textAlignment w:val="center"/>
              <w:rPr>
                <w:rFonts w:hint="default" w:ascii="宋体" w:hAnsi="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054FE202">
            <w:pPr>
              <w:adjustRightInd w:val="0"/>
              <w:snapToGrid w:val="0"/>
              <w:spacing w:line="500" w:lineRule="exact"/>
              <w:jc w:val="center"/>
              <w:rPr>
                <w:rFonts w:ascii="宋体" w:hAnsi="宋体" w:cs="仿宋"/>
                <w:color w:val="000000"/>
                <w:sz w:val="21"/>
                <w:szCs w:val="21"/>
              </w:rPr>
            </w:pPr>
          </w:p>
        </w:tc>
      </w:tr>
      <w:tr w14:paraId="0FD8BBA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8B264E4">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9</w:t>
            </w:r>
          </w:p>
        </w:tc>
        <w:tc>
          <w:tcPr>
            <w:tcW w:w="3899" w:type="dxa"/>
            <w:tcBorders>
              <w:top w:val="nil"/>
              <w:left w:val="nil"/>
              <w:bottom w:val="single" w:color="auto" w:sz="4" w:space="0"/>
              <w:right w:val="single" w:color="auto" w:sz="4" w:space="0"/>
            </w:tcBorders>
            <w:noWrap/>
            <w:vAlign w:val="center"/>
          </w:tcPr>
          <w:p w14:paraId="216CF0F5">
            <w:pPr>
              <w:keepNext w:val="0"/>
              <w:keepLines w:val="0"/>
              <w:widowControl/>
              <w:suppressLineNumbers w:val="0"/>
              <w:jc w:val="left"/>
              <w:textAlignment w:val="center"/>
              <w:rPr>
                <w:rFonts w:hint="default" w:ascii="宋体" w:hAnsi="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 xml:space="preserve">能耗监测监控模块    </w:t>
            </w:r>
          </w:p>
        </w:tc>
        <w:tc>
          <w:tcPr>
            <w:tcW w:w="914" w:type="dxa"/>
            <w:tcBorders>
              <w:top w:val="nil"/>
              <w:left w:val="nil"/>
              <w:bottom w:val="single" w:color="auto" w:sz="4" w:space="0"/>
              <w:right w:val="single" w:color="auto" w:sz="4" w:space="0"/>
            </w:tcBorders>
            <w:noWrap/>
            <w:vAlign w:val="center"/>
          </w:tcPr>
          <w:p w14:paraId="00606F0F">
            <w:pPr>
              <w:keepNext w:val="0"/>
              <w:keepLines w:val="0"/>
              <w:widowControl/>
              <w:suppressLineNumbers w:val="0"/>
              <w:jc w:val="center"/>
              <w:textAlignment w:val="center"/>
              <w:rPr>
                <w:rFonts w:hint="eastAsia" w:ascii="宋体" w:hAnsi="宋体" w:cs="仿宋"/>
                <w:color w:val="000000"/>
                <w:sz w:val="21"/>
                <w:szCs w:val="21"/>
                <w:highlight w:val="none"/>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4EA0DE0">
            <w:pPr>
              <w:keepNext w:val="0"/>
              <w:keepLines w:val="0"/>
              <w:widowControl/>
              <w:suppressLineNumbers w:val="0"/>
              <w:jc w:val="center"/>
              <w:textAlignment w:val="center"/>
              <w:rPr>
                <w:rFonts w:hint="default" w:ascii="宋体" w:hAnsi="宋体" w:cs="仿宋"/>
                <w:color w:val="00000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108</w:t>
            </w:r>
          </w:p>
        </w:tc>
        <w:tc>
          <w:tcPr>
            <w:tcW w:w="1315" w:type="dxa"/>
            <w:tcBorders>
              <w:top w:val="nil"/>
              <w:left w:val="nil"/>
              <w:bottom w:val="single" w:color="auto" w:sz="4" w:space="0"/>
              <w:right w:val="single" w:color="auto" w:sz="4" w:space="0"/>
            </w:tcBorders>
            <w:noWrap/>
            <w:vAlign w:val="center"/>
          </w:tcPr>
          <w:p w14:paraId="4C66A069">
            <w:pPr>
              <w:adjustRightInd w:val="0"/>
              <w:snapToGrid w:val="0"/>
              <w:spacing w:line="500" w:lineRule="exact"/>
              <w:jc w:val="center"/>
              <w:rPr>
                <w:rFonts w:ascii="宋体" w:hAnsi="宋体" w:cs="仿宋"/>
                <w:color w:val="000000"/>
                <w:sz w:val="21"/>
                <w:szCs w:val="21"/>
              </w:rPr>
            </w:pPr>
          </w:p>
        </w:tc>
      </w:tr>
      <w:tr w14:paraId="66BFF7B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0770C47">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10</w:t>
            </w:r>
          </w:p>
        </w:tc>
        <w:tc>
          <w:tcPr>
            <w:tcW w:w="3899" w:type="dxa"/>
            <w:tcBorders>
              <w:top w:val="nil"/>
              <w:left w:val="nil"/>
              <w:bottom w:val="single" w:color="auto" w:sz="4" w:space="0"/>
              <w:right w:val="single" w:color="auto" w:sz="4" w:space="0"/>
            </w:tcBorders>
            <w:noWrap/>
            <w:vAlign w:val="center"/>
          </w:tcPr>
          <w:p w14:paraId="29090EB7">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壁挂式电气火灾监控主机    </w:t>
            </w:r>
          </w:p>
        </w:tc>
        <w:tc>
          <w:tcPr>
            <w:tcW w:w="914" w:type="dxa"/>
            <w:tcBorders>
              <w:top w:val="nil"/>
              <w:left w:val="nil"/>
              <w:bottom w:val="single" w:color="auto" w:sz="4" w:space="0"/>
              <w:right w:val="single" w:color="auto" w:sz="4" w:space="0"/>
            </w:tcBorders>
            <w:noWrap/>
            <w:vAlign w:val="center"/>
          </w:tcPr>
          <w:p w14:paraId="74DEADB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5378DC06">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743E183A">
            <w:pPr>
              <w:adjustRightInd w:val="0"/>
              <w:snapToGrid w:val="0"/>
              <w:spacing w:line="500" w:lineRule="exact"/>
              <w:jc w:val="center"/>
              <w:rPr>
                <w:rFonts w:ascii="宋体" w:hAnsi="宋体" w:cs="仿宋"/>
                <w:color w:val="000000"/>
                <w:sz w:val="21"/>
                <w:szCs w:val="21"/>
              </w:rPr>
            </w:pPr>
          </w:p>
        </w:tc>
      </w:tr>
      <w:tr w14:paraId="123C81D7">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25DFA45">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11</w:t>
            </w:r>
          </w:p>
        </w:tc>
        <w:tc>
          <w:tcPr>
            <w:tcW w:w="3899" w:type="dxa"/>
            <w:tcBorders>
              <w:top w:val="nil"/>
              <w:left w:val="nil"/>
              <w:bottom w:val="single" w:color="auto" w:sz="4" w:space="0"/>
              <w:right w:val="single" w:color="auto" w:sz="4" w:space="0"/>
            </w:tcBorders>
            <w:noWrap/>
            <w:vAlign w:val="center"/>
          </w:tcPr>
          <w:p w14:paraId="26C17B44">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消防电源监控主机</w:t>
            </w:r>
          </w:p>
        </w:tc>
        <w:tc>
          <w:tcPr>
            <w:tcW w:w="914" w:type="dxa"/>
            <w:tcBorders>
              <w:top w:val="nil"/>
              <w:left w:val="nil"/>
              <w:bottom w:val="single" w:color="auto" w:sz="4" w:space="0"/>
              <w:right w:val="single" w:color="auto" w:sz="4" w:space="0"/>
            </w:tcBorders>
            <w:noWrap/>
            <w:vAlign w:val="center"/>
          </w:tcPr>
          <w:p w14:paraId="69505E13">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33E1737A">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188D1398">
            <w:pPr>
              <w:adjustRightInd w:val="0"/>
              <w:snapToGrid w:val="0"/>
              <w:spacing w:line="500" w:lineRule="exact"/>
              <w:jc w:val="center"/>
              <w:rPr>
                <w:rFonts w:ascii="宋体" w:hAnsi="宋体" w:cs="仿宋"/>
                <w:color w:val="000000"/>
                <w:sz w:val="21"/>
                <w:szCs w:val="21"/>
              </w:rPr>
            </w:pPr>
          </w:p>
        </w:tc>
      </w:tr>
      <w:tr w14:paraId="661C8E68">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3A299DE">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12</w:t>
            </w:r>
          </w:p>
        </w:tc>
        <w:tc>
          <w:tcPr>
            <w:tcW w:w="3899" w:type="dxa"/>
            <w:tcBorders>
              <w:top w:val="nil"/>
              <w:left w:val="nil"/>
              <w:bottom w:val="single" w:color="auto" w:sz="4" w:space="0"/>
              <w:right w:val="single" w:color="auto" w:sz="4" w:space="0"/>
            </w:tcBorders>
            <w:noWrap/>
            <w:vAlign w:val="center"/>
          </w:tcPr>
          <w:p w14:paraId="3D992C2F">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火灾报警主机</w:t>
            </w:r>
          </w:p>
        </w:tc>
        <w:tc>
          <w:tcPr>
            <w:tcW w:w="914" w:type="dxa"/>
            <w:tcBorders>
              <w:top w:val="nil"/>
              <w:left w:val="nil"/>
              <w:bottom w:val="single" w:color="auto" w:sz="4" w:space="0"/>
              <w:right w:val="single" w:color="auto" w:sz="4" w:space="0"/>
            </w:tcBorders>
            <w:noWrap/>
            <w:vAlign w:val="center"/>
          </w:tcPr>
          <w:p w14:paraId="793FDEFD">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15DF4B36">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68EB8853">
            <w:pPr>
              <w:adjustRightInd w:val="0"/>
              <w:snapToGrid w:val="0"/>
              <w:spacing w:line="500" w:lineRule="exact"/>
              <w:jc w:val="center"/>
              <w:rPr>
                <w:rFonts w:ascii="宋体" w:hAnsi="宋体" w:cs="仿宋"/>
                <w:color w:val="000000"/>
                <w:sz w:val="21"/>
                <w:szCs w:val="21"/>
              </w:rPr>
            </w:pPr>
          </w:p>
        </w:tc>
      </w:tr>
      <w:tr w14:paraId="7F6ED406">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243C846">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13</w:t>
            </w:r>
          </w:p>
        </w:tc>
        <w:tc>
          <w:tcPr>
            <w:tcW w:w="3899" w:type="dxa"/>
            <w:tcBorders>
              <w:top w:val="nil"/>
              <w:left w:val="nil"/>
              <w:bottom w:val="single" w:color="auto" w:sz="4" w:space="0"/>
              <w:right w:val="single" w:color="auto" w:sz="4" w:space="0"/>
            </w:tcBorders>
            <w:noWrap/>
            <w:vAlign w:val="center"/>
          </w:tcPr>
          <w:p w14:paraId="4DCF6A6D">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防火门监控器主机</w:t>
            </w:r>
          </w:p>
        </w:tc>
        <w:tc>
          <w:tcPr>
            <w:tcW w:w="914" w:type="dxa"/>
            <w:tcBorders>
              <w:top w:val="nil"/>
              <w:left w:val="nil"/>
              <w:bottom w:val="single" w:color="auto" w:sz="4" w:space="0"/>
              <w:right w:val="single" w:color="auto" w:sz="4" w:space="0"/>
            </w:tcBorders>
            <w:noWrap/>
            <w:vAlign w:val="center"/>
          </w:tcPr>
          <w:p w14:paraId="3A5F23BC">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30E16D1D">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26657338">
            <w:pPr>
              <w:adjustRightInd w:val="0"/>
              <w:snapToGrid w:val="0"/>
              <w:spacing w:line="500" w:lineRule="exact"/>
              <w:jc w:val="center"/>
              <w:rPr>
                <w:rFonts w:ascii="宋体" w:hAnsi="宋体" w:cs="仿宋"/>
                <w:color w:val="000000"/>
                <w:sz w:val="21"/>
                <w:szCs w:val="21"/>
              </w:rPr>
            </w:pPr>
          </w:p>
        </w:tc>
      </w:tr>
      <w:tr w14:paraId="12A7C30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0409657">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14</w:t>
            </w:r>
          </w:p>
        </w:tc>
        <w:tc>
          <w:tcPr>
            <w:tcW w:w="3899" w:type="dxa"/>
            <w:tcBorders>
              <w:top w:val="nil"/>
              <w:left w:val="nil"/>
              <w:bottom w:val="single" w:color="auto" w:sz="4" w:space="0"/>
              <w:right w:val="single" w:color="auto" w:sz="4" w:space="0"/>
            </w:tcBorders>
            <w:noWrap/>
            <w:vAlign w:val="center"/>
          </w:tcPr>
          <w:p w14:paraId="00B710C6">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总线短路隔离器</w:t>
            </w:r>
          </w:p>
        </w:tc>
        <w:tc>
          <w:tcPr>
            <w:tcW w:w="914" w:type="dxa"/>
            <w:tcBorders>
              <w:top w:val="nil"/>
              <w:left w:val="nil"/>
              <w:bottom w:val="single" w:color="auto" w:sz="4" w:space="0"/>
              <w:right w:val="single" w:color="auto" w:sz="4" w:space="0"/>
            </w:tcBorders>
            <w:noWrap/>
            <w:vAlign w:val="center"/>
          </w:tcPr>
          <w:p w14:paraId="46B9CA52">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72B77ED9">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118</w:t>
            </w:r>
          </w:p>
        </w:tc>
        <w:tc>
          <w:tcPr>
            <w:tcW w:w="1315" w:type="dxa"/>
            <w:tcBorders>
              <w:top w:val="nil"/>
              <w:left w:val="nil"/>
              <w:bottom w:val="single" w:color="auto" w:sz="4" w:space="0"/>
              <w:right w:val="single" w:color="auto" w:sz="4" w:space="0"/>
            </w:tcBorders>
            <w:noWrap/>
            <w:vAlign w:val="center"/>
          </w:tcPr>
          <w:p w14:paraId="43B0FC5B">
            <w:pPr>
              <w:adjustRightInd w:val="0"/>
              <w:snapToGrid w:val="0"/>
              <w:spacing w:line="500" w:lineRule="exact"/>
              <w:jc w:val="center"/>
              <w:rPr>
                <w:rFonts w:ascii="宋体" w:hAnsi="宋体" w:cs="仿宋"/>
                <w:color w:val="000000"/>
                <w:sz w:val="21"/>
                <w:szCs w:val="21"/>
              </w:rPr>
            </w:pPr>
          </w:p>
        </w:tc>
      </w:tr>
      <w:tr w14:paraId="65750EF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13F567E">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15</w:t>
            </w:r>
          </w:p>
        </w:tc>
        <w:tc>
          <w:tcPr>
            <w:tcW w:w="3899" w:type="dxa"/>
            <w:tcBorders>
              <w:top w:val="nil"/>
              <w:left w:val="nil"/>
              <w:bottom w:val="single" w:color="auto" w:sz="4" w:space="0"/>
              <w:right w:val="single" w:color="auto" w:sz="4" w:space="0"/>
            </w:tcBorders>
            <w:noWrap/>
            <w:vAlign w:val="center"/>
          </w:tcPr>
          <w:p w14:paraId="75691CC3">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防火门门磁开关（智能型）双扇常闭    </w:t>
            </w:r>
          </w:p>
        </w:tc>
        <w:tc>
          <w:tcPr>
            <w:tcW w:w="914" w:type="dxa"/>
            <w:tcBorders>
              <w:top w:val="nil"/>
              <w:left w:val="nil"/>
              <w:bottom w:val="single" w:color="auto" w:sz="4" w:space="0"/>
              <w:right w:val="single" w:color="auto" w:sz="4" w:space="0"/>
            </w:tcBorders>
            <w:noWrap/>
            <w:vAlign w:val="center"/>
          </w:tcPr>
          <w:p w14:paraId="12AFFB3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6904CF35">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121</w:t>
            </w:r>
          </w:p>
        </w:tc>
        <w:tc>
          <w:tcPr>
            <w:tcW w:w="1315" w:type="dxa"/>
            <w:tcBorders>
              <w:top w:val="nil"/>
              <w:left w:val="nil"/>
              <w:bottom w:val="single" w:color="auto" w:sz="4" w:space="0"/>
              <w:right w:val="single" w:color="auto" w:sz="4" w:space="0"/>
            </w:tcBorders>
            <w:noWrap/>
            <w:vAlign w:val="center"/>
          </w:tcPr>
          <w:p w14:paraId="335A2EA9">
            <w:pPr>
              <w:adjustRightInd w:val="0"/>
              <w:snapToGrid w:val="0"/>
              <w:spacing w:line="500" w:lineRule="exact"/>
              <w:jc w:val="center"/>
              <w:rPr>
                <w:rFonts w:ascii="宋体" w:hAnsi="宋体" w:cs="仿宋"/>
                <w:color w:val="000000"/>
                <w:sz w:val="21"/>
                <w:szCs w:val="21"/>
              </w:rPr>
            </w:pPr>
          </w:p>
        </w:tc>
      </w:tr>
      <w:tr w14:paraId="1FD9E3E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E4DA144">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16</w:t>
            </w:r>
          </w:p>
        </w:tc>
        <w:tc>
          <w:tcPr>
            <w:tcW w:w="3899" w:type="dxa"/>
            <w:tcBorders>
              <w:top w:val="nil"/>
              <w:left w:val="nil"/>
              <w:bottom w:val="single" w:color="auto" w:sz="4" w:space="0"/>
              <w:right w:val="single" w:color="auto" w:sz="4" w:space="0"/>
            </w:tcBorders>
            <w:noWrap/>
            <w:vAlign w:val="center"/>
          </w:tcPr>
          <w:p w14:paraId="250164B2">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双扇常开防火门现场控制装置</w:t>
            </w:r>
          </w:p>
        </w:tc>
        <w:tc>
          <w:tcPr>
            <w:tcW w:w="914" w:type="dxa"/>
            <w:tcBorders>
              <w:top w:val="nil"/>
              <w:left w:val="nil"/>
              <w:bottom w:val="single" w:color="auto" w:sz="4" w:space="0"/>
              <w:right w:val="single" w:color="auto" w:sz="4" w:space="0"/>
            </w:tcBorders>
            <w:noWrap/>
            <w:vAlign w:val="center"/>
          </w:tcPr>
          <w:p w14:paraId="573D6EFB">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5114DF11">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11</w:t>
            </w:r>
          </w:p>
        </w:tc>
        <w:tc>
          <w:tcPr>
            <w:tcW w:w="1315" w:type="dxa"/>
            <w:tcBorders>
              <w:top w:val="nil"/>
              <w:left w:val="nil"/>
              <w:bottom w:val="single" w:color="auto" w:sz="4" w:space="0"/>
              <w:right w:val="single" w:color="auto" w:sz="4" w:space="0"/>
            </w:tcBorders>
            <w:noWrap/>
            <w:vAlign w:val="center"/>
          </w:tcPr>
          <w:p w14:paraId="0F18205B">
            <w:pPr>
              <w:adjustRightInd w:val="0"/>
              <w:snapToGrid w:val="0"/>
              <w:spacing w:line="500" w:lineRule="exact"/>
              <w:jc w:val="center"/>
              <w:rPr>
                <w:rFonts w:ascii="宋体" w:hAnsi="宋体" w:cs="仿宋"/>
                <w:color w:val="000000"/>
                <w:sz w:val="21"/>
                <w:szCs w:val="21"/>
              </w:rPr>
            </w:pPr>
          </w:p>
        </w:tc>
      </w:tr>
      <w:tr w14:paraId="7FA1997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9DFC1D2">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17</w:t>
            </w:r>
          </w:p>
        </w:tc>
        <w:tc>
          <w:tcPr>
            <w:tcW w:w="3899" w:type="dxa"/>
            <w:tcBorders>
              <w:top w:val="nil"/>
              <w:left w:val="nil"/>
              <w:bottom w:val="single" w:color="auto" w:sz="4" w:space="0"/>
              <w:right w:val="single" w:color="auto" w:sz="4" w:space="0"/>
            </w:tcBorders>
            <w:noWrap/>
            <w:vAlign w:val="center"/>
          </w:tcPr>
          <w:p w14:paraId="16EF377E">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火灾声光报警器</w:t>
            </w:r>
          </w:p>
        </w:tc>
        <w:tc>
          <w:tcPr>
            <w:tcW w:w="914" w:type="dxa"/>
            <w:tcBorders>
              <w:top w:val="nil"/>
              <w:left w:val="nil"/>
              <w:bottom w:val="single" w:color="auto" w:sz="4" w:space="0"/>
              <w:right w:val="single" w:color="auto" w:sz="4" w:space="0"/>
            </w:tcBorders>
            <w:noWrap/>
            <w:vAlign w:val="center"/>
          </w:tcPr>
          <w:p w14:paraId="33D649ED">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16873D59">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169</w:t>
            </w:r>
          </w:p>
        </w:tc>
        <w:tc>
          <w:tcPr>
            <w:tcW w:w="1315" w:type="dxa"/>
            <w:tcBorders>
              <w:top w:val="nil"/>
              <w:left w:val="nil"/>
              <w:bottom w:val="single" w:color="auto" w:sz="4" w:space="0"/>
              <w:right w:val="single" w:color="auto" w:sz="4" w:space="0"/>
            </w:tcBorders>
            <w:noWrap/>
            <w:vAlign w:val="center"/>
          </w:tcPr>
          <w:p w14:paraId="777CC27B">
            <w:pPr>
              <w:adjustRightInd w:val="0"/>
              <w:snapToGrid w:val="0"/>
              <w:spacing w:line="500" w:lineRule="exact"/>
              <w:jc w:val="center"/>
              <w:rPr>
                <w:rFonts w:ascii="宋体" w:hAnsi="宋体" w:cs="仿宋"/>
                <w:color w:val="000000"/>
                <w:sz w:val="21"/>
                <w:szCs w:val="21"/>
              </w:rPr>
            </w:pPr>
          </w:p>
        </w:tc>
      </w:tr>
      <w:tr w14:paraId="2C5C79B8">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1BD5650">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18</w:t>
            </w:r>
          </w:p>
        </w:tc>
        <w:tc>
          <w:tcPr>
            <w:tcW w:w="3899" w:type="dxa"/>
            <w:tcBorders>
              <w:top w:val="nil"/>
              <w:left w:val="nil"/>
              <w:bottom w:val="single" w:color="auto" w:sz="4" w:space="0"/>
              <w:right w:val="single" w:color="auto" w:sz="4" w:space="0"/>
            </w:tcBorders>
            <w:noWrap/>
            <w:vAlign w:val="center"/>
          </w:tcPr>
          <w:p w14:paraId="0E2FE4CB">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残疾人声光报警器</w:t>
            </w:r>
          </w:p>
        </w:tc>
        <w:tc>
          <w:tcPr>
            <w:tcW w:w="914" w:type="dxa"/>
            <w:tcBorders>
              <w:top w:val="nil"/>
              <w:left w:val="nil"/>
              <w:bottom w:val="single" w:color="auto" w:sz="4" w:space="0"/>
              <w:right w:val="single" w:color="auto" w:sz="4" w:space="0"/>
            </w:tcBorders>
            <w:noWrap/>
            <w:vAlign w:val="center"/>
          </w:tcPr>
          <w:p w14:paraId="20CD2EE5">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834911F">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16</w:t>
            </w:r>
          </w:p>
        </w:tc>
        <w:tc>
          <w:tcPr>
            <w:tcW w:w="1315" w:type="dxa"/>
            <w:tcBorders>
              <w:top w:val="nil"/>
              <w:left w:val="nil"/>
              <w:bottom w:val="single" w:color="auto" w:sz="4" w:space="0"/>
              <w:right w:val="single" w:color="auto" w:sz="4" w:space="0"/>
            </w:tcBorders>
            <w:noWrap/>
            <w:vAlign w:val="center"/>
          </w:tcPr>
          <w:p w14:paraId="51B7743A">
            <w:pPr>
              <w:adjustRightInd w:val="0"/>
              <w:snapToGrid w:val="0"/>
              <w:spacing w:line="500" w:lineRule="exact"/>
              <w:jc w:val="center"/>
              <w:rPr>
                <w:rFonts w:ascii="宋体" w:hAnsi="宋体" w:cs="仿宋"/>
                <w:color w:val="000000"/>
                <w:sz w:val="21"/>
                <w:szCs w:val="21"/>
              </w:rPr>
            </w:pPr>
          </w:p>
        </w:tc>
      </w:tr>
      <w:tr w14:paraId="43B93AF2">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A92D012">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19</w:t>
            </w:r>
          </w:p>
        </w:tc>
        <w:tc>
          <w:tcPr>
            <w:tcW w:w="3899" w:type="dxa"/>
            <w:tcBorders>
              <w:top w:val="nil"/>
              <w:left w:val="nil"/>
              <w:bottom w:val="single" w:color="auto" w:sz="4" w:space="0"/>
              <w:right w:val="single" w:color="auto" w:sz="4" w:space="0"/>
            </w:tcBorders>
            <w:noWrap/>
            <w:vAlign w:val="center"/>
          </w:tcPr>
          <w:p w14:paraId="210A614B">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层显示盘</w:t>
            </w:r>
          </w:p>
        </w:tc>
        <w:tc>
          <w:tcPr>
            <w:tcW w:w="914" w:type="dxa"/>
            <w:tcBorders>
              <w:top w:val="nil"/>
              <w:left w:val="nil"/>
              <w:bottom w:val="single" w:color="auto" w:sz="4" w:space="0"/>
              <w:right w:val="single" w:color="auto" w:sz="4" w:space="0"/>
            </w:tcBorders>
            <w:noWrap/>
            <w:vAlign w:val="center"/>
          </w:tcPr>
          <w:p w14:paraId="566DD0E5">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2A869A17">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21</w:t>
            </w:r>
          </w:p>
        </w:tc>
        <w:tc>
          <w:tcPr>
            <w:tcW w:w="1315" w:type="dxa"/>
            <w:tcBorders>
              <w:top w:val="nil"/>
              <w:left w:val="nil"/>
              <w:bottom w:val="single" w:color="auto" w:sz="4" w:space="0"/>
              <w:right w:val="single" w:color="auto" w:sz="4" w:space="0"/>
            </w:tcBorders>
            <w:noWrap/>
            <w:vAlign w:val="center"/>
          </w:tcPr>
          <w:p w14:paraId="01452232">
            <w:pPr>
              <w:adjustRightInd w:val="0"/>
              <w:snapToGrid w:val="0"/>
              <w:spacing w:line="500" w:lineRule="exact"/>
              <w:jc w:val="center"/>
              <w:rPr>
                <w:rFonts w:ascii="宋体" w:hAnsi="宋体" w:cs="仿宋"/>
                <w:color w:val="000000"/>
                <w:sz w:val="21"/>
                <w:szCs w:val="21"/>
              </w:rPr>
            </w:pPr>
          </w:p>
        </w:tc>
      </w:tr>
      <w:tr w14:paraId="24B8C94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94E915D">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20</w:t>
            </w:r>
          </w:p>
        </w:tc>
        <w:tc>
          <w:tcPr>
            <w:tcW w:w="3899" w:type="dxa"/>
            <w:tcBorders>
              <w:top w:val="nil"/>
              <w:left w:val="nil"/>
              <w:bottom w:val="single" w:color="auto" w:sz="4" w:space="0"/>
              <w:right w:val="single" w:color="auto" w:sz="4" w:space="0"/>
            </w:tcBorders>
            <w:noWrap/>
            <w:vAlign w:val="center"/>
          </w:tcPr>
          <w:p w14:paraId="6083DEB7">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吸顶式扬声器(阻燃材料)</w:t>
            </w:r>
          </w:p>
        </w:tc>
        <w:tc>
          <w:tcPr>
            <w:tcW w:w="914" w:type="dxa"/>
            <w:tcBorders>
              <w:top w:val="nil"/>
              <w:left w:val="nil"/>
              <w:bottom w:val="single" w:color="auto" w:sz="4" w:space="0"/>
              <w:right w:val="single" w:color="auto" w:sz="4" w:space="0"/>
            </w:tcBorders>
            <w:noWrap/>
            <w:vAlign w:val="center"/>
          </w:tcPr>
          <w:p w14:paraId="262C1C83">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58D1932F">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307</w:t>
            </w:r>
          </w:p>
        </w:tc>
        <w:tc>
          <w:tcPr>
            <w:tcW w:w="1315" w:type="dxa"/>
            <w:tcBorders>
              <w:top w:val="nil"/>
              <w:left w:val="nil"/>
              <w:bottom w:val="single" w:color="auto" w:sz="4" w:space="0"/>
              <w:right w:val="single" w:color="auto" w:sz="4" w:space="0"/>
            </w:tcBorders>
            <w:noWrap/>
            <w:vAlign w:val="center"/>
          </w:tcPr>
          <w:p w14:paraId="52D6811B">
            <w:pPr>
              <w:adjustRightInd w:val="0"/>
              <w:snapToGrid w:val="0"/>
              <w:spacing w:line="500" w:lineRule="exact"/>
              <w:jc w:val="center"/>
              <w:rPr>
                <w:rFonts w:ascii="宋体" w:hAnsi="宋体" w:cs="仿宋"/>
                <w:color w:val="000000"/>
                <w:sz w:val="21"/>
                <w:szCs w:val="21"/>
              </w:rPr>
            </w:pPr>
          </w:p>
        </w:tc>
      </w:tr>
      <w:tr w14:paraId="489BD09A">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86DC3BC">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21</w:t>
            </w:r>
          </w:p>
        </w:tc>
        <w:tc>
          <w:tcPr>
            <w:tcW w:w="3899" w:type="dxa"/>
            <w:tcBorders>
              <w:top w:val="nil"/>
              <w:left w:val="nil"/>
              <w:bottom w:val="single" w:color="auto" w:sz="4" w:space="0"/>
              <w:right w:val="single" w:color="auto" w:sz="4" w:space="0"/>
            </w:tcBorders>
            <w:noWrap/>
            <w:vAlign w:val="center"/>
          </w:tcPr>
          <w:p w14:paraId="5E976309">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残疾人呼叫按钮</w:t>
            </w:r>
          </w:p>
        </w:tc>
        <w:tc>
          <w:tcPr>
            <w:tcW w:w="914" w:type="dxa"/>
            <w:tcBorders>
              <w:top w:val="nil"/>
              <w:left w:val="nil"/>
              <w:bottom w:val="single" w:color="auto" w:sz="4" w:space="0"/>
              <w:right w:val="single" w:color="auto" w:sz="4" w:space="0"/>
            </w:tcBorders>
            <w:noWrap/>
            <w:vAlign w:val="center"/>
          </w:tcPr>
          <w:p w14:paraId="0D322CC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7F65DBCC">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16</w:t>
            </w:r>
          </w:p>
        </w:tc>
        <w:tc>
          <w:tcPr>
            <w:tcW w:w="1315" w:type="dxa"/>
            <w:tcBorders>
              <w:top w:val="nil"/>
              <w:left w:val="nil"/>
              <w:bottom w:val="single" w:color="auto" w:sz="4" w:space="0"/>
              <w:right w:val="single" w:color="auto" w:sz="4" w:space="0"/>
            </w:tcBorders>
            <w:noWrap/>
            <w:vAlign w:val="center"/>
          </w:tcPr>
          <w:p w14:paraId="794E9832">
            <w:pPr>
              <w:adjustRightInd w:val="0"/>
              <w:snapToGrid w:val="0"/>
              <w:spacing w:line="500" w:lineRule="exact"/>
              <w:jc w:val="center"/>
              <w:rPr>
                <w:rFonts w:ascii="宋体" w:hAnsi="宋体" w:cs="仿宋"/>
                <w:color w:val="000000"/>
                <w:sz w:val="21"/>
                <w:szCs w:val="21"/>
              </w:rPr>
            </w:pPr>
          </w:p>
        </w:tc>
      </w:tr>
      <w:tr w14:paraId="1EE35E1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CDBC2EF">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22</w:t>
            </w:r>
          </w:p>
        </w:tc>
        <w:tc>
          <w:tcPr>
            <w:tcW w:w="3899" w:type="dxa"/>
            <w:tcBorders>
              <w:top w:val="nil"/>
              <w:left w:val="nil"/>
              <w:bottom w:val="single" w:color="auto" w:sz="4" w:space="0"/>
              <w:right w:val="single" w:color="auto" w:sz="4" w:space="0"/>
            </w:tcBorders>
            <w:noWrap/>
            <w:vAlign w:val="center"/>
          </w:tcPr>
          <w:p w14:paraId="517AE57F">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带消防电话插孔的手动报警按钮</w:t>
            </w:r>
          </w:p>
        </w:tc>
        <w:tc>
          <w:tcPr>
            <w:tcW w:w="914" w:type="dxa"/>
            <w:tcBorders>
              <w:top w:val="nil"/>
              <w:left w:val="nil"/>
              <w:bottom w:val="single" w:color="auto" w:sz="4" w:space="0"/>
              <w:right w:val="single" w:color="auto" w:sz="4" w:space="0"/>
            </w:tcBorders>
            <w:noWrap/>
            <w:vAlign w:val="center"/>
          </w:tcPr>
          <w:p w14:paraId="5C5BF6F0">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07E36BD">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168</w:t>
            </w:r>
          </w:p>
        </w:tc>
        <w:tc>
          <w:tcPr>
            <w:tcW w:w="1315" w:type="dxa"/>
            <w:tcBorders>
              <w:top w:val="nil"/>
              <w:left w:val="nil"/>
              <w:bottom w:val="single" w:color="auto" w:sz="4" w:space="0"/>
              <w:right w:val="single" w:color="auto" w:sz="4" w:space="0"/>
            </w:tcBorders>
            <w:noWrap/>
            <w:vAlign w:val="center"/>
          </w:tcPr>
          <w:p w14:paraId="5F08E9DB">
            <w:pPr>
              <w:adjustRightInd w:val="0"/>
              <w:snapToGrid w:val="0"/>
              <w:spacing w:line="500" w:lineRule="exact"/>
              <w:jc w:val="center"/>
              <w:rPr>
                <w:rFonts w:ascii="宋体" w:hAnsi="宋体" w:cs="仿宋"/>
                <w:color w:val="000000"/>
                <w:sz w:val="21"/>
                <w:szCs w:val="21"/>
              </w:rPr>
            </w:pPr>
          </w:p>
        </w:tc>
      </w:tr>
      <w:tr w14:paraId="459B3512">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21969ED">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23</w:t>
            </w:r>
          </w:p>
        </w:tc>
        <w:tc>
          <w:tcPr>
            <w:tcW w:w="3899" w:type="dxa"/>
            <w:tcBorders>
              <w:top w:val="nil"/>
              <w:left w:val="nil"/>
              <w:bottom w:val="single" w:color="auto" w:sz="4" w:space="0"/>
              <w:right w:val="single" w:color="auto" w:sz="4" w:space="0"/>
            </w:tcBorders>
            <w:noWrap/>
            <w:vAlign w:val="center"/>
          </w:tcPr>
          <w:p w14:paraId="5D23C5DC">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消火栓按钮</w:t>
            </w:r>
          </w:p>
        </w:tc>
        <w:tc>
          <w:tcPr>
            <w:tcW w:w="914" w:type="dxa"/>
            <w:tcBorders>
              <w:top w:val="nil"/>
              <w:left w:val="nil"/>
              <w:bottom w:val="single" w:color="auto" w:sz="4" w:space="0"/>
              <w:right w:val="single" w:color="auto" w:sz="4" w:space="0"/>
            </w:tcBorders>
            <w:noWrap/>
            <w:vAlign w:val="center"/>
          </w:tcPr>
          <w:p w14:paraId="7A4AAF41">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0888C1CA">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216</w:t>
            </w:r>
          </w:p>
        </w:tc>
        <w:tc>
          <w:tcPr>
            <w:tcW w:w="1315" w:type="dxa"/>
            <w:tcBorders>
              <w:top w:val="nil"/>
              <w:left w:val="nil"/>
              <w:bottom w:val="single" w:color="auto" w:sz="4" w:space="0"/>
              <w:right w:val="single" w:color="auto" w:sz="4" w:space="0"/>
            </w:tcBorders>
            <w:noWrap/>
            <w:vAlign w:val="center"/>
          </w:tcPr>
          <w:p w14:paraId="13C84C70">
            <w:pPr>
              <w:adjustRightInd w:val="0"/>
              <w:snapToGrid w:val="0"/>
              <w:spacing w:line="500" w:lineRule="exact"/>
              <w:jc w:val="center"/>
              <w:rPr>
                <w:rFonts w:ascii="宋体" w:hAnsi="宋体" w:cs="仿宋"/>
                <w:color w:val="000000"/>
                <w:sz w:val="21"/>
                <w:szCs w:val="21"/>
              </w:rPr>
            </w:pPr>
          </w:p>
        </w:tc>
      </w:tr>
      <w:tr w14:paraId="3162E3E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1B2EFF0">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24</w:t>
            </w:r>
          </w:p>
        </w:tc>
        <w:tc>
          <w:tcPr>
            <w:tcW w:w="3899" w:type="dxa"/>
            <w:tcBorders>
              <w:top w:val="nil"/>
              <w:left w:val="nil"/>
              <w:bottom w:val="single" w:color="auto" w:sz="4" w:space="0"/>
              <w:right w:val="single" w:color="auto" w:sz="4" w:space="0"/>
            </w:tcBorders>
            <w:noWrap/>
            <w:vAlign w:val="center"/>
          </w:tcPr>
          <w:p w14:paraId="6484E359">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自带电源节能型吸顶灯    </w:t>
            </w:r>
          </w:p>
        </w:tc>
        <w:tc>
          <w:tcPr>
            <w:tcW w:w="914" w:type="dxa"/>
            <w:tcBorders>
              <w:top w:val="nil"/>
              <w:left w:val="nil"/>
              <w:bottom w:val="single" w:color="auto" w:sz="4" w:space="0"/>
              <w:right w:val="single" w:color="auto" w:sz="4" w:space="0"/>
            </w:tcBorders>
            <w:noWrap/>
            <w:vAlign w:val="center"/>
          </w:tcPr>
          <w:p w14:paraId="0BB6792D">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2E81E0F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47</w:t>
            </w:r>
          </w:p>
        </w:tc>
        <w:tc>
          <w:tcPr>
            <w:tcW w:w="1315" w:type="dxa"/>
            <w:tcBorders>
              <w:top w:val="nil"/>
              <w:left w:val="nil"/>
              <w:bottom w:val="single" w:color="auto" w:sz="4" w:space="0"/>
              <w:right w:val="single" w:color="auto" w:sz="4" w:space="0"/>
            </w:tcBorders>
            <w:noWrap/>
            <w:vAlign w:val="center"/>
          </w:tcPr>
          <w:p w14:paraId="7A0A59F6">
            <w:pPr>
              <w:adjustRightInd w:val="0"/>
              <w:snapToGrid w:val="0"/>
              <w:spacing w:line="500" w:lineRule="exact"/>
              <w:jc w:val="center"/>
              <w:rPr>
                <w:rFonts w:ascii="宋体" w:hAnsi="宋体" w:cs="仿宋"/>
                <w:color w:val="000000"/>
                <w:sz w:val="21"/>
                <w:szCs w:val="21"/>
              </w:rPr>
            </w:pPr>
          </w:p>
        </w:tc>
      </w:tr>
      <w:tr w14:paraId="44E60A8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B0FD2E3">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25</w:t>
            </w:r>
          </w:p>
        </w:tc>
        <w:tc>
          <w:tcPr>
            <w:tcW w:w="3899" w:type="dxa"/>
            <w:tcBorders>
              <w:top w:val="nil"/>
              <w:left w:val="nil"/>
              <w:bottom w:val="single" w:color="auto" w:sz="4" w:space="0"/>
              <w:right w:val="single" w:color="auto" w:sz="4" w:space="0"/>
            </w:tcBorders>
            <w:noWrap/>
            <w:vAlign w:val="center"/>
          </w:tcPr>
          <w:p w14:paraId="7AA20E5B">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A型-安全出口标志灯    </w:t>
            </w:r>
          </w:p>
        </w:tc>
        <w:tc>
          <w:tcPr>
            <w:tcW w:w="914" w:type="dxa"/>
            <w:tcBorders>
              <w:top w:val="nil"/>
              <w:left w:val="nil"/>
              <w:bottom w:val="single" w:color="auto" w:sz="4" w:space="0"/>
              <w:right w:val="single" w:color="auto" w:sz="4" w:space="0"/>
            </w:tcBorders>
            <w:noWrap/>
            <w:vAlign w:val="center"/>
          </w:tcPr>
          <w:p w14:paraId="52CAB2FD">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463DBA16">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210</w:t>
            </w:r>
          </w:p>
        </w:tc>
        <w:tc>
          <w:tcPr>
            <w:tcW w:w="1315" w:type="dxa"/>
            <w:tcBorders>
              <w:top w:val="nil"/>
              <w:left w:val="nil"/>
              <w:bottom w:val="single" w:color="auto" w:sz="4" w:space="0"/>
              <w:right w:val="single" w:color="auto" w:sz="4" w:space="0"/>
            </w:tcBorders>
            <w:noWrap/>
            <w:vAlign w:val="center"/>
          </w:tcPr>
          <w:p w14:paraId="11E9D360">
            <w:pPr>
              <w:adjustRightInd w:val="0"/>
              <w:snapToGrid w:val="0"/>
              <w:spacing w:line="500" w:lineRule="exact"/>
              <w:jc w:val="center"/>
              <w:rPr>
                <w:rFonts w:ascii="宋体" w:hAnsi="宋体" w:cs="仿宋"/>
                <w:color w:val="000000"/>
                <w:sz w:val="21"/>
                <w:szCs w:val="21"/>
              </w:rPr>
            </w:pPr>
          </w:p>
        </w:tc>
      </w:tr>
      <w:tr w14:paraId="2F1CB98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507B173">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26</w:t>
            </w:r>
          </w:p>
        </w:tc>
        <w:tc>
          <w:tcPr>
            <w:tcW w:w="3899" w:type="dxa"/>
            <w:tcBorders>
              <w:top w:val="nil"/>
              <w:left w:val="nil"/>
              <w:bottom w:val="single" w:color="auto" w:sz="4" w:space="0"/>
              <w:right w:val="single" w:color="auto" w:sz="4" w:space="0"/>
            </w:tcBorders>
            <w:noWrap/>
            <w:vAlign w:val="center"/>
          </w:tcPr>
          <w:p w14:paraId="1711D4E3">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A型-楼层标志灯    </w:t>
            </w:r>
          </w:p>
        </w:tc>
        <w:tc>
          <w:tcPr>
            <w:tcW w:w="914" w:type="dxa"/>
            <w:tcBorders>
              <w:top w:val="nil"/>
              <w:left w:val="nil"/>
              <w:bottom w:val="single" w:color="auto" w:sz="4" w:space="0"/>
              <w:right w:val="single" w:color="auto" w:sz="4" w:space="0"/>
            </w:tcBorders>
            <w:noWrap/>
            <w:vAlign w:val="center"/>
          </w:tcPr>
          <w:p w14:paraId="5882EE19">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44C5AD3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70</w:t>
            </w:r>
          </w:p>
        </w:tc>
        <w:tc>
          <w:tcPr>
            <w:tcW w:w="1315" w:type="dxa"/>
            <w:tcBorders>
              <w:top w:val="nil"/>
              <w:left w:val="nil"/>
              <w:bottom w:val="single" w:color="auto" w:sz="4" w:space="0"/>
              <w:right w:val="single" w:color="auto" w:sz="4" w:space="0"/>
            </w:tcBorders>
            <w:noWrap/>
            <w:vAlign w:val="center"/>
          </w:tcPr>
          <w:p w14:paraId="3C930939">
            <w:pPr>
              <w:adjustRightInd w:val="0"/>
              <w:snapToGrid w:val="0"/>
              <w:spacing w:line="500" w:lineRule="exact"/>
              <w:jc w:val="center"/>
              <w:rPr>
                <w:rFonts w:ascii="宋体" w:hAnsi="宋体" w:cs="仿宋"/>
                <w:color w:val="000000"/>
                <w:sz w:val="21"/>
                <w:szCs w:val="21"/>
              </w:rPr>
            </w:pPr>
          </w:p>
        </w:tc>
      </w:tr>
      <w:tr w14:paraId="301833E2">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F965306">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27</w:t>
            </w:r>
          </w:p>
        </w:tc>
        <w:tc>
          <w:tcPr>
            <w:tcW w:w="3899" w:type="dxa"/>
            <w:tcBorders>
              <w:top w:val="nil"/>
              <w:left w:val="nil"/>
              <w:bottom w:val="single" w:color="auto" w:sz="4" w:space="0"/>
              <w:right w:val="single" w:color="auto" w:sz="4" w:space="0"/>
            </w:tcBorders>
            <w:noWrap/>
            <w:vAlign w:val="center"/>
          </w:tcPr>
          <w:p w14:paraId="0FC3CC4B">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A型-疏散指示灯    </w:t>
            </w:r>
          </w:p>
        </w:tc>
        <w:tc>
          <w:tcPr>
            <w:tcW w:w="914" w:type="dxa"/>
            <w:tcBorders>
              <w:top w:val="nil"/>
              <w:left w:val="nil"/>
              <w:bottom w:val="single" w:color="auto" w:sz="4" w:space="0"/>
              <w:right w:val="single" w:color="auto" w:sz="4" w:space="0"/>
            </w:tcBorders>
            <w:noWrap/>
            <w:vAlign w:val="center"/>
          </w:tcPr>
          <w:p w14:paraId="318C8710">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7A912A2E">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564</w:t>
            </w:r>
          </w:p>
        </w:tc>
        <w:tc>
          <w:tcPr>
            <w:tcW w:w="1315" w:type="dxa"/>
            <w:tcBorders>
              <w:top w:val="nil"/>
              <w:left w:val="nil"/>
              <w:bottom w:val="single" w:color="auto" w:sz="4" w:space="0"/>
              <w:right w:val="single" w:color="auto" w:sz="4" w:space="0"/>
            </w:tcBorders>
            <w:noWrap/>
            <w:vAlign w:val="center"/>
          </w:tcPr>
          <w:p w14:paraId="18DE2849">
            <w:pPr>
              <w:adjustRightInd w:val="0"/>
              <w:snapToGrid w:val="0"/>
              <w:spacing w:line="500" w:lineRule="exact"/>
              <w:jc w:val="center"/>
              <w:rPr>
                <w:rFonts w:ascii="宋体" w:hAnsi="宋体" w:cs="仿宋"/>
                <w:color w:val="000000"/>
                <w:sz w:val="21"/>
                <w:szCs w:val="21"/>
              </w:rPr>
            </w:pPr>
          </w:p>
        </w:tc>
      </w:tr>
      <w:tr w14:paraId="1F01E06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A087764">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28</w:t>
            </w:r>
          </w:p>
        </w:tc>
        <w:tc>
          <w:tcPr>
            <w:tcW w:w="3899" w:type="dxa"/>
            <w:tcBorders>
              <w:top w:val="nil"/>
              <w:left w:val="nil"/>
              <w:bottom w:val="single" w:color="auto" w:sz="4" w:space="0"/>
              <w:right w:val="single" w:color="auto" w:sz="4" w:space="0"/>
            </w:tcBorders>
            <w:noWrap/>
            <w:vAlign w:val="center"/>
          </w:tcPr>
          <w:p w14:paraId="47CB6E87">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A型-双头应急灯    </w:t>
            </w:r>
          </w:p>
        </w:tc>
        <w:tc>
          <w:tcPr>
            <w:tcW w:w="914" w:type="dxa"/>
            <w:tcBorders>
              <w:top w:val="nil"/>
              <w:left w:val="nil"/>
              <w:bottom w:val="single" w:color="auto" w:sz="4" w:space="0"/>
              <w:right w:val="single" w:color="auto" w:sz="4" w:space="0"/>
            </w:tcBorders>
            <w:noWrap/>
            <w:vAlign w:val="center"/>
          </w:tcPr>
          <w:p w14:paraId="1815A816">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3F680B4F">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619</w:t>
            </w:r>
          </w:p>
        </w:tc>
        <w:tc>
          <w:tcPr>
            <w:tcW w:w="1315" w:type="dxa"/>
            <w:tcBorders>
              <w:top w:val="nil"/>
              <w:left w:val="nil"/>
              <w:bottom w:val="single" w:color="auto" w:sz="4" w:space="0"/>
              <w:right w:val="single" w:color="auto" w:sz="4" w:space="0"/>
            </w:tcBorders>
            <w:noWrap/>
            <w:vAlign w:val="center"/>
          </w:tcPr>
          <w:p w14:paraId="0F6F8B7E">
            <w:pPr>
              <w:adjustRightInd w:val="0"/>
              <w:snapToGrid w:val="0"/>
              <w:spacing w:line="500" w:lineRule="exact"/>
              <w:jc w:val="center"/>
              <w:rPr>
                <w:rFonts w:ascii="宋体" w:hAnsi="宋体" w:cs="仿宋"/>
                <w:color w:val="000000"/>
                <w:sz w:val="21"/>
                <w:szCs w:val="21"/>
              </w:rPr>
            </w:pPr>
          </w:p>
        </w:tc>
      </w:tr>
      <w:tr w14:paraId="5881DE2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A29D21F">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29</w:t>
            </w:r>
          </w:p>
        </w:tc>
        <w:tc>
          <w:tcPr>
            <w:tcW w:w="3899" w:type="dxa"/>
            <w:tcBorders>
              <w:top w:val="nil"/>
              <w:left w:val="nil"/>
              <w:bottom w:val="single" w:color="auto" w:sz="4" w:space="0"/>
              <w:right w:val="single" w:color="auto" w:sz="4" w:space="0"/>
            </w:tcBorders>
            <w:noWrap/>
            <w:vAlign w:val="center"/>
          </w:tcPr>
          <w:p w14:paraId="01B99375">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应急单管日光灯    </w:t>
            </w:r>
          </w:p>
        </w:tc>
        <w:tc>
          <w:tcPr>
            <w:tcW w:w="914" w:type="dxa"/>
            <w:tcBorders>
              <w:top w:val="nil"/>
              <w:left w:val="nil"/>
              <w:bottom w:val="single" w:color="auto" w:sz="4" w:space="0"/>
              <w:right w:val="single" w:color="auto" w:sz="4" w:space="0"/>
            </w:tcBorders>
            <w:noWrap/>
            <w:vAlign w:val="center"/>
          </w:tcPr>
          <w:p w14:paraId="5DC55659">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015897A7">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83</w:t>
            </w:r>
          </w:p>
        </w:tc>
        <w:tc>
          <w:tcPr>
            <w:tcW w:w="1315" w:type="dxa"/>
            <w:tcBorders>
              <w:top w:val="nil"/>
              <w:left w:val="nil"/>
              <w:bottom w:val="single" w:color="auto" w:sz="4" w:space="0"/>
              <w:right w:val="single" w:color="auto" w:sz="4" w:space="0"/>
            </w:tcBorders>
            <w:noWrap/>
            <w:vAlign w:val="center"/>
          </w:tcPr>
          <w:p w14:paraId="18BC3F4D">
            <w:pPr>
              <w:adjustRightInd w:val="0"/>
              <w:snapToGrid w:val="0"/>
              <w:spacing w:line="500" w:lineRule="exact"/>
              <w:jc w:val="center"/>
              <w:rPr>
                <w:rFonts w:ascii="宋体" w:hAnsi="宋体" w:cs="仿宋"/>
                <w:color w:val="000000"/>
                <w:sz w:val="21"/>
                <w:szCs w:val="21"/>
              </w:rPr>
            </w:pPr>
          </w:p>
        </w:tc>
      </w:tr>
      <w:tr w14:paraId="5E08AC6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3E0B0BD">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30</w:t>
            </w:r>
          </w:p>
        </w:tc>
        <w:tc>
          <w:tcPr>
            <w:tcW w:w="3899" w:type="dxa"/>
            <w:tcBorders>
              <w:top w:val="nil"/>
              <w:left w:val="nil"/>
              <w:bottom w:val="single" w:color="auto" w:sz="4" w:space="0"/>
              <w:right w:val="single" w:color="auto" w:sz="4" w:space="0"/>
            </w:tcBorders>
            <w:noWrap/>
            <w:vAlign w:val="center"/>
          </w:tcPr>
          <w:p w14:paraId="4ABF2DA7">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应急双管日光灯    </w:t>
            </w:r>
          </w:p>
        </w:tc>
        <w:tc>
          <w:tcPr>
            <w:tcW w:w="914" w:type="dxa"/>
            <w:tcBorders>
              <w:top w:val="nil"/>
              <w:left w:val="nil"/>
              <w:bottom w:val="single" w:color="auto" w:sz="4" w:space="0"/>
              <w:right w:val="single" w:color="auto" w:sz="4" w:space="0"/>
            </w:tcBorders>
            <w:noWrap/>
            <w:vAlign w:val="center"/>
          </w:tcPr>
          <w:p w14:paraId="6BAC4F37">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30A58B7F">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34</w:t>
            </w:r>
          </w:p>
        </w:tc>
        <w:tc>
          <w:tcPr>
            <w:tcW w:w="1315" w:type="dxa"/>
            <w:tcBorders>
              <w:top w:val="nil"/>
              <w:left w:val="nil"/>
              <w:bottom w:val="single" w:color="auto" w:sz="4" w:space="0"/>
              <w:right w:val="single" w:color="auto" w:sz="4" w:space="0"/>
            </w:tcBorders>
            <w:noWrap/>
            <w:vAlign w:val="center"/>
          </w:tcPr>
          <w:p w14:paraId="1D4E3C54">
            <w:pPr>
              <w:adjustRightInd w:val="0"/>
              <w:snapToGrid w:val="0"/>
              <w:spacing w:line="500" w:lineRule="exact"/>
              <w:jc w:val="center"/>
              <w:rPr>
                <w:rFonts w:ascii="宋体" w:hAnsi="宋体" w:cs="仿宋"/>
                <w:color w:val="000000"/>
                <w:sz w:val="21"/>
                <w:szCs w:val="21"/>
              </w:rPr>
            </w:pPr>
          </w:p>
        </w:tc>
      </w:tr>
      <w:tr w14:paraId="095952E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9D5E24B">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31</w:t>
            </w:r>
          </w:p>
        </w:tc>
        <w:tc>
          <w:tcPr>
            <w:tcW w:w="3899" w:type="dxa"/>
            <w:tcBorders>
              <w:top w:val="nil"/>
              <w:left w:val="nil"/>
              <w:bottom w:val="single" w:color="auto" w:sz="4" w:space="0"/>
              <w:right w:val="single" w:color="auto" w:sz="4" w:space="0"/>
            </w:tcBorders>
            <w:noWrap/>
            <w:vAlign w:val="center"/>
          </w:tcPr>
          <w:p w14:paraId="14ABA2F5">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火警接线端子箱</w:t>
            </w:r>
          </w:p>
        </w:tc>
        <w:tc>
          <w:tcPr>
            <w:tcW w:w="914" w:type="dxa"/>
            <w:tcBorders>
              <w:top w:val="nil"/>
              <w:left w:val="nil"/>
              <w:bottom w:val="single" w:color="auto" w:sz="4" w:space="0"/>
              <w:right w:val="single" w:color="auto" w:sz="4" w:space="0"/>
            </w:tcBorders>
            <w:noWrap/>
            <w:vAlign w:val="center"/>
          </w:tcPr>
          <w:p w14:paraId="0FB85CD1">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1AFCF0DE">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23</w:t>
            </w:r>
          </w:p>
        </w:tc>
        <w:tc>
          <w:tcPr>
            <w:tcW w:w="1315" w:type="dxa"/>
            <w:tcBorders>
              <w:top w:val="nil"/>
              <w:left w:val="nil"/>
              <w:bottom w:val="single" w:color="auto" w:sz="4" w:space="0"/>
              <w:right w:val="single" w:color="auto" w:sz="4" w:space="0"/>
            </w:tcBorders>
            <w:noWrap/>
            <w:vAlign w:val="center"/>
          </w:tcPr>
          <w:p w14:paraId="6B66E1D4">
            <w:pPr>
              <w:adjustRightInd w:val="0"/>
              <w:snapToGrid w:val="0"/>
              <w:spacing w:line="500" w:lineRule="exact"/>
              <w:jc w:val="center"/>
              <w:rPr>
                <w:rFonts w:ascii="宋体" w:hAnsi="宋体" w:cs="仿宋"/>
                <w:color w:val="000000"/>
                <w:sz w:val="21"/>
                <w:szCs w:val="21"/>
              </w:rPr>
            </w:pPr>
          </w:p>
        </w:tc>
      </w:tr>
      <w:tr w14:paraId="68D9BD8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4DFEE81">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32</w:t>
            </w:r>
          </w:p>
        </w:tc>
        <w:tc>
          <w:tcPr>
            <w:tcW w:w="3899" w:type="dxa"/>
            <w:tcBorders>
              <w:top w:val="nil"/>
              <w:left w:val="nil"/>
              <w:bottom w:val="single" w:color="auto" w:sz="4" w:space="0"/>
              <w:right w:val="single" w:color="auto" w:sz="4" w:space="0"/>
            </w:tcBorders>
            <w:noWrap/>
            <w:vAlign w:val="center"/>
          </w:tcPr>
          <w:p w14:paraId="29E29A70">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应急照明配电箱ALE</w:t>
            </w:r>
          </w:p>
        </w:tc>
        <w:tc>
          <w:tcPr>
            <w:tcW w:w="914" w:type="dxa"/>
            <w:tcBorders>
              <w:top w:val="nil"/>
              <w:left w:val="nil"/>
              <w:bottom w:val="single" w:color="auto" w:sz="4" w:space="0"/>
              <w:right w:val="single" w:color="auto" w:sz="4" w:space="0"/>
            </w:tcBorders>
            <w:noWrap/>
            <w:vAlign w:val="center"/>
          </w:tcPr>
          <w:p w14:paraId="3B516129">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669195ED">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23</w:t>
            </w:r>
          </w:p>
        </w:tc>
        <w:tc>
          <w:tcPr>
            <w:tcW w:w="1315" w:type="dxa"/>
            <w:tcBorders>
              <w:top w:val="nil"/>
              <w:left w:val="nil"/>
              <w:bottom w:val="single" w:color="auto" w:sz="4" w:space="0"/>
              <w:right w:val="single" w:color="auto" w:sz="4" w:space="0"/>
            </w:tcBorders>
            <w:noWrap/>
            <w:vAlign w:val="center"/>
          </w:tcPr>
          <w:p w14:paraId="6FB02425">
            <w:pPr>
              <w:adjustRightInd w:val="0"/>
              <w:snapToGrid w:val="0"/>
              <w:spacing w:line="500" w:lineRule="exact"/>
              <w:jc w:val="center"/>
              <w:rPr>
                <w:rFonts w:ascii="宋体" w:hAnsi="宋体" w:cs="仿宋"/>
                <w:color w:val="000000"/>
                <w:sz w:val="21"/>
                <w:szCs w:val="21"/>
              </w:rPr>
            </w:pPr>
          </w:p>
        </w:tc>
      </w:tr>
      <w:tr w14:paraId="023AB38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6202B8C">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33</w:t>
            </w:r>
          </w:p>
        </w:tc>
        <w:tc>
          <w:tcPr>
            <w:tcW w:w="3899" w:type="dxa"/>
            <w:tcBorders>
              <w:top w:val="nil"/>
              <w:left w:val="nil"/>
              <w:bottom w:val="single" w:color="auto" w:sz="4" w:space="0"/>
              <w:right w:val="single" w:color="auto" w:sz="4" w:space="0"/>
            </w:tcBorders>
            <w:noWrap/>
            <w:vAlign w:val="center"/>
          </w:tcPr>
          <w:p w14:paraId="2D6CEF9C">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A型应急照明集中电源</w:t>
            </w:r>
          </w:p>
        </w:tc>
        <w:tc>
          <w:tcPr>
            <w:tcW w:w="914" w:type="dxa"/>
            <w:tcBorders>
              <w:top w:val="nil"/>
              <w:left w:val="nil"/>
              <w:bottom w:val="single" w:color="auto" w:sz="4" w:space="0"/>
              <w:right w:val="single" w:color="auto" w:sz="4" w:space="0"/>
            </w:tcBorders>
            <w:noWrap/>
            <w:vAlign w:val="center"/>
          </w:tcPr>
          <w:p w14:paraId="4771F73C">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72859ABE">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23</w:t>
            </w:r>
          </w:p>
        </w:tc>
        <w:tc>
          <w:tcPr>
            <w:tcW w:w="1315" w:type="dxa"/>
            <w:tcBorders>
              <w:top w:val="nil"/>
              <w:left w:val="nil"/>
              <w:bottom w:val="single" w:color="auto" w:sz="4" w:space="0"/>
              <w:right w:val="single" w:color="auto" w:sz="4" w:space="0"/>
            </w:tcBorders>
            <w:noWrap/>
            <w:vAlign w:val="center"/>
          </w:tcPr>
          <w:p w14:paraId="5679C62A">
            <w:pPr>
              <w:adjustRightInd w:val="0"/>
              <w:snapToGrid w:val="0"/>
              <w:spacing w:line="500" w:lineRule="exact"/>
              <w:jc w:val="center"/>
              <w:rPr>
                <w:rFonts w:ascii="宋体" w:hAnsi="宋体" w:cs="仿宋"/>
                <w:color w:val="000000"/>
                <w:sz w:val="21"/>
                <w:szCs w:val="21"/>
              </w:rPr>
            </w:pPr>
          </w:p>
        </w:tc>
      </w:tr>
      <w:tr w14:paraId="3FEFE78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2DD1F84">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34</w:t>
            </w:r>
          </w:p>
        </w:tc>
        <w:tc>
          <w:tcPr>
            <w:tcW w:w="3899" w:type="dxa"/>
            <w:tcBorders>
              <w:top w:val="nil"/>
              <w:left w:val="nil"/>
              <w:bottom w:val="single" w:color="auto" w:sz="4" w:space="0"/>
              <w:right w:val="single" w:color="auto" w:sz="4" w:space="0"/>
            </w:tcBorders>
            <w:noWrap/>
            <w:vAlign w:val="center"/>
          </w:tcPr>
          <w:p w14:paraId="7BD73B2A">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气体灭火控制器</w:t>
            </w:r>
          </w:p>
        </w:tc>
        <w:tc>
          <w:tcPr>
            <w:tcW w:w="914" w:type="dxa"/>
            <w:tcBorders>
              <w:top w:val="nil"/>
              <w:left w:val="nil"/>
              <w:bottom w:val="single" w:color="auto" w:sz="4" w:space="0"/>
              <w:right w:val="single" w:color="auto" w:sz="4" w:space="0"/>
            </w:tcBorders>
            <w:noWrap/>
            <w:vAlign w:val="center"/>
          </w:tcPr>
          <w:p w14:paraId="6D4B44E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4044A5EE">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1F8A2323">
            <w:pPr>
              <w:adjustRightInd w:val="0"/>
              <w:snapToGrid w:val="0"/>
              <w:spacing w:line="500" w:lineRule="exact"/>
              <w:jc w:val="center"/>
              <w:rPr>
                <w:rFonts w:ascii="宋体" w:hAnsi="宋体" w:cs="仿宋"/>
                <w:color w:val="000000"/>
                <w:sz w:val="21"/>
                <w:szCs w:val="21"/>
              </w:rPr>
            </w:pPr>
          </w:p>
        </w:tc>
      </w:tr>
      <w:tr w14:paraId="409B485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C9E2939">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35</w:t>
            </w:r>
          </w:p>
        </w:tc>
        <w:tc>
          <w:tcPr>
            <w:tcW w:w="3899" w:type="dxa"/>
            <w:tcBorders>
              <w:top w:val="nil"/>
              <w:left w:val="nil"/>
              <w:bottom w:val="single" w:color="auto" w:sz="4" w:space="0"/>
              <w:right w:val="single" w:color="auto" w:sz="4" w:space="0"/>
            </w:tcBorders>
            <w:noWrap/>
            <w:vAlign w:val="center"/>
          </w:tcPr>
          <w:p w14:paraId="65F94693">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点型感温探测器</w:t>
            </w:r>
          </w:p>
        </w:tc>
        <w:tc>
          <w:tcPr>
            <w:tcW w:w="914" w:type="dxa"/>
            <w:tcBorders>
              <w:top w:val="nil"/>
              <w:left w:val="nil"/>
              <w:bottom w:val="single" w:color="auto" w:sz="4" w:space="0"/>
              <w:right w:val="single" w:color="auto" w:sz="4" w:space="0"/>
            </w:tcBorders>
            <w:noWrap/>
            <w:vAlign w:val="center"/>
          </w:tcPr>
          <w:p w14:paraId="1B537F51">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05D9A820">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36</w:t>
            </w:r>
          </w:p>
        </w:tc>
        <w:tc>
          <w:tcPr>
            <w:tcW w:w="1315" w:type="dxa"/>
            <w:tcBorders>
              <w:top w:val="nil"/>
              <w:left w:val="nil"/>
              <w:bottom w:val="single" w:color="auto" w:sz="4" w:space="0"/>
              <w:right w:val="single" w:color="auto" w:sz="4" w:space="0"/>
            </w:tcBorders>
            <w:noWrap/>
            <w:vAlign w:val="center"/>
          </w:tcPr>
          <w:p w14:paraId="467E3375">
            <w:pPr>
              <w:adjustRightInd w:val="0"/>
              <w:snapToGrid w:val="0"/>
              <w:spacing w:line="500" w:lineRule="exact"/>
              <w:jc w:val="center"/>
              <w:rPr>
                <w:rFonts w:ascii="宋体" w:hAnsi="宋体" w:cs="仿宋"/>
                <w:color w:val="000000"/>
                <w:sz w:val="21"/>
                <w:szCs w:val="21"/>
              </w:rPr>
            </w:pPr>
          </w:p>
        </w:tc>
      </w:tr>
      <w:tr w14:paraId="12399CA0">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50CA78B">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36</w:t>
            </w:r>
          </w:p>
        </w:tc>
        <w:tc>
          <w:tcPr>
            <w:tcW w:w="3899" w:type="dxa"/>
            <w:tcBorders>
              <w:top w:val="nil"/>
              <w:left w:val="nil"/>
              <w:bottom w:val="single" w:color="auto" w:sz="4" w:space="0"/>
              <w:right w:val="single" w:color="auto" w:sz="4" w:space="0"/>
            </w:tcBorders>
            <w:noWrap/>
            <w:vAlign w:val="center"/>
          </w:tcPr>
          <w:p w14:paraId="3B5701B9">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点型感温火灾探测器</w:t>
            </w:r>
          </w:p>
        </w:tc>
        <w:tc>
          <w:tcPr>
            <w:tcW w:w="914" w:type="dxa"/>
            <w:tcBorders>
              <w:top w:val="nil"/>
              <w:left w:val="nil"/>
              <w:bottom w:val="single" w:color="auto" w:sz="4" w:space="0"/>
              <w:right w:val="single" w:color="auto" w:sz="4" w:space="0"/>
            </w:tcBorders>
            <w:noWrap/>
            <w:vAlign w:val="center"/>
          </w:tcPr>
          <w:p w14:paraId="6870F5D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C00336A">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12</w:t>
            </w:r>
          </w:p>
        </w:tc>
        <w:tc>
          <w:tcPr>
            <w:tcW w:w="1315" w:type="dxa"/>
            <w:tcBorders>
              <w:top w:val="nil"/>
              <w:left w:val="nil"/>
              <w:bottom w:val="single" w:color="auto" w:sz="4" w:space="0"/>
              <w:right w:val="single" w:color="auto" w:sz="4" w:space="0"/>
            </w:tcBorders>
            <w:noWrap/>
            <w:vAlign w:val="center"/>
          </w:tcPr>
          <w:p w14:paraId="1E92AA2B">
            <w:pPr>
              <w:adjustRightInd w:val="0"/>
              <w:snapToGrid w:val="0"/>
              <w:spacing w:line="500" w:lineRule="exact"/>
              <w:jc w:val="center"/>
              <w:rPr>
                <w:rFonts w:ascii="宋体" w:hAnsi="宋体" w:cs="仿宋"/>
                <w:color w:val="000000"/>
                <w:sz w:val="21"/>
                <w:szCs w:val="21"/>
              </w:rPr>
            </w:pPr>
          </w:p>
        </w:tc>
      </w:tr>
      <w:tr w14:paraId="133E473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8D594B4">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37</w:t>
            </w:r>
          </w:p>
        </w:tc>
        <w:tc>
          <w:tcPr>
            <w:tcW w:w="3899" w:type="dxa"/>
            <w:tcBorders>
              <w:top w:val="nil"/>
              <w:left w:val="nil"/>
              <w:bottom w:val="single" w:color="auto" w:sz="4" w:space="0"/>
              <w:right w:val="single" w:color="auto" w:sz="4" w:space="0"/>
            </w:tcBorders>
            <w:noWrap/>
            <w:vAlign w:val="center"/>
          </w:tcPr>
          <w:p w14:paraId="1E54D0C4">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温湿度探测器    </w:t>
            </w:r>
          </w:p>
        </w:tc>
        <w:tc>
          <w:tcPr>
            <w:tcW w:w="914" w:type="dxa"/>
            <w:tcBorders>
              <w:top w:val="nil"/>
              <w:left w:val="nil"/>
              <w:bottom w:val="single" w:color="auto" w:sz="4" w:space="0"/>
              <w:right w:val="single" w:color="auto" w:sz="4" w:space="0"/>
            </w:tcBorders>
            <w:noWrap/>
            <w:vAlign w:val="center"/>
          </w:tcPr>
          <w:p w14:paraId="2EE2D4A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6ED28B6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7</w:t>
            </w:r>
          </w:p>
        </w:tc>
        <w:tc>
          <w:tcPr>
            <w:tcW w:w="1315" w:type="dxa"/>
            <w:tcBorders>
              <w:top w:val="nil"/>
              <w:left w:val="nil"/>
              <w:bottom w:val="single" w:color="auto" w:sz="4" w:space="0"/>
              <w:right w:val="single" w:color="auto" w:sz="4" w:space="0"/>
            </w:tcBorders>
            <w:noWrap/>
            <w:vAlign w:val="center"/>
          </w:tcPr>
          <w:p w14:paraId="0D745DBF">
            <w:pPr>
              <w:adjustRightInd w:val="0"/>
              <w:snapToGrid w:val="0"/>
              <w:spacing w:line="500" w:lineRule="exact"/>
              <w:jc w:val="center"/>
              <w:rPr>
                <w:rFonts w:ascii="宋体" w:hAnsi="宋体" w:cs="仿宋"/>
                <w:color w:val="000000"/>
                <w:sz w:val="21"/>
                <w:szCs w:val="21"/>
              </w:rPr>
            </w:pPr>
          </w:p>
        </w:tc>
      </w:tr>
      <w:tr w14:paraId="7E36BF3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C492E10">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38</w:t>
            </w:r>
          </w:p>
        </w:tc>
        <w:tc>
          <w:tcPr>
            <w:tcW w:w="3899" w:type="dxa"/>
            <w:tcBorders>
              <w:top w:val="nil"/>
              <w:left w:val="nil"/>
              <w:bottom w:val="single" w:color="auto" w:sz="4" w:space="0"/>
              <w:right w:val="single" w:color="auto" w:sz="4" w:space="0"/>
            </w:tcBorders>
            <w:noWrap/>
            <w:vAlign w:val="center"/>
          </w:tcPr>
          <w:p w14:paraId="084AE9FD">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点型感烟探测器</w:t>
            </w:r>
          </w:p>
        </w:tc>
        <w:tc>
          <w:tcPr>
            <w:tcW w:w="914" w:type="dxa"/>
            <w:tcBorders>
              <w:top w:val="nil"/>
              <w:left w:val="nil"/>
              <w:bottom w:val="single" w:color="auto" w:sz="4" w:space="0"/>
              <w:right w:val="single" w:color="auto" w:sz="4" w:space="0"/>
            </w:tcBorders>
            <w:noWrap/>
            <w:vAlign w:val="center"/>
          </w:tcPr>
          <w:p w14:paraId="71A21DF0">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604AD20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389</w:t>
            </w:r>
          </w:p>
        </w:tc>
        <w:tc>
          <w:tcPr>
            <w:tcW w:w="1315" w:type="dxa"/>
            <w:tcBorders>
              <w:top w:val="nil"/>
              <w:left w:val="nil"/>
              <w:bottom w:val="single" w:color="auto" w:sz="4" w:space="0"/>
              <w:right w:val="single" w:color="auto" w:sz="4" w:space="0"/>
            </w:tcBorders>
            <w:noWrap/>
            <w:vAlign w:val="center"/>
          </w:tcPr>
          <w:p w14:paraId="28377AF9">
            <w:pPr>
              <w:adjustRightInd w:val="0"/>
              <w:snapToGrid w:val="0"/>
              <w:spacing w:line="500" w:lineRule="exact"/>
              <w:jc w:val="center"/>
              <w:rPr>
                <w:rFonts w:ascii="宋体" w:hAnsi="宋体" w:cs="仿宋"/>
                <w:color w:val="000000"/>
                <w:sz w:val="21"/>
                <w:szCs w:val="21"/>
              </w:rPr>
            </w:pPr>
          </w:p>
        </w:tc>
      </w:tr>
      <w:tr w14:paraId="4563BF2A">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BFAB68E">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39</w:t>
            </w:r>
          </w:p>
        </w:tc>
        <w:tc>
          <w:tcPr>
            <w:tcW w:w="3899" w:type="dxa"/>
            <w:tcBorders>
              <w:top w:val="nil"/>
              <w:left w:val="nil"/>
              <w:bottom w:val="single" w:color="auto" w:sz="4" w:space="0"/>
              <w:right w:val="single" w:color="auto" w:sz="4" w:space="0"/>
            </w:tcBorders>
            <w:noWrap/>
            <w:vAlign w:val="center"/>
          </w:tcPr>
          <w:p w14:paraId="65B98021">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点型光电感烟探测器</w:t>
            </w:r>
          </w:p>
        </w:tc>
        <w:tc>
          <w:tcPr>
            <w:tcW w:w="914" w:type="dxa"/>
            <w:tcBorders>
              <w:top w:val="nil"/>
              <w:left w:val="nil"/>
              <w:bottom w:val="single" w:color="auto" w:sz="4" w:space="0"/>
              <w:right w:val="single" w:color="auto" w:sz="4" w:space="0"/>
            </w:tcBorders>
            <w:noWrap/>
            <w:vAlign w:val="center"/>
          </w:tcPr>
          <w:p w14:paraId="07762B39">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349C9DB">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11</w:t>
            </w:r>
          </w:p>
        </w:tc>
        <w:tc>
          <w:tcPr>
            <w:tcW w:w="1315" w:type="dxa"/>
            <w:tcBorders>
              <w:top w:val="nil"/>
              <w:left w:val="nil"/>
              <w:bottom w:val="single" w:color="auto" w:sz="4" w:space="0"/>
              <w:right w:val="single" w:color="auto" w:sz="4" w:space="0"/>
            </w:tcBorders>
            <w:noWrap/>
            <w:vAlign w:val="center"/>
          </w:tcPr>
          <w:p w14:paraId="03F6C22A">
            <w:pPr>
              <w:adjustRightInd w:val="0"/>
              <w:snapToGrid w:val="0"/>
              <w:spacing w:line="500" w:lineRule="exact"/>
              <w:jc w:val="center"/>
              <w:rPr>
                <w:rFonts w:ascii="宋体" w:hAnsi="宋体" w:cs="仿宋"/>
                <w:color w:val="000000"/>
                <w:sz w:val="21"/>
                <w:szCs w:val="21"/>
              </w:rPr>
            </w:pPr>
          </w:p>
        </w:tc>
      </w:tr>
      <w:tr w14:paraId="0E2E82E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D84053D">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40</w:t>
            </w:r>
          </w:p>
        </w:tc>
        <w:tc>
          <w:tcPr>
            <w:tcW w:w="3899" w:type="dxa"/>
            <w:tcBorders>
              <w:top w:val="nil"/>
              <w:left w:val="nil"/>
              <w:bottom w:val="single" w:color="auto" w:sz="4" w:space="0"/>
              <w:right w:val="single" w:color="auto" w:sz="4" w:space="0"/>
            </w:tcBorders>
            <w:noWrap/>
            <w:vAlign w:val="center"/>
          </w:tcPr>
          <w:p w14:paraId="39096DE6">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6回路监控探测器</w:t>
            </w:r>
          </w:p>
        </w:tc>
        <w:tc>
          <w:tcPr>
            <w:tcW w:w="914" w:type="dxa"/>
            <w:tcBorders>
              <w:top w:val="nil"/>
              <w:left w:val="nil"/>
              <w:bottom w:val="single" w:color="auto" w:sz="4" w:space="0"/>
              <w:right w:val="single" w:color="auto" w:sz="4" w:space="0"/>
            </w:tcBorders>
            <w:noWrap/>
            <w:vAlign w:val="center"/>
          </w:tcPr>
          <w:p w14:paraId="5B858987">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15DA04D5">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55639DCC">
            <w:pPr>
              <w:adjustRightInd w:val="0"/>
              <w:snapToGrid w:val="0"/>
              <w:spacing w:line="500" w:lineRule="exact"/>
              <w:jc w:val="center"/>
              <w:rPr>
                <w:rFonts w:ascii="宋体" w:hAnsi="宋体" w:cs="仿宋"/>
                <w:color w:val="000000"/>
                <w:sz w:val="21"/>
                <w:szCs w:val="21"/>
              </w:rPr>
            </w:pPr>
          </w:p>
        </w:tc>
      </w:tr>
      <w:tr w14:paraId="71F6AC6D">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DCACFEB">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41</w:t>
            </w:r>
          </w:p>
        </w:tc>
        <w:tc>
          <w:tcPr>
            <w:tcW w:w="3899" w:type="dxa"/>
            <w:tcBorders>
              <w:top w:val="nil"/>
              <w:left w:val="nil"/>
              <w:bottom w:val="single" w:color="auto" w:sz="4" w:space="0"/>
              <w:right w:val="single" w:color="auto" w:sz="4" w:space="0"/>
            </w:tcBorders>
            <w:noWrap/>
            <w:vAlign w:val="center"/>
          </w:tcPr>
          <w:p w14:paraId="4FF16F6A">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8回路监控探测器</w:t>
            </w:r>
          </w:p>
        </w:tc>
        <w:tc>
          <w:tcPr>
            <w:tcW w:w="914" w:type="dxa"/>
            <w:tcBorders>
              <w:top w:val="nil"/>
              <w:left w:val="nil"/>
              <w:bottom w:val="single" w:color="auto" w:sz="4" w:space="0"/>
              <w:right w:val="single" w:color="auto" w:sz="4" w:space="0"/>
            </w:tcBorders>
            <w:noWrap/>
            <w:vAlign w:val="center"/>
          </w:tcPr>
          <w:p w14:paraId="51933FDC">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E37537F">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6226C006">
            <w:pPr>
              <w:adjustRightInd w:val="0"/>
              <w:snapToGrid w:val="0"/>
              <w:spacing w:line="500" w:lineRule="exact"/>
              <w:jc w:val="center"/>
              <w:rPr>
                <w:rFonts w:ascii="宋体" w:hAnsi="宋体" w:cs="仿宋"/>
                <w:color w:val="000000"/>
                <w:sz w:val="21"/>
                <w:szCs w:val="21"/>
              </w:rPr>
            </w:pPr>
          </w:p>
        </w:tc>
      </w:tr>
      <w:tr w14:paraId="5890716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3F8DE3F">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42</w:t>
            </w:r>
          </w:p>
        </w:tc>
        <w:tc>
          <w:tcPr>
            <w:tcW w:w="3899" w:type="dxa"/>
            <w:tcBorders>
              <w:top w:val="nil"/>
              <w:left w:val="nil"/>
              <w:bottom w:val="single" w:color="auto" w:sz="4" w:space="0"/>
              <w:right w:val="single" w:color="auto" w:sz="4" w:space="0"/>
            </w:tcBorders>
            <w:noWrap/>
            <w:vAlign w:val="center"/>
          </w:tcPr>
          <w:p w14:paraId="07D21C67">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总线短路隔离器</w:t>
            </w:r>
          </w:p>
        </w:tc>
        <w:tc>
          <w:tcPr>
            <w:tcW w:w="914" w:type="dxa"/>
            <w:tcBorders>
              <w:top w:val="nil"/>
              <w:left w:val="nil"/>
              <w:bottom w:val="single" w:color="auto" w:sz="4" w:space="0"/>
              <w:right w:val="single" w:color="auto" w:sz="4" w:space="0"/>
            </w:tcBorders>
            <w:noWrap/>
            <w:vAlign w:val="center"/>
          </w:tcPr>
          <w:p w14:paraId="45F0EAC6">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38D7084C">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27</w:t>
            </w:r>
          </w:p>
        </w:tc>
        <w:tc>
          <w:tcPr>
            <w:tcW w:w="1315" w:type="dxa"/>
            <w:tcBorders>
              <w:top w:val="nil"/>
              <w:left w:val="nil"/>
              <w:bottom w:val="single" w:color="auto" w:sz="4" w:space="0"/>
              <w:right w:val="single" w:color="auto" w:sz="4" w:space="0"/>
            </w:tcBorders>
            <w:noWrap/>
            <w:vAlign w:val="center"/>
          </w:tcPr>
          <w:p w14:paraId="5FF80AE5">
            <w:pPr>
              <w:adjustRightInd w:val="0"/>
              <w:snapToGrid w:val="0"/>
              <w:spacing w:line="500" w:lineRule="exact"/>
              <w:jc w:val="center"/>
              <w:rPr>
                <w:rFonts w:ascii="宋体" w:hAnsi="宋体" w:cs="仿宋"/>
                <w:color w:val="000000"/>
                <w:sz w:val="21"/>
                <w:szCs w:val="21"/>
              </w:rPr>
            </w:pPr>
          </w:p>
        </w:tc>
      </w:tr>
      <w:tr w14:paraId="2406CFB2">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E164466">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43</w:t>
            </w:r>
          </w:p>
        </w:tc>
        <w:tc>
          <w:tcPr>
            <w:tcW w:w="3899" w:type="dxa"/>
            <w:tcBorders>
              <w:top w:val="nil"/>
              <w:left w:val="nil"/>
              <w:bottom w:val="single" w:color="auto" w:sz="4" w:space="0"/>
              <w:right w:val="single" w:color="auto" w:sz="4" w:space="0"/>
            </w:tcBorders>
            <w:noWrap/>
            <w:vAlign w:val="center"/>
          </w:tcPr>
          <w:p w14:paraId="5B7EBA8F">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防火门门磁开关（智能型）单扇常闭</w:t>
            </w:r>
          </w:p>
        </w:tc>
        <w:tc>
          <w:tcPr>
            <w:tcW w:w="914" w:type="dxa"/>
            <w:tcBorders>
              <w:top w:val="nil"/>
              <w:left w:val="nil"/>
              <w:bottom w:val="single" w:color="auto" w:sz="4" w:space="0"/>
              <w:right w:val="single" w:color="auto" w:sz="4" w:space="0"/>
            </w:tcBorders>
            <w:noWrap/>
            <w:vAlign w:val="center"/>
          </w:tcPr>
          <w:p w14:paraId="57E7509D">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0F5CD021">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21FE9B77">
            <w:pPr>
              <w:adjustRightInd w:val="0"/>
              <w:snapToGrid w:val="0"/>
              <w:spacing w:line="500" w:lineRule="exact"/>
              <w:jc w:val="center"/>
              <w:rPr>
                <w:rFonts w:ascii="宋体" w:hAnsi="宋体" w:cs="仿宋"/>
                <w:color w:val="000000"/>
                <w:sz w:val="21"/>
                <w:szCs w:val="21"/>
              </w:rPr>
            </w:pPr>
          </w:p>
        </w:tc>
      </w:tr>
      <w:tr w14:paraId="59E2E7A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D1003B8">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44</w:t>
            </w:r>
          </w:p>
        </w:tc>
        <w:tc>
          <w:tcPr>
            <w:tcW w:w="3899" w:type="dxa"/>
            <w:tcBorders>
              <w:top w:val="nil"/>
              <w:left w:val="nil"/>
              <w:bottom w:val="single" w:color="auto" w:sz="4" w:space="0"/>
              <w:right w:val="single" w:color="auto" w:sz="4" w:space="0"/>
            </w:tcBorders>
            <w:noWrap/>
            <w:vAlign w:val="center"/>
          </w:tcPr>
          <w:p w14:paraId="53A186E3">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防火门门磁开关（智能型）双扇常闭</w:t>
            </w:r>
          </w:p>
        </w:tc>
        <w:tc>
          <w:tcPr>
            <w:tcW w:w="914" w:type="dxa"/>
            <w:tcBorders>
              <w:top w:val="nil"/>
              <w:left w:val="nil"/>
              <w:bottom w:val="single" w:color="auto" w:sz="4" w:space="0"/>
              <w:right w:val="single" w:color="auto" w:sz="4" w:space="0"/>
            </w:tcBorders>
            <w:noWrap/>
            <w:vAlign w:val="center"/>
          </w:tcPr>
          <w:p w14:paraId="738A08D3">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5593FA4B">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9</w:t>
            </w:r>
          </w:p>
        </w:tc>
        <w:tc>
          <w:tcPr>
            <w:tcW w:w="1315" w:type="dxa"/>
            <w:tcBorders>
              <w:top w:val="nil"/>
              <w:left w:val="nil"/>
              <w:bottom w:val="single" w:color="auto" w:sz="4" w:space="0"/>
              <w:right w:val="single" w:color="auto" w:sz="4" w:space="0"/>
            </w:tcBorders>
            <w:noWrap/>
            <w:vAlign w:val="center"/>
          </w:tcPr>
          <w:p w14:paraId="31DB46E3">
            <w:pPr>
              <w:adjustRightInd w:val="0"/>
              <w:snapToGrid w:val="0"/>
              <w:spacing w:line="500" w:lineRule="exact"/>
              <w:jc w:val="center"/>
              <w:rPr>
                <w:rFonts w:ascii="宋体" w:hAnsi="宋体" w:cs="仿宋"/>
                <w:color w:val="000000"/>
                <w:sz w:val="21"/>
                <w:szCs w:val="21"/>
              </w:rPr>
            </w:pPr>
          </w:p>
        </w:tc>
      </w:tr>
      <w:tr w14:paraId="477770E6">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C49AA1E">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45</w:t>
            </w:r>
          </w:p>
        </w:tc>
        <w:tc>
          <w:tcPr>
            <w:tcW w:w="3899" w:type="dxa"/>
            <w:tcBorders>
              <w:top w:val="nil"/>
              <w:left w:val="nil"/>
              <w:bottom w:val="single" w:color="auto" w:sz="4" w:space="0"/>
              <w:right w:val="single" w:color="auto" w:sz="4" w:space="0"/>
            </w:tcBorders>
            <w:noWrap/>
            <w:vAlign w:val="center"/>
          </w:tcPr>
          <w:p w14:paraId="47894013">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火灾声光报警器</w:t>
            </w:r>
          </w:p>
        </w:tc>
        <w:tc>
          <w:tcPr>
            <w:tcW w:w="914" w:type="dxa"/>
            <w:tcBorders>
              <w:top w:val="nil"/>
              <w:left w:val="nil"/>
              <w:bottom w:val="single" w:color="auto" w:sz="4" w:space="0"/>
              <w:right w:val="single" w:color="auto" w:sz="4" w:space="0"/>
            </w:tcBorders>
            <w:noWrap/>
            <w:vAlign w:val="center"/>
          </w:tcPr>
          <w:p w14:paraId="4BAC2EB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3D9F4FB4">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40</w:t>
            </w:r>
          </w:p>
        </w:tc>
        <w:tc>
          <w:tcPr>
            <w:tcW w:w="1315" w:type="dxa"/>
            <w:tcBorders>
              <w:top w:val="nil"/>
              <w:left w:val="nil"/>
              <w:bottom w:val="single" w:color="auto" w:sz="4" w:space="0"/>
              <w:right w:val="single" w:color="auto" w:sz="4" w:space="0"/>
            </w:tcBorders>
            <w:noWrap/>
            <w:vAlign w:val="center"/>
          </w:tcPr>
          <w:p w14:paraId="755D180A">
            <w:pPr>
              <w:adjustRightInd w:val="0"/>
              <w:snapToGrid w:val="0"/>
              <w:spacing w:line="500" w:lineRule="exact"/>
              <w:jc w:val="center"/>
              <w:rPr>
                <w:rFonts w:ascii="宋体" w:hAnsi="宋体" w:cs="仿宋"/>
                <w:color w:val="000000"/>
                <w:sz w:val="21"/>
                <w:szCs w:val="21"/>
              </w:rPr>
            </w:pPr>
          </w:p>
        </w:tc>
      </w:tr>
      <w:tr w14:paraId="6B86E54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00401BC">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46</w:t>
            </w:r>
          </w:p>
        </w:tc>
        <w:tc>
          <w:tcPr>
            <w:tcW w:w="3899" w:type="dxa"/>
            <w:tcBorders>
              <w:top w:val="nil"/>
              <w:left w:val="nil"/>
              <w:bottom w:val="single" w:color="auto" w:sz="4" w:space="0"/>
              <w:right w:val="single" w:color="auto" w:sz="4" w:space="0"/>
            </w:tcBorders>
            <w:noWrap/>
            <w:vAlign w:val="center"/>
          </w:tcPr>
          <w:p w14:paraId="6AF128FA">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声光报警器</w:t>
            </w:r>
          </w:p>
        </w:tc>
        <w:tc>
          <w:tcPr>
            <w:tcW w:w="914" w:type="dxa"/>
            <w:tcBorders>
              <w:top w:val="nil"/>
              <w:left w:val="nil"/>
              <w:bottom w:val="single" w:color="auto" w:sz="4" w:space="0"/>
              <w:right w:val="single" w:color="auto" w:sz="4" w:space="0"/>
            </w:tcBorders>
            <w:noWrap/>
            <w:vAlign w:val="center"/>
          </w:tcPr>
          <w:p w14:paraId="515AFAAF">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020FD161">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6C92C3F1">
            <w:pPr>
              <w:adjustRightInd w:val="0"/>
              <w:snapToGrid w:val="0"/>
              <w:spacing w:line="500" w:lineRule="exact"/>
              <w:jc w:val="center"/>
              <w:rPr>
                <w:rFonts w:ascii="宋体" w:hAnsi="宋体" w:cs="仿宋"/>
                <w:color w:val="000000"/>
                <w:sz w:val="21"/>
                <w:szCs w:val="21"/>
              </w:rPr>
            </w:pPr>
          </w:p>
        </w:tc>
      </w:tr>
      <w:tr w14:paraId="1329410D">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05B9E7B">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47</w:t>
            </w:r>
          </w:p>
        </w:tc>
        <w:tc>
          <w:tcPr>
            <w:tcW w:w="3899" w:type="dxa"/>
            <w:tcBorders>
              <w:top w:val="nil"/>
              <w:left w:val="nil"/>
              <w:bottom w:val="single" w:color="auto" w:sz="4" w:space="0"/>
              <w:right w:val="single" w:color="auto" w:sz="4" w:space="0"/>
            </w:tcBorders>
            <w:noWrap/>
            <w:vAlign w:val="center"/>
          </w:tcPr>
          <w:p w14:paraId="3CCCFED8">
            <w:pPr>
              <w:keepNext w:val="0"/>
              <w:keepLines w:val="0"/>
              <w:widowControl/>
              <w:suppressLineNumbers w:val="0"/>
              <w:jc w:val="left"/>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警铃</w:t>
            </w:r>
          </w:p>
        </w:tc>
        <w:tc>
          <w:tcPr>
            <w:tcW w:w="914" w:type="dxa"/>
            <w:tcBorders>
              <w:top w:val="nil"/>
              <w:left w:val="nil"/>
              <w:bottom w:val="single" w:color="auto" w:sz="4" w:space="0"/>
              <w:right w:val="single" w:color="auto" w:sz="4" w:space="0"/>
            </w:tcBorders>
            <w:noWrap/>
            <w:vAlign w:val="center"/>
          </w:tcPr>
          <w:p w14:paraId="43BA18C8">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14D0A156">
            <w:pPr>
              <w:keepNext w:val="0"/>
              <w:keepLines w:val="0"/>
              <w:widowControl/>
              <w:suppressLineNumbers w:val="0"/>
              <w:jc w:val="center"/>
              <w:textAlignment w:val="center"/>
              <w:rPr>
                <w:rFonts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0A078DD2">
            <w:pPr>
              <w:adjustRightInd w:val="0"/>
              <w:snapToGrid w:val="0"/>
              <w:spacing w:line="500" w:lineRule="exact"/>
              <w:jc w:val="center"/>
              <w:rPr>
                <w:rFonts w:ascii="宋体" w:hAnsi="宋体" w:cs="仿宋"/>
                <w:color w:val="000000"/>
                <w:sz w:val="21"/>
                <w:szCs w:val="21"/>
              </w:rPr>
            </w:pPr>
          </w:p>
        </w:tc>
      </w:tr>
      <w:tr w14:paraId="2216037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2B82E84">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48</w:t>
            </w:r>
          </w:p>
        </w:tc>
        <w:tc>
          <w:tcPr>
            <w:tcW w:w="3899" w:type="dxa"/>
            <w:tcBorders>
              <w:top w:val="nil"/>
              <w:left w:val="nil"/>
              <w:bottom w:val="single" w:color="auto" w:sz="4" w:space="0"/>
              <w:right w:val="single" w:color="auto" w:sz="4" w:space="0"/>
            </w:tcBorders>
            <w:noWrap/>
            <w:vAlign w:val="center"/>
          </w:tcPr>
          <w:p w14:paraId="415FEF0A">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层显示盘</w:t>
            </w:r>
          </w:p>
        </w:tc>
        <w:tc>
          <w:tcPr>
            <w:tcW w:w="914" w:type="dxa"/>
            <w:tcBorders>
              <w:top w:val="nil"/>
              <w:left w:val="nil"/>
              <w:bottom w:val="single" w:color="auto" w:sz="4" w:space="0"/>
              <w:right w:val="single" w:color="auto" w:sz="4" w:space="0"/>
            </w:tcBorders>
            <w:noWrap/>
            <w:vAlign w:val="center"/>
          </w:tcPr>
          <w:p w14:paraId="6715395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5C1C1304">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6</w:t>
            </w:r>
          </w:p>
        </w:tc>
        <w:tc>
          <w:tcPr>
            <w:tcW w:w="1315" w:type="dxa"/>
            <w:tcBorders>
              <w:top w:val="nil"/>
              <w:left w:val="nil"/>
              <w:bottom w:val="single" w:color="auto" w:sz="4" w:space="0"/>
              <w:right w:val="single" w:color="auto" w:sz="4" w:space="0"/>
            </w:tcBorders>
            <w:noWrap/>
            <w:vAlign w:val="center"/>
          </w:tcPr>
          <w:p w14:paraId="3A9A0079">
            <w:pPr>
              <w:adjustRightInd w:val="0"/>
              <w:snapToGrid w:val="0"/>
              <w:spacing w:line="500" w:lineRule="exact"/>
              <w:jc w:val="center"/>
              <w:rPr>
                <w:rFonts w:ascii="宋体" w:hAnsi="宋体" w:cs="仿宋"/>
                <w:color w:val="000000"/>
                <w:sz w:val="21"/>
                <w:szCs w:val="21"/>
              </w:rPr>
            </w:pPr>
          </w:p>
        </w:tc>
      </w:tr>
      <w:tr w14:paraId="48D1A16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08F6D3A">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49</w:t>
            </w:r>
          </w:p>
        </w:tc>
        <w:tc>
          <w:tcPr>
            <w:tcW w:w="3899" w:type="dxa"/>
            <w:tcBorders>
              <w:top w:val="nil"/>
              <w:left w:val="nil"/>
              <w:bottom w:val="single" w:color="auto" w:sz="4" w:space="0"/>
              <w:right w:val="single" w:color="auto" w:sz="4" w:space="0"/>
            </w:tcBorders>
            <w:noWrap/>
            <w:vAlign w:val="center"/>
          </w:tcPr>
          <w:p w14:paraId="75FE785E">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吸顶式扬声器(阻燃材料)</w:t>
            </w:r>
          </w:p>
        </w:tc>
        <w:tc>
          <w:tcPr>
            <w:tcW w:w="914" w:type="dxa"/>
            <w:tcBorders>
              <w:top w:val="nil"/>
              <w:left w:val="nil"/>
              <w:bottom w:val="single" w:color="auto" w:sz="4" w:space="0"/>
              <w:right w:val="single" w:color="auto" w:sz="4" w:space="0"/>
            </w:tcBorders>
            <w:noWrap/>
            <w:vAlign w:val="center"/>
          </w:tcPr>
          <w:p w14:paraId="76C7E458">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1D39A7DD">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54</w:t>
            </w:r>
          </w:p>
        </w:tc>
        <w:tc>
          <w:tcPr>
            <w:tcW w:w="1315" w:type="dxa"/>
            <w:tcBorders>
              <w:top w:val="nil"/>
              <w:left w:val="nil"/>
              <w:bottom w:val="single" w:color="auto" w:sz="4" w:space="0"/>
              <w:right w:val="single" w:color="auto" w:sz="4" w:space="0"/>
            </w:tcBorders>
            <w:noWrap/>
            <w:vAlign w:val="center"/>
          </w:tcPr>
          <w:p w14:paraId="10D24CF2">
            <w:pPr>
              <w:adjustRightInd w:val="0"/>
              <w:snapToGrid w:val="0"/>
              <w:spacing w:line="500" w:lineRule="exact"/>
              <w:jc w:val="center"/>
              <w:rPr>
                <w:rFonts w:ascii="宋体" w:hAnsi="宋体" w:cs="仿宋"/>
                <w:color w:val="000000"/>
                <w:sz w:val="21"/>
                <w:szCs w:val="21"/>
              </w:rPr>
            </w:pPr>
          </w:p>
        </w:tc>
      </w:tr>
      <w:tr w14:paraId="168B5B20">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CD63727">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50</w:t>
            </w:r>
          </w:p>
        </w:tc>
        <w:tc>
          <w:tcPr>
            <w:tcW w:w="3899" w:type="dxa"/>
            <w:tcBorders>
              <w:top w:val="nil"/>
              <w:left w:val="nil"/>
              <w:bottom w:val="single" w:color="auto" w:sz="4" w:space="0"/>
              <w:right w:val="single" w:color="auto" w:sz="4" w:space="0"/>
            </w:tcBorders>
            <w:noWrap/>
            <w:vAlign w:val="center"/>
          </w:tcPr>
          <w:p w14:paraId="1D303E27">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悬挂式超细干粉灭火装置    </w:t>
            </w:r>
          </w:p>
        </w:tc>
        <w:tc>
          <w:tcPr>
            <w:tcW w:w="914" w:type="dxa"/>
            <w:tcBorders>
              <w:top w:val="nil"/>
              <w:left w:val="nil"/>
              <w:bottom w:val="single" w:color="auto" w:sz="4" w:space="0"/>
              <w:right w:val="single" w:color="auto" w:sz="4" w:space="0"/>
            </w:tcBorders>
            <w:noWrap/>
            <w:vAlign w:val="center"/>
          </w:tcPr>
          <w:p w14:paraId="2CDE1E92">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6F0CD318">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58</w:t>
            </w:r>
          </w:p>
        </w:tc>
        <w:tc>
          <w:tcPr>
            <w:tcW w:w="1315" w:type="dxa"/>
            <w:tcBorders>
              <w:top w:val="nil"/>
              <w:left w:val="nil"/>
              <w:bottom w:val="single" w:color="auto" w:sz="4" w:space="0"/>
              <w:right w:val="single" w:color="auto" w:sz="4" w:space="0"/>
            </w:tcBorders>
            <w:noWrap/>
            <w:vAlign w:val="center"/>
          </w:tcPr>
          <w:p w14:paraId="16AE4B67">
            <w:pPr>
              <w:adjustRightInd w:val="0"/>
              <w:snapToGrid w:val="0"/>
              <w:spacing w:line="500" w:lineRule="exact"/>
              <w:jc w:val="center"/>
              <w:rPr>
                <w:rFonts w:ascii="宋体" w:hAnsi="宋体" w:cs="仿宋"/>
                <w:color w:val="000000"/>
                <w:sz w:val="21"/>
                <w:szCs w:val="21"/>
              </w:rPr>
            </w:pPr>
          </w:p>
        </w:tc>
      </w:tr>
      <w:tr w14:paraId="0CDF0FF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15D1603">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51</w:t>
            </w:r>
          </w:p>
        </w:tc>
        <w:tc>
          <w:tcPr>
            <w:tcW w:w="3899" w:type="dxa"/>
            <w:tcBorders>
              <w:top w:val="nil"/>
              <w:left w:val="nil"/>
              <w:bottom w:val="single" w:color="auto" w:sz="4" w:space="0"/>
              <w:right w:val="single" w:color="auto" w:sz="4" w:space="0"/>
            </w:tcBorders>
            <w:noWrap/>
            <w:vAlign w:val="center"/>
          </w:tcPr>
          <w:p w14:paraId="1D5493AC">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柜式七氟丙烷灭火装置(双瓶组)    </w:t>
            </w:r>
          </w:p>
        </w:tc>
        <w:tc>
          <w:tcPr>
            <w:tcW w:w="914" w:type="dxa"/>
            <w:tcBorders>
              <w:top w:val="nil"/>
              <w:left w:val="nil"/>
              <w:bottom w:val="single" w:color="auto" w:sz="4" w:space="0"/>
              <w:right w:val="single" w:color="auto" w:sz="4" w:space="0"/>
            </w:tcBorders>
            <w:noWrap/>
            <w:vAlign w:val="center"/>
          </w:tcPr>
          <w:p w14:paraId="2BE9DA9F">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18B955B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3</w:t>
            </w:r>
          </w:p>
        </w:tc>
        <w:tc>
          <w:tcPr>
            <w:tcW w:w="1315" w:type="dxa"/>
            <w:tcBorders>
              <w:top w:val="nil"/>
              <w:left w:val="nil"/>
              <w:bottom w:val="single" w:color="auto" w:sz="4" w:space="0"/>
              <w:right w:val="single" w:color="auto" w:sz="4" w:space="0"/>
            </w:tcBorders>
            <w:noWrap/>
            <w:vAlign w:val="center"/>
          </w:tcPr>
          <w:p w14:paraId="2546B3A0">
            <w:pPr>
              <w:adjustRightInd w:val="0"/>
              <w:snapToGrid w:val="0"/>
              <w:spacing w:line="500" w:lineRule="exact"/>
              <w:jc w:val="center"/>
              <w:rPr>
                <w:rFonts w:ascii="宋体" w:hAnsi="宋体" w:cs="仿宋"/>
                <w:color w:val="000000"/>
                <w:sz w:val="21"/>
                <w:szCs w:val="21"/>
              </w:rPr>
            </w:pPr>
          </w:p>
        </w:tc>
      </w:tr>
      <w:tr w14:paraId="4A152CEC">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D60F042">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52</w:t>
            </w:r>
          </w:p>
        </w:tc>
        <w:tc>
          <w:tcPr>
            <w:tcW w:w="3899" w:type="dxa"/>
            <w:tcBorders>
              <w:top w:val="nil"/>
              <w:left w:val="nil"/>
              <w:bottom w:val="single" w:color="auto" w:sz="4" w:space="0"/>
              <w:right w:val="single" w:color="auto" w:sz="4" w:space="0"/>
            </w:tcBorders>
            <w:noWrap/>
            <w:vAlign w:val="center"/>
          </w:tcPr>
          <w:p w14:paraId="4AEA01F9">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防爆音响信号按钮</w:t>
            </w:r>
          </w:p>
        </w:tc>
        <w:tc>
          <w:tcPr>
            <w:tcW w:w="914" w:type="dxa"/>
            <w:tcBorders>
              <w:top w:val="nil"/>
              <w:left w:val="nil"/>
              <w:bottom w:val="single" w:color="auto" w:sz="4" w:space="0"/>
              <w:right w:val="single" w:color="auto" w:sz="4" w:space="0"/>
            </w:tcBorders>
            <w:noWrap/>
            <w:vAlign w:val="center"/>
          </w:tcPr>
          <w:p w14:paraId="45B26278">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C010D7B">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45B26CFB">
            <w:pPr>
              <w:adjustRightInd w:val="0"/>
              <w:snapToGrid w:val="0"/>
              <w:spacing w:line="500" w:lineRule="exact"/>
              <w:jc w:val="center"/>
              <w:rPr>
                <w:rFonts w:ascii="宋体" w:hAnsi="宋体" w:cs="仿宋"/>
                <w:color w:val="000000"/>
                <w:sz w:val="21"/>
                <w:szCs w:val="21"/>
              </w:rPr>
            </w:pPr>
          </w:p>
        </w:tc>
      </w:tr>
      <w:tr w14:paraId="4FE6B76C">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D12B96D">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53</w:t>
            </w:r>
          </w:p>
        </w:tc>
        <w:tc>
          <w:tcPr>
            <w:tcW w:w="3899" w:type="dxa"/>
            <w:tcBorders>
              <w:top w:val="nil"/>
              <w:left w:val="nil"/>
              <w:bottom w:val="single" w:color="auto" w:sz="4" w:space="0"/>
              <w:right w:val="single" w:color="auto" w:sz="4" w:space="0"/>
            </w:tcBorders>
            <w:noWrap/>
            <w:vAlign w:val="center"/>
          </w:tcPr>
          <w:p w14:paraId="18C4FD21">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带消防电话插孔的手动报警按钮</w:t>
            </w:r>
          </w:p>
        </w:tc>
        <w:tc>
          <w:tcPr>
            <w:tcW w:w="914" w:type="dxa"/>
            <w:tcBorders>
              <w:top w:val="nil"/>
              <w:left w:val="nil"/>
              <w:bottom w:val="single" w:color="auto" w:sz="4" w:space="0"/>
              <w:right w:val="single" w:color="auto" w:sz="4" w:space="0"/>
            </w:tcBorders>
            <w:noWrap/>
            <w:vAlign w:val="center"/>
          </w:tcPr>
          <w:p w14:paraId="423ECBD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B3A33D2">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29</w:t>
            </w:r>
          </w:p>
        </w:tc>
        <w:tc>
          <w:tcPr>
            <w:tcW w:w="1315" w:type="dxa"/>
            <w:tcBorders>
              <w:top w:val="nil"/>
              <w:left w:val="nil"/>
              <w:bottom w:val="single" w:color="auto" w:sz="4" w:space="0"/>
              <w:right w:val="single" w:color="auto" w:sz="4" w:space="0"/>
            </w:tcBorders>
            <w:noWrap/>
            <w:vAlign w:val="center"/>
          </w:tcPr>
          <w:p w14:paraId="4CCD1E82">
            <w:pPr>
              <w:adjustRightInd w:val="0"/>
              <w:snapToGrid w:val="0"/>
              <w:spacing w:line="500" w:lineRule="exact"/>
              <w:jc w:val="center"/>
              <w:rPr>
                <w:rFonts w:ascii="宋体" w:hAnsi="宋体" w:cs="仿宋"/>
                <w:color w:val="000000"/>
                <w:sz w:val="21"/>
                <w:szCs w:val="21"/>
              </w:rPr>
            </w:pPr>
          </w:p>
        </w:tc>
      </w:tr>
      <w:tr w14:paraId="403EFB5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44218EC">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54</w:t>
            </w:r>
          </w:p>
        </w:tc>
        <w:tc>
          <w:tcPr>
            <w:tcW w:w="3899" w:type="dxa"/>
            <w:tcBorders>
              <w:top w:val="nil"/>
              <w:left w:val="nil"/>
              <w:bottom w:val="single" w:color="auto" w:sz="4" w:space="0"/>
              <w:right w:val="single" w:color="auto" w:sz="4" w:space="0"/>
            </w:tcBorders>
            <w:noWrap/>
            <w:vAlign w:val="center"/>
          </w:tcPr>
          <w:p w14:paraId="4235C83B">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紧急启停按钮</w:t>
            </w:r>
          </w:p>
        </w:tc>
        <w:tc>
          <w:tcPr>
            <w:tcW w:w="914" w:type="dxa"/>
            <w:tcBorders>
              <w:top w:val="nil"/>
              <w:left w:val="nil"/>
              <w:bottom w:val="single" w:color="auto" w:sz="4" w:space="0"/>
              <w:right w:val="single" w:color="auto" w:sz="4" w:space="0"/>
            </w:tcBorders>
            <w:noWrap/>
            <w:vAlign w:val="center"/>
          </w:tcPr>
          <w:p w14:paraId="46A5DB9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08FC7E2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06D2F312">
            <w:pPr>
              <w:adjustRightInd w:val="0"/>
              <w:snapToGrid w:val="0"/>
              <w:spacing w:line="500" w:lineRule="exact"/>
              <w:jc w:val="center"/>
              <w:rPr>
                <w:rFonts w:ascii="宋体" w:hAnsi="宋体" w:cs="仿宋"/>
                <w:color w:val="000000"/>
                <w:sz w:val="21"/>
                <w:szCs w:val="21"/>
              </w:rPr>
            </w:pPr>
          </w:p>
        </w:tc>
      </w:tr>
      <w:tr w14:paraId="67342E1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84EC3DE">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55</w:t>
            </w:r>
          </w:p>
        </w:tc>
        <w:tc>
          <w:tcPr>
            <w:tcW w:w="3899" w:type="dxa"/>
            <w:tcBorders>
              <w:top w:val="nil"/>
              <w:left w:val="nil"/>
              <w:bottom w:val="single" w:color="auto" w:sz="4" w:space="0"/>
              <w:right w:val="single" w:color="auto" w:sz="4" w:space="0"/>
            </w:tcBorders>
            <w:noWrap/>
            <w:vAlign w:val="center"/>
          </w:tcPr>
          <w:p w14:paraId="6894924E">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消火栓按钮</w:t>
            </w:r>
          </w:p>
        </w:tc>
        <w:tc>
          <w:tcPr>
            <w:tcW w:w="914" w:type="dxa"/>
            <w:tcBorders>
              <w:top w:val="nil"/>
              <w:left w:val="nil"/>
              <w:bottom w:val="single" w:color="auto" w:sz="4" w:space="0"/>
              <w:right w:val="single" w:color="auto" w:sz="4" w:space="0"/>
            </w:tcBorders>
            <w:noWrap/>
            <w:vAlign w:val="center"/>
          </w:tcPr>
          <w:p w14:paraId="3972C9D9">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524DB15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47</w:t>
            </w:r>
          </w:p>
        </w:tc>
        <w:tc>
          <w:tcPr>
            <w:tcW w:w="1315" w:type="dxa"/>
            <w:tcBorders>
              <w:top w:val="nil"/>
              <w:left w:val="nil"/>
              <w:bottom w:val="single" w:color="auto" w:sz="4" w:space="0"/>
              <w:right w:val="single" w:color="auto" w:sz="4" w:space="0"/>
            </w:tcBorders>
            <w:noWrap/>
            <w:vAlign w:val="center"/>
          </w:tcPr>
          <w:p w14:paraId="141ED309">
            <w:pPr>
              <w:adjustRightInd w:val="0"/>
              <w:snapToGrid w:val="0"/>
              <w:spacing w:line="500" w:lineRule="exact"/>
              <w:jc w:val="center"/>
              <w:rPr>
                <w:rFonts w:ascii="宋体" w:hAnsi="宋体" w:cs="仿宋"/>
                <w:color w:val="000000"/>
                <w:sz w:val="21"/>
                <w:szCs w:val="21"/>
              </w:rPr>
            </w:pPr>
          </w:p>
        </w:tc>
      </w:tr>
      <w:tr w14:paraId="3E956BF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C01ECD8">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56</w:t>
            </w:r>
          </w:p>
        </w:tc>
        <w:tc>
          <w:tcPr>
            <w:tcW w:w="3899" w:type="dxa"/>
            <w:tcBorders>
              <w:top w:val="nil"/>
              <w:left w:val="nil"/>
              <w:bottom w:val="single" w:color="auto" w:sz="4" w:space="0"/>
              <w:right w:val="single" w:color="auto" w:sz="4" w:space="0"/>
            </w:tcBorders>
            <w:noWrap/>
            <w:vAlign w:val="center"/>
          </w:tcPr>
          <w:p w14:paraId="5F2C2906">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A型-安全出口标志灯    </w:t>
            </w:r>
          </w:p>
        </w:tc>
        <w:tc>
          <w:tcPr>
            <w:tcW w:w="914" w:type="dxa"/>
            <w:tcBorders>
              <w:top w:val="nil"/>
              <w:left w:val="nil"/>
              <w:bottom w:val="single" w:color="auto" w:sz="4" w:space="0"/>
              <w:right w:val="single" w:color="auto" w:sz="4" w:space="0"/>
            </w:tcBorders>
            <w:noWrap/>
            <w:vAlign w:val="center"/>
          </w:tcPr>
          <w:p w14:paraId="0850EDD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2E4CB04B">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30</w:t>
            </w:r>
          </w:p>
        </w:tc>
        <w:tc>
          <w:tcPr>
            <w:tcW w:w="1315" w:type="dxa"/>
            <w:tcBorders>
              <w:top w:val="nil"/>
              <w:left w:val="nil"/>
              <w:bottom w:val="single" w:color="auto" w:sz="4" w:space="0"/>
              <w:right w:val="single" w:color="auto" w:sz="4" w:space="0"/>
            </w:tcBorders>
            <w:noWrap/>
            <w:vAlign w:val="center"/>
          </w:tcPr>
          <w:p w14:paraId="6A557D77">
            <w:pPr>
              <w:adjustRightInd w:val="0"/>
              <w:snapToGrid w:val="0"/>
              <w:spacing w:line="500" w:lineRule="exact"/>
              <w:jc w:val="center"/>
              <w:rPr>
                <w:rFonts w:ascii="宋体" w:hAnsi="宋体" w:cs="仿宋"/>
                <w:color w:val="000000"/>
                <w:sz w:val="21"/>
                <w:szCs w:val="21"/>
              </w:rPr>
            </w:pPr>
          </w:p>
        </w:tc>
      </w:tr>
      <w:tr w14:paraId="54E0166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4295B4B">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57</w:t>
            </w:r>
          </w:p>
        </w:tc>
        <w:tc>
          <w:tcPr>
            <w:tcW w:w="3899" w:type="dxa"/>
            <w:tcBorders>
              <w:top w:val="nil"/>
              <w:left w:val="nil"/>
              <w:bottom w:val="single" w:color="auto" w:sz="4" w:space="0"/>
              <w:right w:val="single" w:color="auto" w:sz="4" w:space="0"/>
            </w:tcBorders>
            <w:noWrap/>
            <w:vAlign w:val="center"/>
          </w:tcPr>
          <w:p w14:paraId="41CA5B75">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A型-疏散指示灯    </w:t>
            </w:r>
          </w:p>
        </w:tc>
        <w:tc>
          <w:tcPr>
            <w:tcW w:w="914" w:type="dxa"/>
            <w:tcBorders>
              <w:top w:val="nil"/>
              <w:left w:val="nil"/>
              <w:bottom w:val="single" w:color="auto" w:sz="4" w:space="0"/>
              <w:right w:val="single" w:color="auto" w:sz="4" w:space="0"/>
            </w:tcBorders>
            <w:noWrap/>
            <w:vAlign w:val="center"/>
          </w:tcPr>
          <w:p w14:paraId="646D42B0">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7FCD7059">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112</w:t>
            </w:r>
          </w:p>
        </w:tc>
        <w:tc>
          <w:tcPr>
            <w:tcW w:w="1315" w:type="dxa"/>
            <w:tcBorders>
              <w:top w:val="nil"/>
              <w:left w:val="nil"/>
              <w:bottom w:val="single" w:color="auto" w:sz="4" w:space="0"/>
              <w:right w:val="single" w:color="auto" w:sz="4" w:space="0"/>
            </w:tcBorders>
            <w:noWrap/>
            <w:vAlign w:val="center"/>
          </w:tcPr>
          <w:p w14:paraId="4F4AFD52">
            <w:pPr>
              <w:adjustRightInd w:val="0"/>
              <w:snapToGrid w:val="0"/>
              <w:spacing w:line="500" w:lineRule="exact"/>
              <w:jc w:val="center"/>
              <w:rPr>
                <w:rFonts w:ascii="宋体" w:hAnsi="宋体" w:cs="仿宋"/>
                <w:color w:val="000000"/>
                <w:sz w:val="21"/>
                <w:szCs w:val="21"/>
              </w:rPr>
            </w:pPr>
          </w:p>
        </w:tc>
      </w:tr>
      <w:tr w14:paraId="2A8851AD">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C5EE842">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58</w:t>
            </w:r>
          </w:p>
        </w:tc>
        <w:tc>
          <w:tcPr>
            <w:tcW w:w="3899" w:type="dxa"/>
            <w:tcBorders>
              <w:top w:val="nil"/>
              <w:left w:val="nil"/>
              <w:bottom w:val="single" w:color="auto" w:sz="4" w:space="0"/>
              <w:right w:val="single" w:color="auto" w:sz="4" w:space="0"/>
            </w:tcBorders>
            <w:noWrap/>
            <w:vAlign w:val="center"/>
          </w:tcPr>
          <w:p w14:paraId="7937614A">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A型-双头应急灯    </w:t>
            </w:r>
          </w:p>
        </w:tc>
        <w:tc>
          <w:tcPr>
            <w:tcW w:w="914" w:type="dxa"/>
            <w:tcBorders>
              <w:top w:val="nil"/>
              <w:left w:val="nil"/>
              <w:bottom w:val="single" w:color="auto" w:sz="4" w:space="0"/>
              <w:right w:val="single" w:color="auto" w:sz="4" w:space="0"/>
            </w:tcBorders>
            <w:noWrap/>
            <w:vAlign w:val="center"/>
          </w:tcPr>
          <w:p w14:paraId="7D56E02D">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6EA3EC48">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60</w:t>
            </w:r>
          </w:p>
        </w:tc>
        <w:tc>
          <w:tcPr>
            <w:tcW w:w="1315" w:type="dxa"/>
            <w:tcBorders>
              <w:top w:val="nil"/>
              <w:left w:val="nil"/>
              <w:bottom w:val="single" w:color="auto" w:sz="4" w:space="0"/>
              <w:right w:val="single" w:color="auto" w:sz="4" w:space="0"/>
            </w:tcBorders>
            <w:noWrap/>
            <w:vAlign w:val="center"/>
          </w:tcPr>
          <w:p w14:paraId="33D8275F">
            <w:pPr>
              <w:adjustRightInd w:val="0"/>
              <w:snapToGrid w:val="0"/>
              <w:spacing w:line="500" w:lineRule="exact"/>
              <w:jc w:val="center"/>
              <w:rPr>
                <w:rFonts w:ascii="宋体" w:hAnsi="宋体" w:cs="仿宋"/>
                <w:color w:val="000000"/>
                <w:sz w:val="21"/>
                <w:szCs w:val="21"/>
              </w:rPr>
            </w:pPr>
          </w:p>
        </w:tc>
      </w:tr>
      <w:tr w14:paraId="6E9B2D7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C90B134">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59</w:t>
            </w:r>
          </w:p>
        </w:tc>
        <w:tc>
          <w:tcPr>
            <w:tcW w:w="3899" w:type="dxa"/>
            <w:tcBorders>
              <w:top w:val="nil"/>
              <w:left w:val="nil"/>
              <w:bottom w:val="single" w:color="auto" w:sz="4" w:space="0"/>
              <w:right w:val="single" w:color="auto" w:sz="4" w:space="0"/>
            </w:tcBorders>
            <w:noWrap/>
            <w:vAlign w:val="center"/>
          </w:tcPr>
          <w:p w14:paraId="6B0B8EA7">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放气指示灯</w:t>
            </w:r>
          </w:p>
        </w:tc>
        <w:tc>
          <w:tcPr>
            <w:tcW w:w="914" w:type="dxa"/>
            <w:tcBorders>
              <w:top w:val="nil"/>
              <w:left w:val="nil"/>
              <w:bottom w:val="single" w:color="auto" w:sz="4" w:space="0"/>
              <w:right w:val="single" w:color="auto" w:sz="4" w:space="0"/>
            </w:tcBorders>
            <w:noWrap/>
            <w:vAlign w:val="center"/>
          </w:tcPr>
          <w:p w14:paraId="3A2084B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486CC026">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4220E47F">
            <w:pPr>
              <w:adjustRightInd w:val="0"/>
              <w:snapToGrid w:val="0"/>
              <w:spacing w:line="500" w:lineRule="exact"/>
              <w:jc w:val="center"/>
              <w:rPr>
                <w:rFonts w:ascii="宋体" w:hAnsi="宋体" w:cs="仿宋"/>
                <w:color w:val="000000"/>
                <w:sz w:val="21"/>
                <w:szCs w:val="21"/>
              </w:rPr>
            </w:pPr>
          </w:p>
        </w:tc>
      </w:tr>
      <w:tr w14:paraId="504BFBB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21B5708">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60</w:t>
            </w:r>
          </w:p>
        </w:tc>
        <w:tc>
          <w:tcPr>
            <w:tcW w:w="3899" w:type="dxa"/>
            <w:tcBorders>
              <w:top w:val="nil"/>
              <w:left w:val="nil"/>
              <w:bottom w:val="single" w:color="auto" w:sz="4" w:space="0"/>
              <w:right w:val="single" w:color="auto" w:sz="4" w:space="0"/>
            </w:tcBorders>
            <w:noWrap/>
            <w:vAlign w:val="center"/>
          </w:tcPr>
          <w:p w14:paraId="25156453">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应急单管日光灯    </w:t>
            </w:r>
          </w:p>
        </w:tc>
        <w:tc>
          <w:tcPr>
            <w:tcW w:w="914" w:type="dxa"/>
            <w:tcBorders>
              <w:top w:val="nil"/>
              <w:left w:val="nil"/>
              <w:bottom w:val="single" w:color="auto" w:sz="4" w:space="0"/>
              <w:right w:val="single" w:color="auto" w:sz="4" w:space="0"/>
            </w:tcBorders>
            <w:noWrap/>
            <w:vAlign w:val="center"/>
          </w:tcPr>
          <w:p w14:paraId="296323F5">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6E3309F6">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8</w:t>
            </w:r>
          </w:p>
        </w:tc>
        <w:tc>
          <w:tcPr>
            <w:tcW w:w="1315" w:type="dxa"/>
            <w:tcBorders>
              <w:top w:val="nil"/>
              <w:left w:val="nil"/>
              <w:bottom w:val="single" w:color="auto" w:sz="4" w:space="0"/>
              <w:right w:val="single" w:color="auto" w:sz="4" w:space="0"/>
            </w:tcBorders>
            <w:noWrap/>
            <w:vAlign w:val="center"/>
          </w:tcPr>
          <w:p w14:paraId="3778BD52">
            <w:pPr>
              <w:adjustRightInd w:val="0"/>
              <w:snapToGrid w:val="0"/>
              <w:spacing w:line="500" w:lineRule="exact"/>
              <w:jc w:val="center"/>
              <w:rPr>
                <w:rFonts w:ascii="宋体" w:hAnsi="宋体" w:cs="仿宋"/>
                <w:color w:val="000000"/>
                <w:sz w:val="21"/>
                <w:szCs w:val="21"/>
              </w:rPr>
            </w:pPr>
          </w:p>
        </w:tc>
      </w:tr>
      <w:tr w14:paraId="6488C2C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AFF5FA9">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61</w:t>
            </w:r>
          </w:p>
        </w:tc>
        <w:tc>
          <w:tcPr>
            <w:tcW w:w="3899" w:type="dxa"/>
            <w:tcBorders>
              <w:top w:val="nil"/>
              <w:left w:val="nil"/>
              <w:bottom w:val="single" w:color="auto" w:sz="4" w:space="0"/>
              <w:right w:val="single" w:color="auto" w:sz="4" w:space="0"/>
            </w:tcBorders>
            <w:noWrap/>
            <w:vAlign w:val="center"/>
          </w:tcPr>
          <w:p w14:paraId="57619037">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应急单管日光灯    </w:t>
            </w:r>
          </w:p>
        </w:tc>
        <w:tc>
          <w:tcPr>
            <w:tcW w:w="914" w:type="dxa"/>
            <w:tcBorders>
              <w:top w:val="nil"/>
              <w:left w:val="nil"/>
              <w:bottom w:val="single" w:color="auto" w:sz="4" w:space="0"/>
              <w:right w:val="single" w:color="auto" w:sz="4" w:space="0"/>
            </w:tcBorders>
            <w:noWrap/>
            <w:vAlign w:val="center"/>
          </w:tcPr>
          <w:p w14:paraId="2334010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535067F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12</w:t>
            </w:r>
          </w:p>
        </w:tc>
        <w:tc>
          <w:tcPr>
            <w:tcW w:w="1315" w:type="dxa"/>
            <w:tcBorders>
              <w:top w:val="nil"/>
              <w:left w:val="nil"/>
              <w:bottom w:val="single" w:color="auto" w:sz="4" w:space="0"/>
              <w:right w:val="single" w:color="auto" w:sz="4" w:space="0"/>
            </w:tcBorders>
            <w:noWrap/>
            <w:vAlign w:val="center"/>
          </w:tcPr>
          <w:p w14:paraId="071CF777">
            <w:pPr>
              <w:adjustRightInd w:val="0"/>
              <w:snapToGrid w:val="0"/>
              <w:spacing w:line="500" w:lineRule="exact"/>
              <w:jc w:val="center"/>
              <w:rPr>
                <w:rFonts w:ascii="宋体" w:hAnsi="宋体" w:cs="仿宋"/>
                <w:color w:val="000000"/>
                <w:sz w:val="21"/>
                <w:szCs w:val="21"/>
              </w:rPr>
            </w:pPr>
          </w:p>
        </w:tc>
      </w:tr>
      <w:tr w14:paraId="386C3F2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2B39019">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62</w:t>
            </w:r>
          </w:p>
        </w:tc>
        <w:tc>
          <w:tcPr>
            <w:tcW w:w="3899" w:type="dxa"/>
            <w:tcBorders>
              <w:top w:val="nil"/>
              <w:left w:val="nil"/>
              <w:bottom w:val="single" w:color="auto" w:sz="4" w:space="0"/>
              <w:right w:val="single" w:color="auto" w:sz="4" w:space="0"/>
            </w:tcBorders>
            <w:noWrap/>
            <w:vAlign w:val="center"/>
          </w:tcPr>
          <w:p w14:paraId="65BEE08C">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应急单管日光灯    </w:t>
            </w:r>
          </w:p>
        </w:tc>
        <w:tc>
          <w:tcPr>
            <w:tcW w:w="914" w:type="dxa"/>
            <w:tcBorders>
              <w:top w:val="nil"/>
              <w:left w:val="nil"/>
              <w:bottom w:val="single" w:color="auto" w:sz="4" w:space="0"/>
              <w:right w:val="single" w:color="auto" w:sz="4" w:space="0"/>
            </w:tcBorders>
            <w:noWrap/>
            <w:vAlign w:val="center"/>
          </w:tcPr>
          <w:p w14:paraId="29BF484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6704C93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7</w:t>
            </w:r>
          </w:p>
        </w:tc>
        <w:tc>
          <w:tcPr>
            <w:tcW w:w="1315" w:type="dxa"/>
            <w:tcBorders>
              <w:top w:val="nil"/>
              <w:left w:val="nil"/>
              <w:bottom w:val="single" w:color="auto" w:sz="4" w:space="0"/>
              <w:right w:val="single" w:color="auto" w:sz="4" w:space="0"/>
            </w:tcBorders>
            <w:noWrap/>
            <w:vAlign w:val="center"/>
          </w:tcPr>
          <w:p w14:paraId="6B097315">
            <w:pPr>
              <w:adjustRightInd w:val="0"/>
              <w:snapToGrid w:val="0"/>
              <w:spacing w:line="500" w:lineRule="exact"/>
              <w:jc w:val="center"/>
              <w:rPr>
                <w:rFonts w:ascii="宋体" w:hAnsi="宋体" w:cs="仿宋"/>
                <w:color w:val="000000"/>
                <w:sz w:val="21"/>
                <w:szCs w:val="21"/>
              </w:rPr>
            </w:pPr>
          </w:p>
        </w:tc>
      </w:tr>
      <w:tr w14:paraId="1034BBA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B41D9A9">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63</w:t>
            </w:r>
          </w:p>
        </w:tc>
        <w:tc>
          <w:tcPr>
            <w:tcW w:w="3899" w:type="dxa"/>
            <w:tcBorders>
              <w:top w:val="nil"/>
              <w:left w:val="nil"/>
              <w:bottom w:val="single" w:color="auto" w:sz="4" w:space="0"/>
              <w:right w:val="single" w:color="auto" w:sz="4" w:space="0"/>
            </w:tcBorders>
            <w:noWrap/>
            <w:vAlign w:val="center"/>
          </w:tcPr>
          <w:p w14:paraId="09560374">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防潮应急单管日光灯    </w:t>
            </w:r>
          </w:p>
        </w:tc>
        <w:tc>
          <w:tcPr>
            <w:tcW w:w="914" w:type="dxa"/>
            <w:tcBorders>
              <w:top w:val="nil"/>
              <w:left w:val="nil"/>
              <w:bottom w:val="single" w:color="auto" w:sz="4" w:space="0"/>
              <w:right w:val="single" w:color="auto" w:sz="4" w:space="0"/>
            </w:tcBorders>
            <w:noWrap/>
            <w:vAlign w:val="center"/>
          </w:tcPr>
          <w:p w14:paraId="1A55D7E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0A201685">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16</w:t>
            </w:r>
          </w:p>
        </w:tc>
        <w:tc>
          <w:tcPr>
            <w:tcW w:w="1315" w:type="dxa"/>
            <w:tcBorders>
              <w:top w:val="nil"/>
              <w:left w:val="nil"/>
              <w:bottom w:val="single" w:color="auto" w:sz="4" w:space="0"/>
              <w:right w:val="single" w:color="auto" w:sz="4" w:space="0"/>
            </w:tcBorders>
            <w:noWrap/>
            <w:vAlign w:val="center"/>
          </w:tcPr>
          <w:p w14:paraId="33CC11F3">
            <w:pPr>
              <w:adjustRightInd w:val="0"/>
              <w:snapToGrid w:val="0"/>
              <w:spacing w:line="500" w:lineRule="exact"/>
              <w:jc w:val="center"/>
              <w:rPr>
                <w:rFonts w:ascii="宋体" w:hAnsi="宋体" w:cs="仿宋"/>
                <w:color w:val="000000"/>
                <w:sz w:val="21"/>
                <w:szCs w:val="21"/>
              </w:rPr>
            </w:pPr>
          </w:p>
        </w:tc>
      </w:tr>
      <w:tr w14:paraId="6A1FD68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D6400E5">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64</w:t>
            </w:r>
          </w:p>
        </w:tc>
        <w:tc>
          <w:tcPr>
            <w:tcW w:w="3899" w:type="dxa"/>
            <w:tcBorders>
              <w:top w:val="nil"/>
              <w:left w:val="nil"/>
              <w:bottom w:val="single" w:color="auto" w:sz="4" w:space="0"/>
              <w:right w:val="single" w:color="auto" w:sz="4" w:space="0"/>
            </w:tcBorders>
            <w:noWrap/>
            <w:vAlign w:val="center"/>
          </w:tcPr>
          <w:p w14:paraId="266EFE4C">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应急双管日光灯    </w:t>
            </w:r>
          </w:p>
        </w:tc>
        <w:tc>
          <w:tcPr>
            <w:tcW w:w="914" w:type="dxa"/>
            <w:tcBorders>
              <w:top w:val="nil"/>
              <w:left w:val="nil"/>
              <w:bottom w:val="single" w:color="auto" w:sz="4" w:space="0"/>
              <w:right w:val="single" w:color="auto" w:sz="4" w:space="0"/>
            </w:tcBorders>
            <w:noWrap/>
            <w:vAlign w:val="center"/>
          </w:tcPr>
          <w:p w14:paraId="04FAAA7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0AEBE9F2">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5</w:t>
            </w:r>
          </w:p>
        </w:tc>
        <w:tc>
          <w:tcPr>
            <w:tcW w:w="1315" w:type="dxa"/>
            <w:tcBorders>
              <w:top w:val="nil"/>
              <w:left w:val="nil"/>
              <w:bottom w:val="single" w:color="auto" w:sz="4" w:space="0"/>
              <w:right w:val="single" w:color="auto" w:sz="4" w:space="0"/>
            </w:tcBorders>
            <w:noWrap/>
            <w:vAlign w:val="center"/>
          </w:tcPr>
          <w:p w14:paraId="5BE4824D">
            <w:pPr>
              <w:adjustRightInd w:val="0"/>
              <w:snapToGrid w:val="0"/>
              <w:spacing w:line="500" w:lineRule="exact"/>
              <w:jc w:val="center"/>
              <w:rPr>
                <w:rFonts w:ascii="宋体" w:hAnsi="宋体" w:cs="仿宋"/>
                <w:color w:val="000000"/>
                <w:sz w:val="21"/>
                <w:szCs w:val="21"/>
              </w:rPr>
            </w:pPr>
          </w:p>
        </w:tc>
      </w:tr>
      <w:tr w14:paraId="2FC1F68D">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ACC720B">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65</w:t>
            </w:r>
          </w:p>
        </w:tc>
        <w:tc>
          <w:tcPr>
            <w:tcW w:w="3899" w:type="dxa"/>
            <w:tcBorders>
              <w:top w:val="nil"/>
              <w:left w:val="nil"/>
              <w:bottom w:val="single" w:color="auto" w:sz="4" w:space="0"/>
              <w:right w:val="single" w:color="auto" w:sz="4" w:space="0"/>
            </w:tcBorders>
            <w:noWrap/>
            <w:vAlign w:val="center"/>
          </w:tcPr>
          <w:p w14:paraId="34C9A870">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固定消防对讲电话</w:t>
            </w:r>
          </w:p>
        </w:tc>
        <w:tc>
          <w:tcPr>
            <w:tcW w:w="914" w:type="dxa"/>
            <w:tcBorders>
              <w:top w:val="nil"/>
              <w:left w:val="nil"/>
              <w:bottom w:val="single" w:color="auto" w:sz="4" w:space="0"/>
              <w:right w:val="single" w:color="auto" w:sz="4" w:space="0"/>
            </w:tcBorders>
            <w:noWrap/>
            <w:vAlign w:val="center"/>
          </w:tcPr>
          <w:p w14:paraId="3B852B3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69A9890D">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21</w:t>
            </w:r>
          </w:p>
        </w:tc>
        <w:tc>
          <w:tcPr>
            <w:tcW w:w="1315" w:type="dxa"/>
            <w:tcBorders>
              <w:top w:val="nil"/>
              <w:left w:val="nil"/>
              <w:bottom w:val="single" w:color="auto" w:sz="4" w:space="0"/>
              <w:right w:val="single" w:color="auto" w:sz="4" w:space="0"/>
            </w:tcBorders>
            <w:noWrap/>
            <w:vAlign w:val="center"/>
          </w:tcPr>
          <w:p w14:paraId="0C3ECE7D">
            <w:pPr>
              <w:adjustRightInd w:val="0"/>
              <w:snapToGrid w:val="0"/>
              <w:spacing w:line="500" w:lineRule="exact"/>
              <w:jc w:val="center"/>
              <w:rPr>
                <w:rFonts w:ascii="宋体" w:hAnsi="宋体" w:cs="仿宋"/>
                <w:color w:val="000000"/>
                <w:sz w:val="21"/>
                <w:szCs w:val="21"/>
              </w:rPr>
            </w:pPr>
          </w:p>
        </w:tc>
      </w:tr>
      <w:tr w14:paraId="65879AA0">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257700D">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66</w:t>
            </w:r>
          </w:p>
        </w:tc>
        <w:tc>
          <w:tcPr>
            <w:tcW w:w="3899" w:type="dxa"/>
            <w:tcBorders>
              <w:top w:val="nil"/>
              <w:left w:val="nil"/>
              <w:bottom w:val="single" w:color="auto" w:sz="4" w:space="0"/>
              <w:right w:val="single" w:color="auto" w:sz="4" w:space="0"/>
            </w:tcBorders>
            <w:noWrap/>
            <w:vAlign w:val="center"/>
          </w:tcPr>
          <w:p w14:paraId="13B87373">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智能消防自动巡检柜</w:t>
            </w:r>
          </w:p>
        </w:tc>
        <w:tc>
          <w:tcPr>
            <w:tcW w:w="914" w:type="dxa"/>
            <w:tcBorders>
              <w:top w:val="nil"/>
              <w:left w:val="nil"/>
              <w:bottom w:val="single" w:color="auto" w:sz="4" w:space="0"/>
              <w:right w:val="single" w:color="auto" w:sz="4" w:space="0"/>
            </w:tcBorders>
            <w:noWrap/>
            <w:vAlign w:val="center"/>
          </w:tcPr>
          <w:p w14:paraId="02E4EF7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0080EE7D">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1196AD18">
            <w:pPr>
              <w:adjustRightInd w:val="0"/>
              <w:snapToGrid w:val="0"/>
              <w:spacing w:line="500" w:lineRule="exact"/>
              <w:jc w:val="center"/>
              <w:rPr>
                <w:rFonts w:ascii="宋体" w:hAnsi="宋体" w:cs="仿宋"/>
                <w:color w:val="000000"/>
                <w:sz w:val="21"/>
                <w:szCs w:val="21"/>
              </w:rPr>
            </w:pPr>
          </w:p>
        </w:tc>
      </w:tr>
      <w:tr w14:paraId="2B8309E4">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CAAA9D0">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67</w:t>
            </w:r>
          </w:p>
        </w:tc>
        <w:tc>
          <w:tcPr>
            <w:tcW w:w="3899" w:type="dxa"/>
            <w:tcBorders>
              <w:top w:val="nil"/>
              <w:left w:val="nil"/>
              <w:bottom w:val="single" w:color="auto" w:sz="4" w:space="0"/>
              <w:right w:val="single" w:color="auto" w:sz="4" w:space="0"/>
            </w:tcBorders>
            <w:noWrap/>
            <w:vAlign w:val="center"/>
          </w:tcPr>
          <w:p w14:paraId="647E1DF5">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自动喷淋系统给水泵 </w:t>
            </w:r>
          </w:p>
        </w:tc>
        <w:tc>
          <w:tcPr>
            <w:tcW w:w="914" w:type="dxa"/>
            <w:tcBorders>
              <w:top w:val="nil"/>
              <w:left w:val="nil"/>
              <w:bottom w:val="single" w:color="auto" w:sz="4" w:space="0"/>
              <w:right w:val="single" w:color="auto" w:sz="4" w:space="0"/>
            </w:tcBorders>
            <w:noWrap/>
            <w:vAlign w:val="center"/>
          </w:tcPr>
          <w:p w14:paraId="157DB918">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7A09F33D">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1062E3E7">
            <w:pPr>
              <w:adjustRightInd w:val="0"/>
              <w:snapToGrid w:val="0"/>
              <w:spacing w:line="500" w:lineRule="exact"/>
              <w:jc w:val="center"/>
              <w:rPr>
                <w:rFonts w:ascii="宋体" w:hAnsi="宋体" w:cs="仿宋"/>
                <w:color w:val="000000"/>
                <w:sz w:val="21"/>
                <w:szCs w:val="21"/>
              </w:rPr>
            </w:pPr>
          </w:p>
        </w:tc>
      </w:tr>
      <w:tr w14:paraId="22478108">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068A999">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68</w:t>
            </w:r>
          </w:p>
        </w:tc>
        <w:tc>
          <w:tcPr>
            <w:tcW w:w="3899" w:type="dxa"/>
            <w:tcBorders>
              <w:top w:val="nil"/>
              <w:left w:val="nil"/>
              <w:bottom w:val="single" w:color="auto" w:sz="4" w:space="0"/>
              <w:right w:val="single" w:color="auto" w:sz="4" w:space="0"/>
            </w:tcBorders>
            <w:noWrap/>
            <w:vAlign w:val="center"/>
          </w:tcPr>
          <w:p w14:paraId="2BBF2783">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消防水炮给水泵</w:t>
            </w:r>
          </w:p>
        </w:tc>
        <w:tc>
          <w:tcPr>
            <w:tcW w:w="914" w:type="dxa"/>
            <w:tcBorders>
              <w:top w:val="nil"/>
              <w:left w:val="nil"/>
              <w:bottom w:val="single" w:color="auto" w:sz="4" w:space="0"/>
              <w:right w:val="single" w:color="auto" w:sz="4" w:space="0"/>
            </w:tcBorders>
            <w:noWrap/>
            <w:vAlign w:val="center"/>
          </w:tcPr>
          <w:p w14:paraId="67F4DEC4">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43645F3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548638B8">
            <w:pPr>
              <w:adjustRightInd w:val="0"/>
              <w:snapToGrid w:val="0"/>
              <w:spacing w:line="500" w:lineRule="exact"/>
              <w:jc w:val="center"/>
              <w:rPr>
                <w:rFonts w:ascii="宋体" w:hAnsi="宋体" w:cs="仿宋"/>
                <w:color w:val="000000"/>
                <w:sz w:val="21"/>
                <w:szCs w:val="21"/>
              </w:rPr>
            </w:pPr>
          </w:p>
        </w:tc>
      </w:tr>
      <w:tr w14:paraId="5EE8870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F7E8A8A">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69</w:t>
            </w:r>
          </w:p>
        </w:tc>
        <w:tc>
          <w:tcPr>
            <w:tcW w:w="3899" w:type="dxa"/>
            <w:tcBorders>
              <w:top w:val="nil"/>
              <w:left w:val="nil"/>
              <w:bottom w:val="single" w:color="auto" w:sz="4" w:space="0"/>
              <w:right w:val="single" w:color="auto" w:sz="4" w:space="0"/>
            </w:tcBorders>
            <w:noWrap/>
            <w:vAlign w:val="center"/>
          </w:tcPr>
          <w:p w14:paraId="3CABA030">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消防水炮自控系统</w:t>
            </w:r>
          </w:p>
        </w:tc>
        <w:tc>
          <w:tcPr>
            <w:tcW w:w="914" w:type="dxa"/>
            <w:tcBorders>
              <w:top w:val="nil"/>
              <w:left w:val="nil"/>
              <w:bottom w:val="single" w:color="auto" w:sz="4" w:space="0"/>
              <w:right w:val="single" w:color="auto" w:sz="4" w:space="0"/>
            </w:tcBorders>
            <w:noWrap/>
            <w:vAlign w:val="center"/>
          </w:tcPr>
          <w:p w14:paraId="503B77F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系统</w:t>
            </w:r>
          </w:p>
        </w:tc>
        <w:tc>
          <w:tcPr>
            <w:tcW w:w="1116" w:type="dxa"/>
            <w:tcBorders>
              <w:top w:val="nil"/>
              <w:left w:val="nil"/>
              <w:bottom w:val="single" w:color="auto" w:sz="4" w:space="0"/>
              <w:right w:val="single" w:color="auto" w:sz="4" w:space="0"/>
            </w:tcBorders>
            <w:noWrap/>
            <w:vAlign w:val="center"/>
          </w:tcPr>
          <w:p w14:paraId="6EB76004">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1791F491">
            <w:pPr>
              <w:adjustRightInd w:val="0"/>
              <w:snapToGrid w:val="0"/>
              <w:spacing w:line="500" w:lineRule="exact"/>
              <w:jc w:val="center"/>
              <w:rPr>
                <w:rFonts w:ascii="宋体" w:hAnsi="宋体" w:cs="仿宋"/>
                <w:color w:val="000000"/>
                <w:sz w:val="21"/>
                <w:szCs w:val="21"/>
              </w:rPr>
            </w:pPr>
          </w:p>
        </w:tc>
      </w:tr>
      <w:tr w14:paraId="22E843B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A107407">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70</w:t>
            </w:r>
          </w:p>
        </w:tc>
        <w:tc>
          <w:tcPr>
            <w:tcW w:w="3899" w:type="dxa"/>
            <w:tcBorders>
              <w:top w:val="nil"/>
              <w:left w:val="nil"/>
              <w:bottom w:val="single" w:color="auto" w:sz="4" w:space="0"/>
              <w:right w:val="single" w:color="auto" w:sz="4" w:space="0"/>
            </w:tcBorders>
            <w:noWrap/>
            <w:vAlign w:val="center"/>
          </w:tcPr>
          <w:p w14:paraId="1AE4E718">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室内消火栓系统给水泵</w:t>
            </w:r>
          </w:p>
        </w:tc>
        <w:tc>
          <w:tcPr>
            <w:tcW w:w="914" w:type="dxa"/>
            <w:tcBorders>
              <w:top w:val="nil"/>
              <w:left w:val="nil"/>
              <w:bottom w:val="single" w:color="auto" w:sz="4" w:space="0"/>
              <w:right w:val="single" w:color="auto" w:sz="4" w:space="0"/>
            </w:tcBorders>
            <w:noWrap/>
            <w:vAlign w:val="center"/>
          </w:tcPr>
          <w:p w14:paraId="5C46AF29">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5973F652">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4190EADC">
            <w:pPr>
              <w:adjustRightInd w:val="0"/>
              <w:snapToGrid w:val="0"/>
              <w:spacing w:line="500" w:lineRule="exact"/>
              <w:jc w:val="center"/>
              <w:rPr>
                <w:rFonts w:ascii="宋体" w:hAnsi="宋体" w:cs="仿宋"/>
                <w:color w:val="000000"/>
                <w:sz w:val="21"/>
                <w:szCs w:val="21"/>
              </w:rPr>
            </w:pPr>
          </w:p>
        </w:tc>
      </w:tr>
      <w:tr w14:paraId="7C5EBBAA">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7BDD980">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71</w:t>
            </w:r>
          </w:p>
        </w:tc>
        <w:tc>
          <w:tcPr>
            <w:tcW w:w="3899" w:type="dxa"/>
            <w:tcBorders>
              <w:top w:val="nil"/>
              <w:left w:val="nil"/>
              <w:bottom w:val="single" w:color="auto" w:sz="4" w:space="0"/>
              <w:right w:val="single" w:color="auto" w:sz="4" w:space="0"/>
            </w:tcBorders>
            <w:noWrap/>
            <w:vAlign w:val="center"/>
          </w:tcPr>
          <w:p w14:paraId="225403A5">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手提式    磷酸铵盐干粉灭火器</w:t>
            </w:r>
          </w:p>
        </w:tc>
        <w:tc>
          <w:tcPr>
            <w:tcW w:w="914" w:type="dxa"/>
            <w:tcBorders>
              <w:top w:val="nil"/>
              <w:left w:val="nil"/>
              <w:bottom w:val="single" w:color="auto" w:sz="4" w:space="0"/>
              <w:right w:val="single" w:color="auto" w:sz="4" w:space="0"/>
            </w:tcBorders>
            <w:noWrap/>
            <w:vAlign w:val="center"/>
          </w:tcPr>
          <w:p w14:paraId="72BAA69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7714E85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216</w:t>
            </w:r>
          </w:p>
        </w:tc>
        <w:tc>
          <w:tcPr>
            <w:tcW w:w="1315" w:type="dxa"/>
            <w:tcBorders>
              <w:top w:val="nil"/>
              <w:left w:val="nil"/>
              <w:bottom w:val="single" w:color="auto" w:sz="4" w:space="0"/>
              <w:right w:val="single" w:color="auto" w:sz="4" w:space="0"/>
            </w:tcBorders>
            <w:noWrap/>
            <w:vAlign w:val="center"/>
          </w:tcPr>
          <w:p w14:paraId="3525CE8C">
            <w:pPr>
              <w:adjustRightInd w:val="0"/>
              <w:snapToGrid w:val="0"/>
              <w:spacing w:line="500" w:lineRule="exact"/>
              <w:jc w:val="center"/>
              <w:rPr>
                <w:rFonts w:ascii="宋体" w:hAnsi="宋体" w:cs="仿宋"/>
                <w:color w:val="000000"/>
                <w:sz w:val="21"/>
                <w:szCs w:val="21"/>
              </w:rPr>
            </w:pPr>
          </w:p>
        </w:tc>
      </w:tr>
      <w:tr w14:paraId="6DF1BDC7">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7B36CF3">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72</w:t>
            </w:r>
          </w:p>
        </w:tc>
        <w:tc>
          <w:tcPr>
            <w:tcW w:w="3899" w:type="dxa"/>
            <w:tcBorders>
              <w:top w:val="nil"/>
              <w:left w:val="nil"/>
              <w:bottom w:val="single" w:color="auto" w:sz="4" w:space="0"/>
              <w:right w:val="single" w:color="auto" w:sz="4" w:space="0"/>
            </w:tcBorders>
            <w:noWrap/>
            <w:vAlign w:val="center"/>
          </w:tcPr>
          <w:p w14:paraId="7A6664FA">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手提式    磷酸铵盐干粉灭火器</w:t>
            </w:r>
          </w:p>
        </w:tc>
        <w:tc>
          <w:tcPr>
            <w:tcW w:w="914" w:type="dxa"/>
            <w:tcBorders>
              <w:top w:val="nil"/>
              <w:left w:val="nil"/>
              <w:bottom w:val="single" w:color="auto" w:sz="4" w:space="0"/>
              <w:right w:val="single" w:color="auto" w:sz="4" w:space="0"/>
            </w:tcBorders>
            <w:noWrap/>
            <w:vAlign w:val="center"/>
          </w:tcPr>
          <w:p w14:paraId="524276E4">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2B38829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380</w:t>
            </w:r>
          </w:p>
        </w:tc>
        <w:tc>
          <w:tcPr>
            <w:tcW w:w="1315" w:type="dxa"/>
            <w:tcBorders>
              <w:top w:val="nil"/>
              <w:left w:val="nil"/>
              <w:bottom w:val="single" w:color="auto" w:sz="4" w:space="0"/>
              <w:right w:val="single" w:color="auto" w:sz="4" w:space="0"/>
            </w:tcBorders>
            <w:noWrap/>
            <w:vAlign w:val="center"/>
          </w:tcPr>
          <w:p w14:paraId="57936BAA">
            <w:pPr>
              <w:adjustRightInd w:val="0"/>
              <w:snapToGrid w:val="0"/>
              <w:spacing w:line="500" w:lineRule="exact"/>
              <w:jc w:val="center"/>
              <w:rPr>
                <w:rFonts w:ascii="宋体" w:hAnsi="宋体" w:cs="仿宋"/>
                <w:color w:val="000000"/>
                <w:sz w:val="21"/>
                <w:szCs w:val="21"/>
              </w:rPr>
            </w:pPr>
          </w:p>
        </w:tc>
      </w:tr>
      <w:tr w14:paraId="708C62F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0A3DF65">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73</w:t>
            </w:r>
          </w:p>
        </w:tc>
        <w:tc>
          <w:tcPr>
            <w:tcW w:w="3899" w:type="dxa"/>
            <w:tcBorders>
              <w:top w:val="nil"/>
              <w:left w:val="nil"/>
              <w:bottom w:val="single" w:color="auto" w:sz="4" w:space="0"/>
              <w:right w:val="single" w:color="auto" w:sz="4" w:space="0"/>
            </w:tcBorders>
            <w:noWrap/>
            <w:vAlign w:val="center"/>
          </w:tcPr>
          <w:p w14:paraId="6FCBA2C5">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减压稳压型柜式单出口消火栓    </w:t>
            </w:r>
          </w:p>
        </w:tc>
        <w:tc>
          <w:tcPr>
            <w:tcW w:w="914" w:type="dxa"/>
            <w:tcBorders>
              <w:top w:val="nil"/>
              <w:left w:val="nil"/>
              <w:bottom w:val="single" w:color="auto" w:sz="4" w:space="0"/>
              <w:right w:val="single" w:color="auto" w:sz="4" w:space="0"/>
            </w:tcBorders>
            <w:noWrap/>
            <w:vAlign w:val="center"/>
          </w:tcPr>
          <w:p w14:paraId="33DFA125">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49A38F14">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148</w:t>
            </w:r>
          </w:p>
        </w:tc>
        <w:tc>
          <w:tcPr>
            <w:tcW w:w="1315" w:type="dxa"/>
            <w:tcBorders>
              <w:top w:val="nil"/>
              <w:left w:val="nil"/>
              <w:bottom w:val="single" w:color="auto" w:sz="4" w:space="0"/>
              <w:right w:val="single" w:color="auto" w:sz="4" w:space="0"/>
            </w:tcBorders>
            <w:noWrap/>
            <w:vAlign w:val="center"/>
          </w:tcPr>
          <w:p w14:paraId="0208CEB4">
            <w:pPr>
              <w:adjustRightInd w:val="0"/>
              <w:snapToGrid w:val="0"/>
              <w:spacing w:line="500" w:lineRule="exact"/>
              <w:jc w:val="center"/>
              <w:rPr>
                <w:rFonts w:ascii="宋体" w:hAnsi="宋体" w:cs="仿宋"/>
                <w:color w:val="000000"/>
                <w:sz w:val="21"/>
                <w:szCs w:val="21"/>
              </w:rPr>
            </w:pPr>
          </w:p>
        </w:tc>
      </w:tr>
      <w:tr w14:paraId="2562C6F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9C400FE">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74</w:t>
            </w:r>
          </w:p>
        </w:tc>
        <w:tc>
          <w:tcPr>
            <w:tcW w:w="3899" w:type="dxa"/>
            <w:tcBorders>
              <w:top w:val="nil"/>
              <w:left w:val="nil"/>
              <w:bottom w:val="single" w:color="auto" w:sz="4" w:space="0"/>
              <w:right w:val="single" w:color="auto" w:sz="4" w:space="0"/>
            </w:tcBorders>
            <w:noWrap/>
            <w:vAlign w:val="center"/>
          </w:tcPr>
          <w:p w14:paraId="4CE9FAAD">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柜式单出口消火栓    </w:t>
            </w:r>
          </w:p>
        </w:tc>
        <w:tc>
          <w:tcPr>
            <w:tcW w:w="914" w:type="dxa"/>
            <w:tcBorders>
              <w:top w:val="nil"/>
              <w:left w:val="nil"/>
              <w:bottom w:val="single" w:color="auto" w:sz="4" w:space="0"/>
              <w:right w:val="single" w:color="auto" w:sz="4" w:space="0"/>
            </w:tcBorders>
            <w:noWrap/>
            <w:vAlign w:val="center"/>
          </w:tcPr>
          <w:p w14:paraId="14D30C8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686EB60B">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85</w:t>
            </w:r>
          </w:p>
        </w:tc>
        <w:tc>
          <w:tcPr>
            <w:tcW w:w="1315" w:type="dxa"/>
            <w:tcBorders>
              <w:top w:val="nil"/>
              <w:left w:val="nil"/>
              <w:bottom w:val="single" w:color="auto" w:sz="4" w:space="0"/>
              <w:right w:val="single" w:color="auto" w:sz="4" w:space="0"/>
            </w:tcBorders>
            <w:noWrap/>
            <w:vAlign w:val="center"/>
          </w:tcPr>
          <w:p w14:paraId="412BF52C">
            <w:pPr>
              <w:adjustRightInd w:val="0"/>
              <w:snapToGrid w:val="0"/>
              <w:spacing w:line="500" w:lineRule="exact"/>
              <w:jc w:val="center"/>
              <w:rPr>
                <w:rFonts w:ascii="宋体" w:hAnsi="宋体" w:cs="仿宋"/>
                <w:color w:val="000000"/>
                <w:sz w:val="21"/>
                <w:szCs w:val="21"/>
              </w:rPr>
            </w:pPr>
          </w:p>
        </w:tc>
      </w:tr>
      <w:tr w14:paraId="124BBB80">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E8893DE">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75</w:t>
            </w:r>
          </w:p>
        </w:tc>
        <w:tc>
          <w:tcPr>
            <w:tcW w:w="3899" w:type="dxa"/>
            <w:tcBorders>
              <w:top w:val="nil"/>
              <w:left w:val="nil"/>
              <w:bottom w:val="single" w:color="auto" w:sz="4" w:space="0"/>
              <w:right w:val="single" w:color="auto" w:sz="4" w:space="0"/>
            </w:tcBorders>
            <w:noWrap/>
            <w:vAlign w:val="center"/>
          </w:tcPr>
          <w:p w14:paraId="7960B423">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试验用消火栓箱    </w:t>
            </w:r>
          </w:p>
        </w:tc>
        <w:tc>
          <w:tcPr>
            <w:tcW w:w="914" w:type="dxa"/>
            <w:tcBorders>
              <w:top w:val="nil"/>
              <w:left w:val="nil"/>
              <w:bottom w:val="single" w:color="auto" w:sz="4" w:space="0"/>
              <w:right w:val="single" w:color="auto" w:sz="4" w:space="0"/>
            </w:tcBorders>
            <w:noWrap/>
            <w:vAlign w:val="center"/>
          </w:tcPr>
          <w:p w14:paraId="1304C0D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1967654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1761D442">
            <w:pPr>
              <w:adjustRightInd w:val="0"/>
              <w:snapToGrid w:val="0"/>
              <w:spacing w:line="500" w:lineRule="exact"/>
              <w:jc w:val="center"/>
              <w:rPr>
                <w:rFonts w:ascii="宋体" w:hAnsi="宋体" w:cs="仿宋"/>
                <w:color w:val="000000"/>
                <w:sz w:val="21"/>
                <w:szCs w:val="21"/>
              </w:rPr>
            </w:pPr>
          </w:p>
        </w:tc>
      </w:tr>
      <w:tr w14:paraId="7D09053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C2403D4">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76</w:t>
            </w:r>
          </w:p>
        </w:tc>
        <w:tc>
          <w:tcPr>
            <w:tcW w:w="3899" w:type="dxa"/>
            <w:tcBorders>
              <w:top w:val="nil"/>
              <w:left w:val="nil"/>
              <w:bottom w:val="single" w:color="auto" w:sz="4" w:space="0"/>
              <w:right w:val="single" w:color="auto" w:sz="4" w:space="0"/>
            </w:tcBorders>
            <w:noWrap/>
            <w:vAlign w:val="center"/>
          </w:tcPr>
          <w:p w14:paraId="72886881">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消防水泵接合器    </w:t>
            </w:r>
          </w:p>
        </w:tc>
        <w:tc>
          <w:tcPr>
            <w:tcW w:w="914" w:type="dxa"/>
            <w:tcBorders>
              <w:top w:val="nil"/>
              <w:left w:val="nil"/>
              <w:bottom w:val="single" w:color="auto" w:sz="4" w:space="0"/>
              <w:right w:val="single" w:color="auto" w:sz="4" w:space="0"/>
            </w:tcBorders>
            <w:noWrap/>
            <w:vAlign w:val="center"/>
          </w:tcPr>
          <w:p w14:paraId="5F2EA36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36E948BD">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5</w:t>
            </w:r>
          </w:p>
        </w:tc>
        <w:tc>
          <w:tcPr>
            <w:tcW w:w="1315" w:type="dxa"/>
            <w:tcBorders>
              <w:top w:val="nil"/>
              <w:left w:val="nil"/>
              <w:bottom w:val="single" w:color="auto" w:sz="4" w:space="0"/>
              <w:right w:val="single" w:color="auto" w:sz="4" w:space="0"/>
            </w:tcBorders>
            <w:noWrap/>
            <w:vAlign w:val="center"/>
          </w:tcPr>
          <w:p w14:paraId="798EC023">
            <w:pPr>
              <w:adjustRightInd w:val="0"/>
              <w:snapToGrid w:val="0"/>
              <w:spacing w:line="500" w:lineRule="exact"/>
              <w:jc w:val="center"/>
              <w:rPr>
                <w:rFonts w:ascii="宋体" w:hAnsi="宋体" w:cs="仿宋"/>
                <w:color w:val="000000"/>
                <w:sz w:val="21"/>
                <w:szCs w:val="21"/>
              </w:rPr>
            </w:pPr>
          </w:p>
        </w:tc>
      </w:tr>
      <w:tr w14:paraId="1BCEE19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4EE14CC">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77</w:t>
            </w:r>
          </w:p>
        </w:tc>
        <w:tc>
          <w:tcPr>
            <w:tcW w:w="3899" w:type="dxa"/>
            <w:tcBorders>
              <w:top w:val="nil"/>
              <w:left w:val="nil"/>
              <w:bottom w:val="single" w:color="auto" w:sz="4" w:space="0"/>
              <w:right w:val="single" w:color="auto" w:sz="4" w:space="0"/>
            </w:tcBorders>
            <w:noWrap/>
            <w:vAlign w:val="center"/>
          </w:tcPr>
          <w:p w14:paraId="4FBE0B4A">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消防水泵接合器    </w:t>
            </w:r>
          </w:p>
        </w:tc>
        <w:tc>
          <w:tcPr>
            <w:tcW w:w="914" w:type="dxa"/>
            <w:tcBorders>
              <w:top w:val="nil"/>
              <w:left w:val="nil"/>
              <w:bottom w:val="single" w:color="auto" w:sz="4" w:space="0"/>
              <w:right w:val="single" w:color="auto" w:sz="4" w:space="0"/>
            </w:tcBorders>
            <w:noWrap/>
            <w:vAlign w:val="center"/>
          </w:tcPr>
          <w:p w14:paraId="3314B67D">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29A5987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2C733C83">
            <w:pPr>
              <w:adjustRightInd w:val="0"/>
              <w:snapToGrid w:val="0"/>
              <w:spacing w:line="500" w:lineRule="exact"/>
              <w:jc w:val="center"/>
              <w:rPr>
                <w:rFonts w:ascii="宋体" w:hAnsi="宋体" w:cs="仿宋"/>
                <w:color w:val="000000"/>
                <w:sz w:val="21"/>
                <w:szCs w:val="21"/>
              </w:rPr>
            </w:pPr>
          </w:p>
        </w:tc>
      </w:tr>
      <w:tr w14:paraId="1413219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84DFF73">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78</w:t>
            </w:r>
          </w:p>
        </w:tc>
        <w:tc>
          <w:tcPr>
            <w:tcW w:w="3899" w:type="dxa"/>
            <w:tcBorders>
              <w:top w:val="nil"/>
              <w:left w:val="nil"/>
              <w:bottom w:val="single" w:color="auto" w:sz="4" w:space="0"/>
              <w:right w:val="single" w:color="auto" w:sz="4" w:space="0"/>
            </w:tcBorders>
            <w:noWrap/>
            <w:vAlign w:val="center"/>
          </w:tcPr>
          <w:p w14:paraId="4E5E06D7">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全自动消防水炮    </w:t>
            </w:r>
          </w:p>
        </w:tc>
        <w:tc>
          <w:tcPr>
            <w:tcW w:w="914" w:type="dxa"/>
            <w:tcBorders>
              <w:top w:val="nil"/>
              <w:left w:val="nil"/>
              <w:bottom w:val="single" w:color="auto" w:sz="4" w:space="0"/>
              <w:right w:val="single" w:color="auto" w:sz="4" w:space="0"/>
            </w:tcBorders>
            <w:noWrap/>
            <w:vAlign w:val="center"/>
          </w:tcPr>
          <w:p w14:paraId="1A79EA32">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042729D9">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12</w:t>
            </w:r>
          </w:p>
        </w:tc>
        <w:tc>
          <w:tcPr>
            <w:tcW w:w="1315" w:type="dxa"/>
            <w:tcBorders>
              <w:top w:val="nil"/>
              <w:left w:val="nil"/>
              <w:bottom w:val="single" w:color="auto" w:sz="4" w:space="0"/>
              <w:right w:val="single" w:color="auto" w:sz="4" w:space="0"/>
            </w:tcBorders>
            <w:noWrap/>
            <w:vAlign w:val="center"/>
          </w:tcPr>
          <w:p w14:paraId="7ED731F9">
            <w:pPr>
              <w:adjustRightInd w:val="0"/>
              <w:snapToGrid w:val="0"/>
              <w:spacing w:line="500" w:lineRule="exact"/>
              <w:jc w:val="center"/>
              <w:rPr>
                <w:rFonts w:ascii="宋体" w:hAnsi="宋体" w:cs="仿宋"/>
                <w:color w:val="000000"/>
                <w:sz w:val="21"/>
                <w:szCs w:val="21"/>
              </w:rPr>
            </w:pPr>
          </w:p>
        </w:tc>
      </w:tr>
      <w:tr w14:paraId="41655C5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263EEC6">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79</w:t>
            </w:r>
          </w:p>
        </w:tc>
        <w:tc>
          <w:tcPr>
            <w:tcW w:w="3899" w:type="dxa"/>
            <w:tcBorders>
              <w:top w:val="nil"/>
              <w:left w:val="nil"/>
              <w:bottom w:val="single" w:color="auto" w:sz="4" w:space="0"/>
              <w:right w:val="single" w:color="auto" w:sz="4" w:space="0"/>
            </w:tcBorders>
            <w:noWrap/>
            <w:vAlign w:val="center"/>
          </w:tcPr>
          <w:p w14:paraId="4D25E74E">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湿式报警阀组    </w:t>
            </w:r>
          </w:p>
        </w:tc>
        <w:tc>
          <w:tcPr>
            <w:tcW w:w="914" w:type="dxa"/>
            <w:tcBorders>
              <w:top w:val="nil"/>
              <w:left w:val="nil"/>
              <w:bottom w:val="single" w:color="auto" w:sz="4" w:space="0"/>
              <w:right w:val="single" w:color="auto" w:sz="4" w:space="0"/>
            </w:tcBorders>
            <w:noWrap/>
            <w:vAlign w:val="center"/>
          </w:tcPr>
          <w:p w14:paraId="48425C16">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586EC1C6">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13</w:t>
            </w:r>
          </w:p>
        </w:tc>
        <w:tc>
          <w:tcPr>
            <w:tcW w:w="1315" w:type="dxa"/>
            <w:tcBorders>
              <w:top w:val="nil"/>
              <w:left w:val="nil"/>
              <w:bottom w:val="single" w:color="auto" w:sz="4" w:space="0"/>
              <w:right w:val="single" w:color="auto" w:sz="4" w:space="0"/>
            </w:tcBorders>
            <w:noWrap/>
            <w:vAlign w:val="center"/>
          </w:tcPr>
          <w:p w14:paraId="0D228B15">
            <w:pPr>
              <w:adjustRightInd w:val="0"/>
              <w:snapToGrid w:val="0"/>
              <w:spacing w:line="500" w:lineRule="exact"/>
              <w:jc w:val="center"/>
              <w:rPr>
                <w:rFonts w:ascii="宋体" w:hAnsi="宋体" w:cs="仿宋"/>
                <w:color w:val="000000"/>
                <w:sz w:val="21"/>
                <w:szCs w:val="21"/>
              </w:rPr>
            </w:pPr>
          </w:p>
        </w:tc>
      </w:tr>
      <w:tr w14:paraId="56B331B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6939AF7">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80</w:t>
            </w:r>
          </w:p>
        </w:tc>
        <w:tc>
          <w:tcPr>
            <w:tcW w:w="3899" w:type="dxa"/>
            <w:tcBorders>
              <w:top w:val="nil"/>
              <w:left w:val="nil"/>
              <w:bottom w:val="single" w:color="auto" w:sz="4" w:space="0"/>
              <w:right w:val="single" w:color="auto" w:sz="4" w:space="0"/>
            </w:tcBorders>
            <w:noWrap/>
            <w:vAlign w:val="center"/>
          </w:tcPr>
          <w:p w14:paraId="37D4B3E8">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箱泵一体化消防水箱    </w:t>
            </w:r>
          </w:p>
        </w:tc>
        <w:tc>
          <w:tcPr>
            <w:tcW w:w="914" w:type="dxa"/>
            <w:tcBorders>
              <w:top w:val="nil"/>
              <w:left w:val="nil"/>
              <w:bottom w:val="single" w:color="auto" w:sz="4" w:space="0"/>
              <w:right w:val="single" w:color="auto" w:sz="4" w:space="0"/>
            </w:tcBorders>
            <w:noWrap/>
            <w:vAlign w:val="center"/>
          </w:tcPr>
          <w:p w14:paraId="6DA5AEA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1116" w:type="dxa"/>
            <w:tcBorders>
              <w:top w:val="nil"/>
              <w:left w:val="nil"/>
              <w:bottom w:val="single" w:color="auto" w:sz="4" w:space="0"/>
              <w:right w:val="single" w:color="auto" w:sz="4" w:space="0"/>
            </w:tcBorders>
            <w:noWrap/>
            <w:vAlign w:val="center"/>
          </w:tcPr>
          <w:p w14:paraId="462141E9">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058B45EA">
            <w:pPr>
              <w:adjustRightInd w:val="0"/>
              <w:snapToGrid w:val="0"/>
              <w:spacing w:line="500" w:lineRule="exact"/>
              <w:jc w:val="center"/>
              <w:rPr>
                <w:rFonts w:ascii="宋体" w:hAnsi="宋体" w:cs="仿宋"/>
                <w:color w:val="000000"/>
                <w:sz w:val="21"/>
                <w:szCs w:val="21"/>
              </w:rPr>
            </w:pPr>
          </w:p>
        </w:tc>
      </w:tr>
      <w:tr w14:paraId="1E95A70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A29B067">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81</w:t>
            </w:r>
          </w:p>
        </w:tc>
        <w:tc>
          <w:tcPr>
            <w:tcW w:w="3899" w:type="dxa"/>
            <w:tcBorders>
              <w:top w:val="nil"/>
              <w:left w:val="nil"/>
              <w:bottom w:val="single" w:color="auto" w:sz="4" w:space="0"/>
              <w:right w:val="single" w:color="auto" w:sz="4" w:space="0"/>
            </w:tcBorders>
            <w:noWrap/>
            <w:vAlign w:val="center"/>
          </w:tcPr>
          <w:p w14:paraId="5C3823C2">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模拟末端试水装置    </w:t>
            </w:r>
          </w:p>
        </w:tc>
        <w:tc>
          <w:tcPr>
            <w:tcW w:w="914" w:type="dxa"/>
            <w:tcBorders>
              <w:top w:val="nil"/>
              <w:left w:val="nil"/>
              <w:bottom w:val="single" w:color="auto" w:sz="4" w:space="0"/>
              <w:right w:val="single" w:color="auto" w:sz="4" w:space="0"/>
            </w:tcBorders>
            <w:noWrap/>
            <w:vAlign w:val="center"/>
          </w:tcPr>
          <w:p w14:paraId="3682BCCF">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70270AE9">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4</w:t>
            </w:r>
          </w:p>
        </w:tc>
        <w:tc>
          <w:tcPr>
            <w:tcW w:w="1315" w:type="dxa"/>
            <w:tcBorders>
              <w:top w:val="nil"/>
              <w:left w:val="nil"/>
              <w:bottom w:val="single" w:color="auto" w:sz="4" w:space="0"/>
              <w:right w:val="single" w:color="auto" w:sz="4" w:space="0"/>
            </w:tcBorders>
            <w:noWrap/>
            <w:vAlign w:val="center"/>
          </w:tcPr>
          <w:p w14:paraId="0B5C0556">
            <w:pPr>
              <w:adjustRightInd w:val="0"/>
              <w:snapToGrid w:val="0"/>
              <w:spacing w:line="500" w:lineRule="exact"/>
              <w:jc w:val="center"/>
              <w:rPr>
                <w:rFonts w:ascii="宋体" w:hAnsi="宋体" w:cs="仿宋"/>
                <w:color w:val="000000"/>
                <w:sz w:val="21"/>
                <w:szCs w:val="21"/>
              </w:rPr>
            </w:pPr>
          </w:p>
        </w:tc>
      </w:tr>
      <w:tr w14:paraId="7D65718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7CBB5A1">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82</w:t>
            </w:r>
          </w:p>
        </w:tc>
        <w:tc>
          <w:tcPr>
            <w:tcW w:w="3899" w:type="dxa"/>
            <w:tcBorders>
              <w:top w:val="nil"/>
              <w:left w:val="nil"/>
              <w:bottom w:val="single" w:color="auto" w:sz="4" w:space="0"/>
              <w:right w:val="single" w:color="auto" w:sz="4" w:space="0"/>
            </w:tcBorders>
            <w:noWrap/>
            <w:vAlign w:val="center"/>
          </w:tcPr>
          <w:p w14:paraId="5DE9C6D3">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室外消火栓    </w:t>
            </w:r>
          </w:p>
        </w:tc>
        <w:tc>
          <w:tcPr>
            <w:tcW w:w="914" w:type="dxa"/>
            <w:tcBorders>
              <w:top w:val="nil"/>
              <w:left w:val="nil"/>
              <w:bottom w:val="single" w:color="auto" w:sz="4" w:space="0"/>
              <w:right w:val="single" w:color="auto" w:sz="4" w:space="0"/>
            </w:tcBorders>
            <w:noWrap/>
            <w:vAlign w:val="center"/>
          </w:tcPr>
          <w:p w14:paraId="60B3627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09672E96">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8 </w:t>
            </w:r>
          </w:p>
        </w:tc>
        <w:tc>
          <w:tcPr>
            <w:tcW w:w="1315" w:type="dxa"/>
            <w:tcBorders>
              <w:top w:val="nil"/>
              <w:left w:val="nil"/>
              <w:bottom w:val="single" w:color="auto" w:sz="4" w:space="0"/>
              <w:right w:val="single" w:color="auto" w:sz="4" w:space="0"/>
            </w:tcBorders>
            <w:noWrap/>
            <w:vAlign w:val="center"/>
          </w:tcPr>
          <w:p w14:paraId="17E6606C">
            <w:pPr>
              <w:adjustRightInd w:val="0"/>
              <w:snapToGrid w:val="0"/>
              <w:spacing w:line="500" w:lineRule="exact"/>
              <w:jc w:val="center"/>
              <w:rPr>
                <w:rFonts w:ascii="宋体" w:hAnsi="宋体" w:cs="仿宋"/>
                <w:color w:val="000000"/>
                <w:sz w:val="21"/>
                <w:szCs w:val="21"/>
              </w:rPr>
            </w:pPr>
          </w:p>
        </w:tc>
      </w:tr>
      <w:tr w14:paraId="0FC9E4C7">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B04346A">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83</w:t>
            </w:r>
          </w:p>
        </w:tc>
        <w:tc>
          <w:tcPr>
            <w:tcW w:w="3899" w:type="dxa"/>
            <w:tcBorders>
              <w:top w:val="nil"/>
              <w:left w:val="nil"/>
              <w:bottom w:val="single" w:color="auto" w:sz="4" w:space="0"/>
              <w:right w:val="single" w:color="auto" w:sz="4" w:space="0"/>
            </w:tcBorders>
            <w:noWrap/>
            <w:vAlign w:val="center"/>
          </w:tcPr>
          <w:p w14:paraId="6E9E6127">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消防水泵接合器    </w:t>
            </w:r>
          </w:p>
        </w:tc>
        <w:tc>
          <w:tcPr>
            <w:tcW w:w="914" w:type="dxa"/>
            <w:tcBorders>
              <w:top w:val="nil"/>
              <w:left w:val="nil"/>
              <w:bottom w:val="single" w:color="auto" w:sz="4" w:space="0"/>
              <w:right w:val="single" w:color="auto" w:sz="4" w:space="0"/>
            </w:tcBorders>
            <w:noWrap/>
            <w:vAlign w:val="center"/>
          </w:tcPr>
          <w:p w14:paraId="1F5AFE1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0FECF1E2">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 xml:space="preserve">6 </w:t>
            </w:r>
          </w:p>
        </w:tc>
        <w:tc>
          <w:tcPr>
            <w:tcW w:w="1315" w:type="dxa"/>
            <w:tcBorders>
              <w:top w:val="nil"/>
              <w:left w:val="nil"/>
              <w:bottom w:val="single" w:color="auto" w:sz="4" w:space="0"/>
              <w:right w:val="single" w:color="auto" w:sz="4" w:space="0"/>
            </w:tcBorders>
            <w:noWrap/>
            <w:vAlign w:val="center"/>
          </w:tcPr>
          <w:p w14:paraId="747E43AF">
            <w:pPr>
              <w:adjustRightInd w:val="0"/>
              <w:snapToGrid w:val="0"/>
              <w:spacing w:line="500" w:lineRule="exact"/>
              <w:jc w:val="center"/>
              <w:rPr>
                <w:rFonts w:ascii="宋体" w:hAnsi="宋体" w:cs="仿宋"/>
                <w:color w:val="000000"/>
                <w:sz w:val="21"/>
                <w:szCs w:val="21"/>
              </w:rPr>
            </w:pPr>
          </w:p>
        </w:tc>
      </w:tr>
      <w:tr w14:paraId="15E796F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9F49D32">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84</w:t>
            </w:r>
          </w:p>
        </w:tc>
        <w:tc>
          <w:tcPr>
            <w:tcW w:w="3899" w:type="dxa"/>
            <w:tcBorders>
              <w:top w:val="nil"/>
              <w:left w:val="nil"/>
              <w:bottom w:val="single" w:color="auto" w:sz="4" w:space="0"/>
              <w:right w:val="single" w:color="auto" w:sz="4" w:space="0"/>
            </w:tcBorders>
            <w:noWrap/>
            <w:vAlign w:val="center"/>
          </w:tcPr>
          <w:p w14:paraId="5D9AAED3">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防烟前室正压送风机</w:t>
            </w:r>
          </w:p>
        </w:tc>
        <w:tc>
          <w:tcPr>
            <w:tcW w:w="914" w:type="dxa"/>
            <w:tcBorders>
              <w:top w:val="nil"/>
              <w:left w:val="nil"/>
              <w:bottom w:val="single" w:color="auto" w:sz="4" w:space="0"/>
              <w:right w:val="single" w:color="auto" w:sz="4" w:space="0"/>
            </w:tcBorders>
            <w:noWrap/>
            <w:vAlign w:val="center"/>
          </w:tcPr>
          <w:p w14:paraId="70137569">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51D1BA48">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127AEDC9">
            <w:pPr>
              <w:adjustRightInd w:val="0"/>
              <w:snapToGrid w:val="0"/>
              <w:spacing w:line="500" w:lineRule="exact"/>
              <w:jc w:val="center"/>
              <w:rPr>
                <w:rFonts w:ascii="宋体" w:hAnsi="宋体" w:cs="仿宋"/>
                <w:color w:val="000000"/>
                <w:sz w:val="21"/>
                <w:szCs w:val="21"/>
              </w:rPr>
            </w:pPr>
          </w:p>
        </w:tc>
      </w:tr>
      <w:tr w14:paraId="2456A59A">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A1D375D">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85</w:t>
            </w:r>
          </w:p>
        </w:tc>
        <w:tc>
          <w:tcPr>
            <w:tcW w:w="3899" w:type="dxa"/>
            <w:tcBorders>
              <w:top w:val="nil"/>
              <w:left w:val="nil"/>
              <w:bottom w:val="single" w:color="auto" w:sz="4" w:space="0"/>
              <w:right w:val="single" w:color="auto" w:sz="4" w:space="0"/>
            </w:tcBorders>
            <w:noWrap/>
            <w:vAlign w:val="center"/>
          </w:tcPr>
          <w:p w14:paraId="317CC43A">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防烟前室正压送风机</w:t>
            </w:r>
          </w:p>
        </w:tc>
        <w:tc>
          <w:tcPr>
            <w:tcW w:w="914" w:type="dxa"/>
            <w:tcBorders>
              <w:top w:val="nil"/>
              <w:left w:val="nil"/>
              <w:bottom w:val="single" w:color="auto" w:sz="4" w:space="0"/>
              <w:right w:val="single" w:color="auto" w:sz="4" w:space="0"/>
            </w:tcBorders>
            <w:noWrap/>
            <w:vAlign w:val="center"/>
          </w:tcPr>
          <w:p w14:paraId="4E6FBFA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34C86E7F">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7</w:t>
            </w:r>
          </w:p>
        </w:tc>
        <w:tc>
          <w:tcPr>
            <w:tcW w:w="1315" w:type="dxa"/>
            <w:tcBorders>
              <w:top w:val="nil"/>
              <w:left w:val="nil"/>
              <w:bottom w:val="single" w:color="auto" w:sz="4" w:space="0"/>
              <w:right w:val="single" w:color="auto" w:sz="4" w:space="0"/>
            </w:tcBorders>
            <w:noWrap/>
            <w:vAlign w:val="center"/>
          </w:tcPr>
          <w:p w14:paraId="7DC3F922">
            <w:pPr>
              <w:adjustRightInd w:val="0"/>
              <w:snapToGrid w:val="0"/>
              <w:spacing w:line="500" w:lineRule="exact"/>
              <w:jc w:val="center"/>
              <w:rPr>
                <w:rFonts w:ascii="宋体" w:hAnsi="宋体" w:cs="仿宋"/>
                <w:color w:val="000000"/>
                <w:sz w:val="21"/>
                <w:szCs w:val="21"/>
              </w:rPr>
            </w:pPr>
          </w:p>
        </w:tc>
      </w:tr>
      <w:tr w14:paraId="53178E2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7049ADC">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86</w:t>
            </w:r>
          </w:p>
        </w:tc>
        <w:tc>
          <w:tcPr>
            <w:tcW w:w="3899" w:type="dxa"/>
            <w:tcBorders>
              <w:top w:val="nil"/>
              <w:left w:val="nil"/>
              <w:bottom w:val="single" w:color="auto" w:sz="4" w:space="0"/>
              <w:right w:val="single" w:color="auto" w:sz="4" w:space="0"/>
            </w:tcBorders>
            <w:noWrap/>
            <w:vAlign w:val="center"/>
          </w:tcPr>
          <w:p w14:paraId="75C2CC66">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防烟前室正压送风机</w:t>
            </w:r>
          </w:p>
        </w:tc>
        <w:tc>
          <w:tcPr>
            <w:tcW w:w="914" w:type="dxa"/>
            <w:tcBorders>
              <w:top w:val="nil"/>
              <w:left w:val="nil"/>
              <w:bottom w:val="single" w:color="auto" w:sz="4" w:space="0"/>
              <w:right w:val="single" w:color="auto" w:sz="4" w:space="0"/>
            </w:tcBorders>
            <w:noWrap/>
            <w:vAlign w:val="center"/>
          </w:tcPr>
          <w:p w14:paraId="0B7924C6">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6B60727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4</w:t>
            </w:r>
          </w:p>
        </w:tc>
        <w:tc>
          <w:tcPr>
            <w:tcW w:w="1315" w:type="dxa"/>
            <w:tcBorders>
              <w:top w:val="nil"/>
              <w:left w:val="nil"/>
              <w:bottom w:val="single" w:color="auto" w:sz="4" w:space="0"/>
              <w:right w:val="single" w:color="auto" w:sz="4" w:space="0"/>
            </w:tcBorders>
            <w:noWrap/>
            <w:vAlign w:val="center"/>
          </w:tcPr>
          <w:p w14:paraId="35D22F7B">
            <w:pPr>
              <w:adjustRightInd w:val="0"/>
              <w:snapToGrid w:val="0"/>
              <w:spacing w:line="500" w:lineRule="exact"/>
              <w:jc w:val="center"/>
              <w:rPr>
                <w:rFonts w:ascii="宋体" w:hAnsi="宋体" w:cs="仿宋"/>
                <w:color w:val="000000"/>
                <w:sz w:val="21"/>
                <w:szCs w:val="21"/>
              </w:rPr>
            </w:pPr>
          </w:p>
        </w:tc>
      </w:tr>
      <w:tr w14:paraId="7067829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911FDF5">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87</w:t>
            </w:r>
          </w:p>
        </w:tc>
        <w:tc>
          <w:tcPr>
            <w:tcW w:w="3899" w:type="dxa"/>
            <w:tcBorders>
              <w:top w:val="nil"/>
              <w:left w:val="nil"/>
              <w:bottom w:val="single" w:color="auto" w:sz="4" w:space="0"/>
              <w:right w:val="single" w:color="auto" w:sz="4" w:space="0"/>
            </w:tcBorders>
            <w:noWrap/>
            <w:vAlign w:val="center"/>
          </w:tcPr>
          <w:p w14:paraId="558B2773">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低噪混流排烟风机</w:t>
            </w:r>
          </w:p>
        </w:tc>
        <w:tc>
          <w:tcPr>
            <w:tcW w:w="914" w:type="dxa"/>
            <w:tcBorders>
              <w:top w:val="nil"/>
              <w:left w:val="nil"/>
              <w:bottom w:val="single" w:color="auto" w:sz="4" w:space="0"/>
              <w:right w:val="single" w:color="auto" w:sz="4" w:space="0"/>
            </w:tcBorders>
            <w:noWrap/>
            <w:vAlign w:val="center"/>
          </w:tcPr>
          <w:p w14:paraId="7A0AFF14">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72A47AC5">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2E047630">
            <w:pPr>
              <w:adjustRightInd w:val="0"/>
              <w:snapToGrid w:val="0"/>
              <w:spacing w:line="500" w:lineRule="exact"/>
              <w:jc w:val="center"/>
              <w:rPr>
                <w:rFonts w:ascii="宋体" w:hAnsi="宋体" w:cs="仿宋"/>
                <w:color w:val="000000"/>
                <w:sz w:val="21"/>
                <w:szCs w:val="21"/>
              </w:rPr>
            </w:pPr>
          </w:p>
        </w:tc>
      </w:tr>
      <w:tr w14:paraId="532D117D">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197D85A">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88</w:t>
            </w:r>
          </w:p>
        </w:tc>
        <w:tc>
          <w:tcPr>
            <w:tcW w:w="3899" w:type="dxa"/>
            <w:tcBorders>
              <w:top w:val="nil"/>
              <w:left w:val="nil"/>
              <w:bottom w:val="single" w:color="auto" w:sz="4" w:space="0"/>
              <w:right w:val="single" w:color="auto" w:sz="4" w:space="0"/>
            </w:tcBorders>
            <w:noWrap/>
            <w:vAlign w:val="center"/>
          </w:tcPr>
          <w:p w14:paraId="77829628">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低噪混流排烟风机</w:t>
            </w:r>
          </w:p>
        </w:tc>
        <w:tc>
          <w:tcPr>
            <w:tcW w:w="914" w:type="dxa"/>
            <w:tcBorders>
              <w:top w:val="nil"/>
              <w:left w:val="nil"/>
              <w:bottom w:val="single" w:color="auto" w:sz="4" w:space="0"/>
              <w:right w:val="single" w:color="auto" w:sz="4" w:space="0"/>
            </w:tcBorders>
            <w:noWrap/>
            <w:vAlign w:val="center"/>
          </w:tcPr>
          <w:p w14:paraId="536DC4B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1F978D9F">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3</w:t>
            </w:r>
          </w:p>
        </w:tc>
        <w:tc>
          <w:tcPr>
            <w:tcW w:w="1315" w:type="dxa"/>
            <w:tcBorders>
              <w:top w:val="nil"/>
              <w:left w:val="nil"/>
              <w:bottom w:val="single" w:color="auto" w:sz="4" w:space="0"/>
              <w:right w:val="single" w:color="auto" w:sz="4" w:space="0"/>
            </w:tcBorders>
            <w:noWrap/>
            <w:vAlign w:val="center"/>
          </w:tcPr>
          <w:p w14:paraId="304C9AE4">
            <w:pPr>
              <w:adjustRightInd w:val="0"/>
              <w:snapToGrid w:val="0"/>
              <w:spacing w:line="500" w:lineRule="exact"/>
              <w:jc w:val="center"/>
              <w:rPr>
                <w:rFonts w:ascii="宋体" w:hAnsi="宋体" w:cs="仿宋"/>
                <w:color w:val="000000"/>
                <w:sz w:val="21"/>
                <w:szCs w:val="21"/>
              </w:rPr>
            </w:pPr>
          </w:p>
        </w:tc>
      </w:tr>
      <w:tr w14:paraId="67DFFAA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31967BC">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89</w:t>
            </w:r>
          </w:p>
        </w:tc>
        <w:tc>
          <w:tcPr>
            <w:tcW w:w="3899" w:type="dxa"/>
            <w:tcBorders>
              <w:top w:val="nil"/>
              <w:left w:val="nil"/>
              <w:bottom w:val="single" w:color="auto" w:sz="4" w:space="0"/>
              <w:right w:val="single" w:color="auto" w:sz="4" w:space="0"/>
            </w:tcBorders>
            <w:noWrap/>
            <w:vAlign w:val="center"/>
          </w:tcPr>
          <w:p w14:paraId="58165769">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低噪混流排烟风机</w:t>
            </w:r>
          </w:p>
        </w:tc>
        <w:tc>
          <w:tcPr>
            <w:tcW w:w="914" w:type="dxa"/>
            <w:tcBorders>
              <w:top w:val="nil"/>
              <w:left w:val="nil"/>
              <w:bottom w:val="single" w:color="auto" w:sz="4" w:space="0"/>
              <w:right w:val="single" w:color="auto" w:sz="4" w:space="0"/>
            </w:tcBorders>
            <w:noWrap/>
            <w:vAlign w:val="center"/>
          </w:tcPr>
          <w:p w14:paraId="510DC7B8">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0BA72D04">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4</w:t>
            </w:r>
          </w:p>
        </w:tc>
        <w:tc>
          <w:tcPr>
            <w:tcW w:w="1315" w:type="dxa"/>
            <w:tcBorders>
              <w:top w:val="nil"/>
              <w:left w:val="nil"/>
              <w:bottom w:val="single" w:color="auto" w:sz="4" w:space="0"/>
              <w:right w:val="single" w:color="auto" w:sz="4" w:space="0"/>
            </w:tcBorders>
            <w:noWrap/>
            <w:vAlign w:val="center"/>
          </w:tcPr>
          <w:p w14:paraId="5457AF64">
            <w:pPr>
              <w:adjustRightInd w:val="0"/>
              <w:snapToGrid w:val="0"/>
              <w:spacing w:line="500" w:lineRule="exact"/>
              <w:jc w:val="center"/>
              <w:rPr>
                <w:rFonts w:ascii="宋体" w:hAnsi="宋体" w:cs="仿宋"/>
                <w:color w:val="000000"/>
                <w:sz w:val="21"/>
                <w:szCs w:val="21"/>
              </w:rPr>
            </w:pPr>
          </w:p>
        </w:tc>
      </w:tr>
      <w:tr w14:paraId="260CADC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5C6619A">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90</w:t>
            </w:r>
          </w:p>
        </w:tc>
        <w:tc>
          <w:tcPr>
            <w:tcW w:w="3899" w:type="dxa"/>
            <w:tcBorders>
              <w:top w:val="nil"/>
              <w:left w:val="nil"/>
              <w:bottom w:val="single" w:color="auto" w:sz="4" w:space="0"/>
              <w:right w:val="single" w:color="auto" w:sz="4" w:space="0"/>
            </w:tcBorders>
            <w:noWrap/>
            <w:vAlign w:val="center"/>
          </w:tcPr>
          <w:p w14:paraId="4C1CF512">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低噪混流排烟风机</w:t>
            </w:r>
          </w:p>
        </w:tc>
        <w:tc>
          <w:tcPr>
            <w:tcW w:w="914" w:type="dxa"/>
            <w:tcBorders>
              <w:top w:val="nil"/>
              <w:left w:val="nil"/>
              <w:bottom w:val="single" w:color="auto" w:sz="4" w:space="0"/>
              <w:right w:val="single" w:color="auto" w:sz="4" w:space="0"/>
            </w:tcBorders>
            <w:noWrap/>
            <w:vAlign w:val="center"/>
          </w:tcPr>
          <w:p w14:paraId="37FECF65">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2E77159B">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3</w:t>
            </w:r>
          </w:p>
        </w:tc>
        <w:tc>
          <w:tcPr>
            <w:tcW w:w="1315" w:type="dxa"/>
            <w:tcBorders>
              <w:top w:val="nil"/>
              <w:left w:val="nil"/>
              <w:bottom w:val="single" w:color="auto" w:sz="4" w:space="0"/>
              <w:right w:val="single" w:color="auto" w:sz="4" w:space="0"/>
            </w:tcBorders>
            <w:noWrap/>
            <w:vAlign w:val="center"/>
          </w:tcPr>
          <w:p w14:paraId="649B0A99">
            <w:pPr>
              <w:adjustRightInd w:val="0"/>
              <w:snapToGrid w:val="0"/>
              <w:spacing w:line="500" w:lineRule="exact"/>
              <w:jc w:val="center"/>
              <w:rPr>
                <w:rFonts w:ascii="宋体" w:hAnsi="宋体" w:cs="仿宋"/>
                <w:color w:val="000000"/>
                <w:sz w:val="21"/>
                <w:szCs w:val="21"/>
              </w:rPr>
            </w:pPr>
          </w:p>
        </w:tc>
      </w:tr>
      <w:tr w14:paraId="269ED7B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E4FB394">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91</w:t>
            </w:r>
          </w:p>
        </w:tc>
        <w:tc>
          <w:tcPr>
            <w:tcW w:w="3899" w:type="dxa"/>
            <w:tcBorders>
              <w:top w:val="nil"/>
              <w:left w:val="nil"/>
              <w:bottom w:val="single" w:color="auto" w:sz="4" w:space="0"/>
              <w:right w:val="single" w:color="auto" w:sz="4" w:space="0"/>
            </w:tcBorders>
            <w:noWrap/>
            <w:vAlign w:val="center"/>
          </w:tcPr>
          <w:p w14:paraId="1EE805D2">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低噪混流排烟风机</w:t>
            </w:r>
          </w:p>
        </w:tc>
        <w:tc>
          <w:tcPr>
            <w:tcW w:w="914" w:type="dxa"/>
            <w:tcBorders>
              <w:top w:val="nil"/>
              <w:left w:val="nil"/>
              <w:bottom w:val="single" w:color="auto" w:sz="4" w:space="0"/>
              <w:right w:val="single" w:color="auto" w:sz="4" w:space="0"/>
            </w:tcBorders>
            <w:noWrap/>
            <w:vAlign w:val="center"/>
          </w:tcPr>
          <w:p w14:paraId="4EA7F4C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2F48FFEF">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5121EE4C">
            <w:pPr>
              <w:adjustRightInd w:val="0"/>
              <w:snapToGrid w:val="0"/>
              <w:spacing w:line="500" w:lineRule="exact"/>
              <w:jc w:val="center"/>
              <w:rPr>
                <w:rFonts w:ascii="宋体" w:hAnsi="宋体" w:cs="仿宋"/>
                <w:color w:val="000000"/>
                <w:sz w:val="21"/>
                <w:szCs w:val="21"/>
              </w:rPr>
            </w:pPr>
          </w:p>
        </w:tc>
      </w:tr>
      <w:tr w14:paraId="638E5A4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5632BCF">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92</w:t>
            </w:r>
          </w:p>
        </w:tc>
        <w:tc>
          <w:tcPr>
            <w:tcW w:w="3899" w:type="dxa"/>
            <w:tcBorders>
              <w:top w:val="nil"/>
              <w:left w:val="nil"/>
              <w:bottom w:val="single" w:color="auto" w:sz="4" w:space="0"/>
              <w:right w:val="single" w:color="auto" w:sz="4" w:space="0"/>
            </w:tcBorders>
            <w:noWrap/>
            <w:vAlign w:val="center"/>
          </w:tcPr>
          <w:p w14:paraId="291F9214">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低噪混流消防风机</w:t>
            </w:r>
          </w:p>
        </w:tc>
        <w:tc>
          <w:tcPr>
            <w:tcW w:w="914" w:type="dxa"/>
            <w:tcBorders>
              <w:top w:val="nil"/>
              <w:left w:val="nil"/>
              <w:bottom w:val="single" w:color="auto" w:sz="4" w:space="0"/>
              <w:right w:val="single" w:color="auto" w:sz="4" w:space="0"/>
            </w:tcBorders>
            <w:noWrap/>
            <w:vAlign w:val="center"/>
          </w:tcPr>
          <w:p w14:paraId="22953215">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0599492B">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4FD38BEF">
            <w:pPr>
              <w:adjustRightInd w:val="0"/>
              <w:snapToGrid w:val="0"/>
              <w:spacing w:line="500" w:lineRule="exact"/>
              <w:jc w:val="center"/>
              <w:rPr>
                <w:rFonts w:ascii="宋体" w:hAnsi="宋体" w:cs="仿宋"/>
                <w:color w:val="000000"/>
                <w:sz w:val="21"/>
                <w:szCs w:val="21"/>
              </w:rPr>
            </w:pPr>
          </w:p>
        </w:tc>
      </w:tr>
      <w:tr w14:paraId="1A28D886">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8AAF865">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93</w:t>
            </w:r>
          </w:p>
        </w:tc>
        <w:tc>
          <w:tcPr>
            <w:tcW w:w="3899" w:type="dxa"/>
            <w:tcBorders>
              <w:top w:val="nil"/>
              <w:left w:val="nil"/>
              <w:bottom w:val="single" w:color="auto" w:sz="4" w:space="0"/>
              <w:right w:val="single" w:color="auto" w:sz="4" w:space="0"/>
            </w:tcBorders>
            <w:noWrap/>
            <w:vAlign w:val="center"/>
          </w:tcPr>
          <w:p w14:paraId="0D93B269">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低噪混流消防风机</w:t>
            </w:r>
          </w:p>
        </w:tc>
        <w:tc>
          <w:tcPr>
            <w:tcW w:w="914" w:type="dxa"/>
            <w:tcBorders>
              <w:top w:val="nil"/>
              <w:left w:val="nil"/>
              <w:bottom w:val="single" w:color="auto" w:sz="4" w:space="0"/>
              <w:right w:val="single" w:color="auto" w:sz="4" w:space="0"/>
            </w:tcBorders>
            <w:noWrap/>
            <w:vAlign w:val="center"/>
          </w:tcPr>
          <w:p w14:paraId="4878370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0CF05204">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5</w:t>
            </w:r>
          </w:p>
        </w:tc>
        <w:tc>
          <w:tcPr>
            <w:tcW w:w="1315" w:type="dxa"/>
            <w:tcBorders>
              <w:top w:val="nil"/>
              <w:left w:val="nil"/>
              <w:bottom w:val="single" w:color="auto" w:sz="4" w:space="0"/>
              <w:right w:val="single" w:color="auto" w:sz="4" w:space="0"/>
            </w:tcBorders>
            <w:noWrap/>
            <w:vAlign w:val="center"/>
          </w:tcPr>
          <w:p w14:paraId="79BA049F">
            <w:pPr>
              <w:adjustRightInd w:val="0"/>
              <w:snapToGrid w:val="0"/>
              <w:spacing w:line="500" w:lineRule="exact"/>
              <w:jc w:val="center"/>
              <w:rPr>
                <w:rFonts w:ascii="宋体" w:hAnsi="宋体" w:cs="仿宋"/>
                <w:color w:val="000000"/>
                <w:sz w:val="21"/>
                <w:szCs w:val="21"/>
              </w:rPr>
            </w:pPr>
          </w:p>
        </w:tc>
      </w:tr>
      <w:tr w14:paraId="5EE61F9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047DAC8">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94</w:t>
            </w:r>
          </w:p>
        </w:tc>
        <w:tc>
          <w:tcPr>
            <w:tcW w:w="3899" w:type="dxa"/>
            <w:tcBorders>
              <w:top w:val="nil"/>
              <w:left w:val="nil"/>
              <w:bottom w:val="single" w:color="auto" w:sz="4" w:space="0"/>
              <w:right w:val="single" w:color="auto" w:sz="4" w:space="0"/>
            </w:tcBorders>
            <w:noWrap/>
            <w:vAlign w:val="center"/>
          </w:tcPr>
          <w:p w14:paraId="4B3A80F8">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低噪混流消防风机</w:t>
            </w:r>
          </w:p>
        </w:tc>
        <w:tc>
          <w:tcPr>
            <w:tcW w:w="914" w:type="dxa"/>
            <w:tcBorders>
              <w:top w:val="nil"/>
              <w:left w:val="nil"/>
              <w:bottom w:val="single" w:color="auto" w:sz="4" w:space="0"/>
              <w:right w:val="single" w:color="auto" w:sz="4" w:space="0"/>
            </w:tcBorders>
            <w:noWrap/>
            <w:vAlign w:val="center"/>
          </w:tcPr>
          <w:p w14:paraId="2B23DD7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3D1BA1B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4</w:t>
            </w:r>
          </w:p>
        </w:tc>
        <w:tc>
          <w:tcPr>
            <w:tcW w:w="1315" w:type="dxa"/>
            <w:tcBorders>
              <w:top w:val="nil"/>
              <w:left w:val="nil"/>
              <w:bottom w:val="single" w:color="auto" w:sz="4" w:space="0"/>
              <w:right w:val="single" w:color="auto" w:sz="4" w:space="0"/>
            </w:tcBorders>
            <w:noWrap/>
            <w:vAlign w:val="center"/>
          </w:tcPr>
          <w:p w14:paraId="03902042">
            <w:pPr>
              <w:adjustRightInd w:val="0"/>
              <w:snapToGrid w:val="0"/>
              <w:spacing w:line="500" w:lineRule="exact"/>
              <w:jc w:val="center"/>
              <w:rPr>
                <w:rFonts w:ascii="宋体" w:hAnsi="宋体" w:cs="仿宋"/>
                <w:color w:val="000000"/>
                <w:sz w:val="21"/>
                <w:szCs w:val="21"/>
              </w:rPr>
            </w:pPr>
          </w:p>
        </w:tc>
      </w:tr>
      <w:tr w14:paraId="4489D9E8">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741AC66">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95</w:t>
            </w:r>
          </w:p>
        </w:tc>
        <w:tc>
          <w:tcPr>
            <w:tcW w:w="3899" w:type="dxa"/>
            <w:tcBorders>
              <w:top w:val="nil"/>
              <w:left w:val="nil"/>
              <w:bottom w:val="single" w:color="auto" w:sz="4" w:space="0"/>
              <w:right w:val="single" w:color="auto" w:sz="4" w:space="0"/>
            </w:tcBorders>
            <w:noWrap/>
            <w:vAlign w:val="center"/>
          </w:tcPr>
          <w:p w14:paraId="55A6D1CA">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低噪混流消防风机</w:t>
            </w:r>
          </w:p>
        </w:tc>
        <w:tc>
          <w:tcPr>
            <w:tcW w:w="914" w:type="dxa"/>
            <w:tcBorders>
              <w:top w:val="nil"/>
              <w:left w:val="nil"/>
              <w:bottom w:val="single" w:color="auto" w:sz="4" w:space="0"/>
              <w:right w:val="single" w:color="auto" w:sz="4" w:space="0"/>
            </w:tcBorders>
            <w:noWrap/>
            <w:vAlign w:val="center"/>
          </w:tcPr>
          <w:p w14:paraId="25FF8FEF">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1FAA539F">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41340F02">
            <w:pPr>
              <w:adjustRightInd w:val="0"/>
              <w:snapToGrid w:val="0"/>
              <w:spacing w:line="500" w:lineRule="exact"/>
              <w:jc w:val="center"/>
              <w:rPr>
                <w:rFonts w:ascii="宋体" w:hAnsi="宋体" w:cs="仿宋"/>
                <w:color w:val="000000"/>
                <w:sz w:val="21"/>
                <w:szCs w:val="21"/>
              </w:rPr>
            </w:pPr>
          </w:p>
        </w:tc>
      </w:tr>
      <w:tr w14:paraId="549DA1C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27ABE80">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96</w:t>
            </w:r>
          </w:p>
        </w:tc>
        <w:tc>
          <w:tcPr>
            <w:tcW w:w="3899" w:type="dxa"/>
            <w:tcBorders>
              <w:top w:val="nil"/>
              <w:left w:val="nil"/>
              <w:bottom w:val="single" w:color="auto" w:sz="4" w:space="0"/>
              <w:right w:val="single" w:color="auto" w:sz="4" w:space="0"/>
            </w:tcBorders>
            <w:noWrap/>
            <w:vAlign w:val="center"/>
          </w:tcPr>
          <w:p w14:paraId="2BD77500">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低噪混流消防风机</w:t>
            </w:r>
          </w:p>
        </w:tc>
        <w:tc>
          <w:tcPr>
            <w:tcW w:w="914" w:type="dxa"/>
            <w:tcBorders>
              <w:top w:val="nil"/>
              <w:left w:val="nil"/>
              <w:bottom w:val="single" w:color="auto" w:sz="4" w:space="0"/>
              <w:right w:val="single" w:color="auto" w:sz="4" w:space="0"/>
            </w:tcBorders>
            <w:noWrap/>
            <w:vAlign w:val="center"/>
          </w:tcPr>
          <w:p w14:paraId="30D719CB">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106B4799">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3</w:t>
            </w:r>
          </w:p>
        </w:tc>
        <w:tc>
          <w:tcPr>
            <w:tcW w:w="1315" w:type="dxa"/>
            <w:tcBorders>
              <w:top w:val="nil"/>
              <w:left w:val="nil"/>
              <w:bottom w:val="single" w:color="auto" w:sz="4" w:space="0"/>
              <w:right w:val="single" w:color="auto" w:sz="4" w:space="0"/>
            </w:tcBorders>
            <w:noWrap/>
            <w:vAlign w:val="center"/>
          </w:tcPr>
          <w:p w14:paraId="011C35B4">
            <w:pPr>
              <w:adjustRightInd w:val="0"/>
              <w:snapToGrid w:val="0"/>
              <w:spacing w:line="500" w:lineRule="exact"/>
              <w:jc w:val="center"/>
              <w:rPr>
                <w:rFonts w:ascii="宋体" w:hAnsi="宋体" w:cs="仿宋"/>
                <w:color w:val="000000"/>
                <w:sz w:val="21"/>
                <w:szCs w:val="21"/>
              </w:rPr>
            </w:pPr>
          </w:p>
        </w:tc>
      </w:tr>
      <w:tr w14:paraId="281D18A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57DB420">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97</w:t>
            </w:r>
          </w:p>
        </w:tc>
        <w:tc>
          <w:tcPr>
            <w:tcW w:w="3899" w:type="dxa"/>
            <w:tcBorders>
              <w:top w:val="nil"/>
              <w:left w:val="nil"/>
              <w:bottom w:val="single" w:color="auto" w:sz="4" w:space="0"/>
              <w:right w:val="single" w:color="auto" w:sz="4" w:space="0"/>
            </w:tcBorders>
            <w:noWrap/>
            <w:vAlign w:val="center"/>
          </w:tcPr>
          <w:p w14:paraId="2C3F5884">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低噪混流消防风机</w:t>
            </w:r>
          </w:p>
        </w:tc>
        <w:tc>
          <w:tcPr>
            <w:tcW w:w="914" w:type="dxa"/>
            <w:tcBorders>
              <w:top w:val="nil"/>
              <w:left w:val="nil"/>
              <w:bottom w:val="single" w:color="auto" w:sz="4" w:space="0"/>
              <w:right w:val="single" w:color="auto" w:sz="4" w:space="0"/>
            </w:tcBorders>
            <w:noWrap/>
            <w:vAlign w:val="center"/>
          </w:tcPr>
          <w:p w14:paraId="09CC38E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35A7E18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2E96FF05">
            <w:pPr>
              <w:adjustRightInd w:val="0"/>
              <w:snapToGrid w:val="0"/>
              <w:spacing w:line="500" w:lineRule="exact"/>
              <w:jc w:val="center"/>
              <w:rPr>
                <w:rFonts w:ascii="宋体" w:hAnsi="宋体" w:cs="仿宋"/>
                <w:color w:val="000000"/>
                <w:sz w:val="21"/>
                <w:szCs w:val="21"/>
              </w:rPr>
            </w:pPr>
          </w:p>
        </w:tc>
      </w:tr>
      <w:tr w14:paraId="5117F32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6D7912B">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98</w:t>
            </w:r>
          </w:p>
        </w:tc>
        <w:tc>
          <w:tcPr>
            <w:tcW w:w="3899" w:type="dxa"/>
            <w:tcBorders>
              <w:top w:val="nil"/>
              <w:left w:val="nil"/>
              <w:bottom w:val="single" w:color="auto" w:sz="4" w:space="0"/>
              <w:right w:val="single" w:color="auto" w:sz="4" w:space="0"/>
            </w:tcBorders>
            <w:noWrap/>
            <w:vAlign w:val="center"/>
          </w:tcPr>
          <w:p w14:paraId="26357548">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低噪混流风机</w:t>
            </w:r>
          </w:p>
        </w:tc>
        <w:tc>
          <w:tcPr>
            <w:tcW w:w="914" w:type="dxa"/>
            <w:tcBorders>
              <w:top w:val="nil"/>
              <w:left w:val="nil"/>
              <w:bottom w:val="single" w:color="auto" w:sz="4" w:space="0"/>
              <w:right w:val="single" w:color="auto" w:sz="4" w:space="0"/>
            </w:tcBorders>
            <w:noWrap/>
            <w:vAlign w:val="center"/>
          </w:tcPr>
          <w:p w14:paraId="7CAA010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3FC1E49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60212946">
            <w:pPr>
              <w:adjustRightInd w:val="0"/>
              <w:snapToGrid w:val="0"/>
              <w:spacing w:line="500" w:lineRule="exact"/>
              <w:jc w:val="center"/>
              <w:rPr>
                <w:rFonts w:ascii="宋体" w:hAnsi="宋体" w:cs="仿宋"/>
                <w:color w:val="000000"/>
                <w:sz w:val="21"/>
                <w:szCs w:val="21"/>
              </w:rPr>
            </w:pPr>
          </w:p>
        </w:tc>
      </w:tr>
      <w:tr w14:paraId="2AA87988">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D26F091">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99</w:t>
            </w:r>
          </w:p>
        </w:tc>
        <w:tc>
          <w:tcPr>
            <w:tcW w:w="3899" w:type="dxa"/>
            <w:tcBorders>
              <w:top w:val="nil"/>
              <w:left w:val="nil"/>
              <w:bottom w:val="single" w:color="auto" w:sz="4" w:space="0"/>
              <w:right w:val="single" w:color="auto" w:sz="4" w:space="0"/>
            </w:tcBorders>
            <w:noWrap/>
            <w:vAlign w:val="center"/>
          </w:tcPr>
          <w:p w14:paraId="755CB3FC">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低噪混流风机</w:t>
            </w:r>
          </w:p>
        </w:tc>
        <w:tc>
          <w:tcPr>
            <w:tcW w:w="914" w:type="dxa"/>
            <w:tcBorders>
              <w:top w:val="nil"/>
              <w:left w:val="nil"/>
              <w:bottom w:val="single" w:color="auto" w:sz="4" w:space="0"/>
              <w:right w:val="single" w:color="auto" w:sz="4" w:space="0"/>
            </w:tcBorders>
            <w:noWrap/>
            <w:vAlign w:val="center"/>
          </w:tcPr>
          <w:p w14:paraId="407DF54F">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6266484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43A9E2DD">
            <w:pPr>
              <w:adjustRightInd w:val="0"/>
              <w:snapToGrid w:val="0"/>
              <w:spacing w:line="500" w:lineRule="exact"/>
              <w:jc w:val="center"/>
              <w:rPr>
                <w:rFonts w:ascii="宋体" w:hAnsi="宋体" w:cs="仿宋"/>
                <w:color w:val="000000"/>
                <w:sz w:val="21"/>
                <w:szCs w:val="21"/>
              </w:rPr>
            </w:pPr>
          </w:p>
        </w:tc>
      </w:tr>
      <w:tr w14:paraId="788B995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9C030EC">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100</w:t>
            </w:r>
          </w:p>
        </w:tc>
        <w:tc>
          <w:tcPr>
            <w:tcW w:w="3899" w:type="dxa"/>
            <w:tcBorders>
              <w:top w:val="nil"/>
              <w:left w:val="nil"/>
              <w:bottom w:val="single" w:color="auto" w:sz="4" w:space="0"/>
              <w:right w:val="single" w:color="auto" w:sz="4" w:space="0"/>
            </w:tcBorders>
            <w:noWrap/>
            <w:vAlign w:val="center"/>
          </w:tcPr>
          <w:p w14:paraId="3BBBC353">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低噪混流风机</w:t>
            </w:r>
          </w:p>
        </w:tc>
        <w:tc>
          <w:tcPr>
            <w:tcW w:w="914" w:type="dxa"/>
            <w:tcBorders>
              <w:top w:val="nil"/>
              <w:left w:val="nil"/>
              <w:bottom w:val="single" w:color="auto" w:sz="4" w:space="0"/>
              <w:right w:val="single" w:color="auto" w:sz="4" w:space="0"/>
            </w:tcBorders>
            <w:noWrap/>
            <w:vAlign w:val="center"/>
          </w:tcPr>
          <w:p w14:paraId="4DF3FEA8">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664E49F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3B3422EE">
            <w:pPr>
              <w:adjustRightInd w:val="0"/>
              <w:snapToGrid w:val="0"/>
              <w:spacing w:line="500" w:lineRule="exact"/>
              <w:jc w:val="center"/>
              <w:rPr>
                <w:rFonts w:ascii="宋体" w:hAnsi="宋体" w:cs="仿宋"/>
                <w:color w:val="000000"/>
                <w:sz w:val="21"/>
                <w:szCs w:val="21"/>
              </w:rPr>
            </w:pPr>
          </w:p>
        </w:tc>
      </w:tr>
      <w:tr w14:paraId="4811520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9D02E99">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101</w:t>
            </w:r>
          </w:p>
        </w:tc>
        <w:tc>
          <w:tcPr>
            <w:tcW w:w="3899" w:type="dxa"/>
            <w:tcBorders>
              <w:top w:val="nil"/>
              <w:left w:val="nil"/>
              <w:bottom w:val="single" w:color="auto" w:sz="4" w:space="0"/>
              <w:right w:val="single" w:color="auto" w:sz="4" w:space="0"/>
            </w:tcBorders>
            <w:noWrap/>
            <w:vAlign w:val="center"/>
          </w:tcPr>
          <w:p w14:paraId="260E9171">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低噪混流风机</w:t>
            </w:r>
          </w:p>
        </w:tc>
        <w:tc>
          <w:tcPr>
            <w:tcW w:w="914" w:type="dxa"/>
            <w:tcBorders>
              <w:top w:val="nil"/>
              <w:left w:val="nil"/>
              <w:bottom w:val="single" w:color="auto" w:sz="4" w:space="0"/>
              <w:right w:val="single" w:color="auto" w:sz="4" w:space="0"/>
            </w:tcBorders>
            <w:noWrap/>
            <w:vAlign w:val="center"/>
          </w:tcPr>
          <w:p w14:paraId="038E3F1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53CFD86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7506EF83">
            <w:pPr>
              <w:adjustRightInd w:val="0"/>
              <w:snapToGrid w:val="0"/>
              <w:spacing w:line="500" w:lineRule="exact"/>
              <w:jc w:val="center"/>
              <w:rPr>
                <w:rFonts w:ascii="宋体" w:hAnsi="宋体" w:cs="仿宋"/>
                <w:color w:val="000000"/>
                <w:sz w:val="21"/>
                <w:szCs w:val="21"/>
              </w:rPr>
            </w:pPr>
          </w:p>
        </w:tc>
      </w:tr>
      <w:tr w14:paraId="26996C4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D0B3234">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102</w:t>
            </w:r>
          </w:p>
        </w:tc>
        <w:tc>
          <w:tcPr>
            <w:tcW w:w="3899" w:type="dxa"/>
            <w:tcBorders>
              <w:top w:val="nil"/>
              <w:left w:val="nil"/>
              <w:bottom w:val="single" w:color="auto" w:sz="4" w:space="0"/>
              <w:right w:val="single" w:color="auto" w:sz="4" w:space="0"/>
            </w:tcBorders>
            <w:noWrap/>
            <w:vAlign w:val="center"/>
          </w:tcPr>
          <w:p w14:paraId="7AA131EE">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剧场火灾补风风机</w:t>
            </w:r>
          </w:p>
        </w:tc>
        <w:tc>
          <w:tcPr>
            <w:tcW w:w="914" w:type="dxa"/>
            <w:tcBorders>
              <w:top w:val="nil"/>
              <w:left w:val="nil"/>
              <w:bottom w:val="single" w:color="auto" w:sz="4" w:space="0"/>
              <w:right w:val="single" w:color="auto" w:sz="4" w:space="0"/>
            </w:tcBorders>
            <w:noWrap/>
            <w:vAlign w:val="center"/>
          </w:tcPr>
          <w:p w14:paraId="5ADED482">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778C26A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023152AD">
            <w:pPr>
              <w:adjustRightInd w:val="0"/>
              <w:snapToGrid w:val="0"/>
              <w:spacing w:line="500" w:lineRule="exact"/>
              <w:jc w:val="center"/>
              <w:rPr>
                <w:rFonts w:ascii="宋体" w:hAnsi="宋体" w:cs="仿宋"/>
                <w:color w:val="000000"/>
                <w:sz w:val="21"/>
                <w:szCs w:val="21"/>
              </w:rPr>
            </w:pPr>
          </w:p>
        </w:tc>
      </w:tr>
      <w:tr w14:paraId="5BBBD696">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1197763">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103</w:t>
            </w:r>
          </w:p>
        </w:tc>
        <w:tc>
          <w:tcPr>
            <w:tcW w:w="3899" w:type="dxa"/>
            <w:tcBorders>
              <w:top w:val="nil"/>
              <w:left w:val="nil"/>
              <w:bottom w:val="single" w:color="auto" w:sz="4" w:space="0"/>
              <w:right w:val="single" w:color="auto" w:sz="4" w:space="0"/>
            </w:tcBorders>
            <w:noWrap/>
            <w:vAlign w:val="center"/>
          </w:tcPr>
          <w:p w14:paraId="12C8961C">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低噪混流排烟风机</w:t>
            </w:r>
          </w:p>
        </w:tc>
        <w:tc>
          <w:tcPr>
            <w:tcW w:w="914" w:type="dxa"/>
            <w:tcBorders>
              <w:top w:val="nil"/>
              <w:left w:val="nil"/>
              <w:bottom w:val="single" w:color="auto" w:sz="4" w:space="0"/>
              <w:right w:val="single" w:color="auto" w:sz="4" w:space="0"/>
            </w:tcBorders>
            <w:noWrap/>
            <w:vAlign w:val="center"/>
          </w:tcPr>
          <w:p w14:paraId="48554E50">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01CD2B64">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71C6E05F">
            <w:pPr>
              <w:adjustRightInd w:val="0"/>
              <w:snapToGrid w:val="0"/>
              <w:spacing w:line="500" w:lineRule="exact"/>
              <w:jc w:val="center"/>
              <w:rPr>
                <w:rFonts w:ascii="宋体" w:hAnsi="宋体" w:cs="仿宋"/>
                <w:color w:val="000000"/>
                <w:sz w:val="21"/>
                <w:szCs w:val="21"/>
              </w:rPr>
            </w:pPr>
          </w:p>
        </w:tc>
      </w:tr>
      <w:tr w14:paraId="694E175A">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4BCA768">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104</w:t>
            </w:r>
          </w:p>
        </w:tc>
        <w:tc>
          <w:tcPr>
            <w:tcW w:w="3899" w:type="dxa"/>
            <w:tcBorders>
              <w:top w:val="nil"/>
              <w:left w:val="nil"/>
              <w:bottom w:val="single" w:color="auto" w:sz="4" w:space="0"/>
              <w:right w:val="single" w:color="auto" w:sz="4" w:space="0"/>
            </w:tcBorders>
            <w:noWrap/>
            <w:vAlign w:val="center"/>
          </w:tcPr>
          <w:p w14:paraId="67D93AD3">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低噪混流排烟风机</w:t>
            </w:r>
          </w:p>
        </w:tc>
        <w:tc>
          <w:tcPr>
            <w:tcW w:w="914" w:type="dxa"/>
            <w:tcBorders>
              <w:top w:val="nil"/>
              <w:left w:val="nil"/>
              <w:bottom w:val="single" w:color="auto" w:sz="4" w:space="0"/>
              <w:right w:val="single" w:color="auto" w:sz="4" w:space="0"/>
            </w:tcBorders>
            <w:noWrap/>
            <w:vAlign w:val="center"/>
          </w:tcPr>
          <w:p w14:paraId="5ACE1F4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1B29406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7B086F92">
            <w:pPr>
              <w:adjustRightInd w:val="0"/>
              <w:snapToGrid w:val="0"/>
              <w:spacing w:line="500" w:lineRule="exact"/>
              <w:jc w:val="center"/>
              <w:rPr>
                <w:rFonts w:ascii="宋体" w:hAnsi="宋体" w:cs="仿宋"/>
                <w:color w:val="000000"/>
                <w:sz w:val="21"/>
                <w:szCs w:val="21"/>
              </w:rPr>
            </w:pPr>
          </w:p>
        </w:tc>
      </w:tr>
      <w:tr w14:paraId="5B9FC57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D78A538">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105</w:t>
            </w:r>
          </w:p>
        </w:tc>
        <w:tc>
          <w:tcPr>
            <w:tcW w:w="3899" w:type="dxa"/>
            <w:tcBorders>
              <w:top w:val="nil"/>
              <w:left w:val="nil"/>
              <w:bottom w:val="single" w:color="auto" w:sz="4" w:space="0"/>
              <w:right w:val="single" w:color="auto" w:sz="4" w:space="0"/>
            </w:tcBorders>
            <w:noWrap/>
            <w:vAlign w:val="center"/>
          </w:tcPr>
          <w:p w14:paraId="2D7A1DC5">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壁式通风器</w:t>
            </w:r>
          </w:p>
        </w:tc>
        <w:tc>
          <w:tcPr>
            <w:tcW w:w="914" w:type="dxa"/>
            <w:tcBorders>
              <w:top w:val="nil"/>
              <w:left w:val="nil"/>
              <w:bottom w:val="single" w:color="auto" w:sz="4" w:space="0"/>
              <w:right w:val="single" w:color="auto" w:sz="4" w:space="0"/>
            </w:tcBorders>
            <w:noWrap/>
            <w:vAlign w:val="center"/>
          </w:tcPr>
          <w:p w14:paraId="5524F30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6E0C4C16">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5</w:t>
            </w:r>
          </w:p>
        </w:tc>
        <w:tc>
          <w:tcPr>
            <w:tcW w:w="1315" w:type="dxa"/>
            <w:tcBorders>
              <w:top w:val="nil"/>
              <w:left w:val="nil"/>
              <w:bottom w:val="single" w:color="auto" w:sz="4" w:space="0"/>
              <w:right w:val="single" w:color="auto" w:sz="4" w:space="0"/>
            </w:tcBorders>
            <w:noWrap/>
            <w:vAlign w:val="center"/>
          </w:tcPr>
          <w:p w14:paraId="08A4EAFE">
            <w:pPr>
              <w:adjustRightInd w:val="0"/>
              <w:snapToGrid w:val="0"/>
              <w:spacing w:line="500" w:lineRule="exact"/>
              <w:jc w:val="center"/>
              <w:rPr>
                <w:rFonts w:ascii="宋体" w:hAnsi="宋体" w:cs="仿宋"/>
                <w:color w:val="000000"/>
                <w:sz w:val="21"/>
                <w:szCs w:val="21"/>
              </w:rPr>
            </w:pPr>
          </w:p>
        </w:tc>
      </w:tr>
      <w:tr w14:paraId="01849AF6">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6185BA2">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106</w:t>
            </w:r>
          </w:p>
        </w:tc>
        <w:tc>
          <w:tcPr>
            <w:tcW w:w="3899" w:type="dxa"/>
            <w:tcBorders>
              <w:top w:val="nil"/>
              <w:left w:val="nil"/>
              <w:bottom w:val="single" w:color="auto" w:sz="4" w:space="0"/>
              <w:right w:val="single" w:color="auto" w:sz="4" w:space="0"/>
            </w:tcBorders>
            <w:noWrap/>
            <w:vAlign w:val="center"/>
          </w:tcPr>
          <w:p w14:paraId="21697E8D">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挡烟垂壁</w:t>
            </w:r>
          </w:p>
        </w:tc>
        <w:tc>
          <w:tcPr>
            <w:tcW w:w="914" w:type="dxa"/>
            <w:tcBorders>
              <w:top w:val="nil"/>
              <w:left w:val="nil"/>
              <w:bottom w:val="single" w:color="auto" w:sz="4" w:space="0"/>
              <w:right w:val="single" w:color="auto" w:sz="4" w:space="0"/>
            </w:tcBorders>
            <w:noWrap/>
            <w:vAlign w:val="center"/>
          </w:tcPr>
          <w:p w14:paraId="7E5A8BD2">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116" w:type="dxa"/>
            <w:tcBorders>
              <w:top w:val="nil"/>
              <w:left w:val="nil"/>
              <w:bottom w:val="single" w:color="auto" w:sz="4" w:space="0"/>
              <w:right w:val="single" w:color="auto" w:sz="4" w:space="0"/>
            </w:tcBorders>
            <w:noWrap/>
            <w:vAlign w:val="center"/>
          </w:tcPr>
          <w:p w14:paraId="02626A6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211</w:t>
            </w:r>
          </w:p>
        </w:tc>
        <w:tc>
          <w:tcPr>
            <w:tcW w:w="1315" w:type="dxa"/>
            <w:tcBorders>
              <w:top w:val="nil"/>
              <w:left w:val="nil"/>
              <w:bottom w:val="single" w:color="auto" w:sz="4" w:space="0"/>
              <w:right w:val="single" w:color="auto" w:sz="4" w:space="0"/>
            </w:tcBorders>
            <w:noWrap/>
            <w:vAlign w:val="center"/>
          </w:tcPr>
          <w:p w14:paraId="755A63A4">
            <w:pPr>
              <w:adjustRightInd w:val="0"/>
              <w:snapToGrid w:val="0"/>
              <w:spacing w:line="500" w:lineRule="exact"/>
              <w:jc w:val="center"/>
              <w:rPr>
                <w:rFonts w:ascii="宋体" w:hAnsi="宋体" w:cs="仿宋"/>
                <w:color w:val="000000"/>
                <w:sz w:val="21"/>
                <w:szCs w:val="21"/>
              </w:rPr>
            </w:pPr>
          </w:p>
        </w:tc>
      </w:tr>
      <w:tr w14:paraId="59B79BC0">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0309B65">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107</w:t>
            </w:r>
          </w:p>
        </w:tc>
        <w:tc>
          <w:tcPr>
            <w:tcW w:w="3899" w:type="dxa"/>
            <w:tcBorders>
              <w:top w:val="nil"/>
              <w:left w:val="nil"/>
              <w:bottom w:val="single" w:color="auto" w:sz="4" w:space="0"/>
              <w:right w:val="single" w:color="auto" w:sz="4" w:space="0"/>
            </w:tcBorders>
            <w:noWrap/>
            <w:vAlign w:val="center"/>
          </w:tcPr>
          <w:p w14:paraId="4BCDACFA">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低噪声节能混流风机</w:t>
            </w:r>
          </w:p>
        </w:tc>
        <w:tc>
          <w:tcPr>
            <w:tcW w:w="914" w:type="dxa"/>
            <w:tcBorders>
              <w:top w:val="nil"/>
              <w:left w:val="nil"/>
              <w:bottom w:val="single" w:color="auto" w:sz="4" w:space="0"/>
              <w:right w:val="single" w:color="auto" w:sz="4" w:space="0"/>
            </w:tcBorders>
            <w:noWrap/>
            <w:vAlign w:val="center"/>
          </w:tcPr>
          <w:p w14:paraId="424190D2">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5B28194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1205B5F0">
            <w:pPr>
              <w:adjustRightInd w:val="0"/>
              <w:snapToGrid w:val="0"/>
              <w:spacing w:line="500" w:lineRule="exact"/>
              <w:jc w:val="center"/>
              <w:rPr>
                <w:rFonts w:ascii="宋体" w:hAnsi="宋体" w:cs="仿宋"/>
                <w:color w:val="000000"/>
                <w:sz w:val="21"/>
                <w:szCs w:val="21"/>
              </w:rPr>
            </w:pPr>
          </w:p>
        </w:tc>
      </w:tr>
      <w:tr w14:paraId="0D74E094">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7A6E31A">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108</w:t>
            </w:r>
          </w:p>
        </w:tc>
        <w:tc>
          <w:tcPr>
            <w:tcW w:w="3899" w:type="dxa"/>
            <w:tcBorders>
              <w:top w:val="nil"/>
              <w:left w:val="nil"/>
              <w:bottom w:val="single" w:color="auto" w:sz="4" w:space="0"/>
              <w:right w:val="single" w:color="auto" w:sz="4" w:space="0"/>
            </w:tcBorders>
            <w:noWrap/>
            <w:vAlign w:val="center"/>
          </w:tcPr>
          <w:p w14:paraId="10FE355C">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室内消火栓系统给水泵</w:t>
            </w:r>
          </w:p>
        </w:tc>
        <w:tc>
          <w:tcPr>
            <w:tcW w:w="914" w:type="dxa"/>
            <w:tcBorders>
              <w:top w:val="nil"/>
              <w:left w:val="nil"/>
              <w:bottom w:val="single" w:color="auto" w:sz="4" w:space="0"/>
              <w:right w:val="single" w:color="auto" w:sz="4" w:space="0"/>
            </w:tcBorders>
            <w:noWrap/>
            <w:vAlign w:val="center"/>
          </w:tcPr>
          <w:p w14:paraId="3E0BFAA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13E57A15">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3AD52CCC">
            <w:pPr>
              <w:adjustRightInd w:val="0"/>
              <w:snapToGrid w:val="0"/>
              <w:spacing w:line="500" w:lineRule="exact"/>
              <w:jc w:val="center"/>
              <w:rPr>
                <w:rFonts w:ascii="宋体" w:hAnsi="宋体" w:cs="仿宋"/>
                <w:color w:val="000000"/>
                <w:sz w:val="21"/>
                <w:szCs w:val="21"/>
              </w:rPr>
            </w:pPr>
          </w:p>
        </w:tc>
      </w:tr>
      <w:tr w14:paraId="1E8FD5F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FE3BD7A">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109</w:t>
            </w:r>
          </w:p>
        </w:tc>
        <w:tc>
          <w:tcPr>
            <w:tcW w:w="3899" w:type="dxa"/>
            <w:tcBorders>
              <w:top w:val="nil"/>
              <w:left w:val="nil"/>
              <w:bottom w:val="single" w:color="auto" w:sz="4" w:space="0"/>
              <w:right w:val="single" w:color="auto" w:sz="4" w:space="0"/>
            </w:tcBorders>
            <w:noWrap/>
            <w:vAlign w:val="center"/>
          </w:tcPr>
          <w:p w14:paraId="7959669A">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配套控制柜</w:t>
            </w:r>
          </w:p>
        </w:tc>
        <w:tc>
          <w:tcPr>
            <w:tcW w:w="914" w:type="dxa"/>
            <w:tcBorders>
              <w:top w:val="nil"/>
              <w:left w:val="nil"/>
              <w:bottom w:val="single" w:color="auto" w:sz="4" w:space="0"/>
              <w:right w:val="single" w:color="auto" w:sz="4" w:space="0"/>
            </w:tcBorders>
            <w:noWrap/>
            <w:vAlign w:val="center"/>
          </w:tcPr>
          <w:p w14:paraId="55D3B90E">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25048BF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3124C8E1">
            <w:pPr>
              <w:adjustRightInd w:val="0"/>
              <w:snapToGrid w:val="0"/>
              <w:spacing w:line="500" w:lineRule="exact"/>
              <w:jc w:val="center"/>
              <w:rPr>
                <w:rFonts w:ascii="宋体" w:hAnsi="宋体" w:cs="仿宋"/>
                <w:color w:val="000000"/>
                <w:sz w:val="21"/>
                <w:szCs w:val="21"/>
              </w:rPr>
            </w:pPr>
          </w:p>
        </w:tc>
      </w:tr>
      <w:tr w14:paraId="5D0946D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CCFB9AF">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110</w:t>
            </w:r>
          </w:p>
        </w:tc>
        <w:tc>
          <w:tcPr>
            <w:tcW w:w="3899" w:type="dxa"/>
            <w:tcBorders>
              <w:top w:val="nil"/>
              <w:left w:val="nil"/>
              <w:bottom w:val="single" w:color="auto" w:sz="4" w:space="0"/>
              <w:right w:val="single" w:color="auto" w:sz="4" w:space="0"/>
            </w:tcBorders>
            <w:noWrap/>
            <w:vAlign w:val="center"/>
          </w:tcPr>
          <w:p w14:paraId="662436FA">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双电源柜</w:t>
            </w:r>
          </w:p>
        </w:tc>
        <w:tc>
          <w:tcPr>
            <w:tcW w:w="914" w:type="dxa"/>
            <w:tcBorders>
              <w:top w:val="nil"/>
              <w:left w:val="nil"/>
              <w:bottom w:val="single" w:color="auto" w:sz="4" w:space="0"/>
              <w:right w:val="single" w:color="auto" w:sz="4" w:space="0"/>
            </w:tcBorders>
            <w:noWrap/>
            <w:vAlign w:val="center"/>
          </w:tcPr>
          <w:p w14:paraId="49149ABA">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61C65592">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24C5CE65">
            <w:pPr>
              <w:adjustRightInd w:val="0"/>
              <w:snapToGrid w:val="0"/>
              <w:spacing w:line="500" w:lineRule="exact"/>
              <w:jc w:val="center"/>
              <w:rPr>
                <w:rFonts w:ascii="宋体" w:hAnsi="宋体" w:cs="仿宋"/>
                <w:color w:val="000000"/>
                <w:sz w:val="21"/>
                <w:szCs w:val="21"/>
              </w:rPr>
            </w:pPr>
          </w:p>
        </w:tc>
      </w:tr>
      <w:tr w14:paraId="7D5BB96A">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FE06C35">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111</w:t>
            </w:r>
          </w:p>
        </w:tc>
        <w:tc>
          <w:tcPr>
            <w:tcW w:w="3899" w:type="dxa"/>
            <w:tcBorders>
              <w:top w:val="nil"/>
              <w:left w:val="nil"/>
              <w:bottom w:val="single" w:color="auto" w:sz="4" w:space="0"/>
              <w:right w:val="single" w:color="auto" w:sz="4" w:space="0"/>
            </w:tcBorders>
            <w:noWrap/>
            <w:vAlign w:val="center"/>
          </w:tcPr>
          <w:p w14:paraId="101AF886">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应急启动柜</w:t>
            </w:r>
          </w:p>
        </w:tc>
        <w:tc>
          <w:tcPr>
            <w:tcW w:w="914" w:type="dxa"/>
            <w:tcBorders>
              <w:top w:val="nil"/>
              <w:left w:val="nil"/>
              <w:bottom w:val="single" w:color="auto" w:sz="4" w:space="0"/>
              <w:right w:val="single" w:color="auto" w:sz="4" w:space="0"/>
            </w:tcBorders>
            <w:noWrap/>
            <w:vAlign w:val="center"/>
          </w:tcPr>
          <w:p w14:paraId="453DC9A6">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442CE456">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7CF274FD">
            <w:pPr>
              <w:adjustRightInd w:val="0"/>
              <w:snapToGrid w:val="0"/>
              <w:spacing w:line="500" w:lineRule="exact"/>
              <w:jc w:val="center"/>
              <w:rPr>
                <w:rFonts w:ascii="宋体" w:hAnsi="宋体" w:cs="仿宋"/>
                <w:color w:val="000000"/>
                <w:sz w:val="21"/>
                <w:szCs w:val="21"/>
              </w:rPr>
            </w:pPr>
          </w:p>
        </w:tc>
      </w:tr>
      <w:tr w14:paraId="347DE0F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42E9E66">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112</w:t>
            </w:r>
          </w:p>
        </w:tc>
        <w:tc>
          <w:tcPr>
            <w:tcW w:w="3899" w:type="dxa"/>
            <w:tcBorders>
              <w:top w:val="nil"/>
              <w:left w:val="nil"/>
              <w:bottom w:val="single" w:color="auto" w:sz="4" w:space="0"/>
              <w:right w:val="single" w:color="auto" w:sz="4" w:space="0"/>
            </w:tcBorders>
            <w:noWrap/>
            <w:vAlign w:val="center"/>
          </w:tcPr>
          <w:p w14:paraId="44A9D2F7">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自动喷淋系统给水泵</w:t>
            </w:r>
          </w:p>
        </w:tc>
        <w:tc>
          <w:tcPr>
            <w:tcW w:w="914" w:type="dxa"/>
            <w:tcBorders>
              <w:top w:val="nil"/>
              <w:left w:val="nil"/>
              <w:bottom w:val="single" w:color="auto" w:sz="4" w:space="0"/>
              <w:right w:val="single" w:color="auto" w:sz="4" w:space="0"/>
            </w:tcBorders>
            <w:noWrap/>
            <w:vAlign w:val="center"/>
          </w:tcPr>
          <w:p w14:paraId="6A45463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028665F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498C3E6C">
            <w:pPr>
              <w:adjustRightInd w:val="0"/>
              <w:snapToGrid w:val="0"/>
              <w:spacing w:line="500" w:lineRule="exact"/>
              <w:jc w:val="center"/>
              <w:rPr>
                <w:rFonts w:ascii="宋体" w:hAnsi="宋体" w:cs="仿宋"/>
                <w:color w:val="000000"/>
                <w:sz w:val="21"/>
                <w:szCs w:val="21"/>
              </w:rPr>
            </w:pPr>
          </w:p>
        </w:tc>
      </w:tr>
      <w:tr w14:paraId="62B05E7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4C64677">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113</w:t>
            </w:r>
          </w:p>
        </w:tc>
        <w:tc>
          <w:tcPr>
            <w:tcW w:w="3899" w:type="dxa"/>
            <w:tcBorders>
              <w:top w:val="nil"/>
              <w:left w:val="nil"/>
              <w:bottom w:val="single" w:color="auto" w:sz="4" w:space="0"/>
              <w:right w:val="single" w:color="auto" w:sz="4" w:space="0"/>
            </w:tcBorders>
            <w:noWrap/>
            <w:vAlign w:val="center"/>
          </w:tcPr>
          <w:p w14:paraId="1EBE3698">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配套控制柜</w:t>
            </w:r>
          </w:p>
        </w:tc>
        <w:tc>
          <w:tcPr>
            <w:tcW w:w="914" w:type="dxa"/>
            <w:tcBorders>
              <w:top w:val="nil"/>
              <w:left w:val="nil"/>
              <w:bottom w:val="single" w:color="auto" w:sz="4" w:space="0"/>
              <w:right w:val="single" w:color="auto" w:sz="4" w:space="0"/>
            </w:tcBorders>
            <w:noWrap/>
            <w:vAlign w:val="center"/>
          </w:tcPr>
          <w:p w14:paraId="64A3E408">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567D7A0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6D029195">
            <w:pPr>
              <w:adjustRightInd w:val="0"/>
              <w:snapToGrid w:val="0"/>
              <w:spacing w:line="500" w:lineRule="exact"/>
              <w:jc w:val="center"/>
              <w:rPr>
                <w:rFonts w:ascii="宋体" w:hAnsi="宋体" w:cs="仿宋"/>
                <w:color w:val="000000"/>
                <w:sz w:val="21"/>
                <w:szCs w:val="21"/>
              </w:rPr>
            </w:pPr>
          </w:p>
        </w:tc>
      </w:tr>
      <w:tr w14:paraId="7AAB02E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AF9F4FF">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114</w:t>
            </w:r>
          </w:p>
        </w:tc>
        <w:tc>
          <w:tcPr>
            <w:tcW w:w="3899" w:type="dxa"/>
            <w:tcBorders>
              <w:top w:val="nil"/>
              <w:left w:val="nil"/>
              <w:bottom w:val="single" w:color="auto" w:sz="4" w:space="0"/>
              <w:right w:val="single" w:color="auto" w:sz="4" w:space="0"/>
            </w:tcBorders>
            <w:noWrap/>
            <w:vAlign w:val="center"/>
          </w:tcPr>
          <w:p w14:paraId="54F1DA6E">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双电源柜</w:t>
            </w:r>
          </w:p>
        </w:tc>
        <w:tc>
          <w:tcPr>
            <w:tcW w:w="914" w:type="dxa"/>
            <w:tcBorders>
              <w:top w:val="nil"/>
              <w:left w:val="nil"/>
              <w:bottom w:val="single" w:color="auto" w:sz="4" w:space="0"/>
              <w:right w:val="single" w:color="auto" w:sz="4" w:space="0"/>
            </w:tcBorders>
            <w:noWrap/>
            <w:vAlign w:val="center"/>
          </w:tcPr>
          <w:p w14:paraId="6AC0204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5889BC0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1D4CBC7F">
            <w:pPr>
              <w:adjustRightInd w:val="0"/>
              <w:snapToGrid w:val="0"/>
              <w:spacing w:line="500" w:lineRule="exact"/>
              <w:jc w:val="center"/>
              <w:rPr>
                <w:rFonts w:ascii="宋体" w:hAnsi="宋体" w:cs="仿宋"/>
                <w:color w:val="000000"/>
                <w:sz w:val="21"/>
                <w:szCs w:val="21"/>
              </w:rPr>
            </w:pPr>
          </w:p>
        </w:tc>
      </w:tr>
      <w:tr w14:paraId="461DC14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D9AD608">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115</w:t>
            </w:r>
          </w:p>
        </w:tc>
        <w:tc>
          <w:tcPr>
            <w:tcW w:w="3899" w:type="dxa"/>
            <w:tcBorders>
              <w:top w:val="nil"/>
              <w:left w:val="nil"/>
              <w:bottom w:val="single" w:color="auto" w:sz="4" w:space="0"/>
              <w:right w:val="single" w:color="auto" w:sz="4" w:space="0"/>
            </w:tcBorders>
            <w:noWrap/>
            <w:vAlign w:val="center"/>
          </w:tcPr>
          <w:p w14:paraId="03ABF0D2">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应急启动柜</w:t>
            </w:r>
          </w:p>
        </w:tc>
        <w:tc>
          <w:tcPr>
            <w:tcW w:w="914" w:type="dxa"/>
            <w:tcBorders>
              <w:top w:val="nil"/>
              <w:left w:val="nil"/>
              <w:bottom w:val="single" w:color="auto" w:sz="4" w:space="0"/>
              <w:right w:val="single" w:color="auto" w:sz="4" w:space="0"/>
            </w:tcBorders>
            <w:noWrap/>
            <w:vAlign w:val="center"/>
          </w:tcPr>
          <w:p w14:paraId="37B2F4F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71D0B65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3781F23C">
            <w:pPr>
              <w:adjustRightInd w:val="0"/>
              <w:snapToGrid w:val="0"/>
              <w:spacing w:line="500" w:lineRule="exact"/>
              <w:jc w:val="center"/>
              <w:rPr>
                <w:rFonts w:ascii="宋体" w:hAnsi="宋体" w:cs="仿宋"/>
                <w:color w:val="000000"/>
                <w:sz w:val="21"/>
                <w:szCs w:val="21"/>
              </w:rPr>
            </w:pPr>
          </w:p>
        </w:tc>
      </w:tr>
      <w:tr w14:paraId="25269196">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FB4D164">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116</w:t>
            </w:r>
          </w:p>
        </w:tc>
        <w:tc>
          <w:tcPr>
            <w:tcW w:w="3899" w:type="dxa"/>
            <w:tcBorders>
              <w:top w:val="nil"/>
              <w:left w:val="nil"/>
              <w:bottom w:val="single" w:color="auto" w:sz="4" w:space="0"/>
              <w:right w:val="single" w:color="auto" w:sz="4" w:space="0"/>
            </w:tcBorders>
            <w:noWrap/>
            <w:vAlign w:val="center"/>
          </w:tcPr>
          <w:p w14:paraId="1165AD45">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消防水炮给水泵</w:t>
            </w:r>
          </w:p>
        </w:tc>
        <w:tc>
          <w:tcPr>
            <w:tcW w:w="914" w:type="dxa"/>
            <w:tcBorders>
              <w:top w:val="nil"/>
              <w:left w:val="nil"/>
              <w:bottom w:val="single" w:color="auto" w:sz="4" w:space="0"/>
              <w:right w:val="single" w:color="auto" w:sz="4" w:space="0"/>
            </w:tcBorders>
            <w:noWrap/>
            <w:vAlign w:val="center"/>
          </w:tcPr>
          <w:p w14:paraId="0E2CC3B4">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158D5CF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375B78E8">
            <w:pPr>
              <w:adjustRightInd w:val="0"/>
              <w:snapToGrid w:val="0"/>
              <w:spacing w:line="500" w:lineRule="exact"/>
              <w:jc w:val="center"/>
              <w:rPr>
                <w:rFonts w:ascii="宋体" w:hAnsi="宋体" w:cs="仿宋"/>
                <w:color w:val="000000"/>
                <w:sz w:val="21"/>
                <w:szCs w:val="21"/>
              </w:rPr>
            </w:pPr>
          </w:p>
        </w:tc>
      </w:tr>
      <w:tr w14:paraId="361B408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3115ED3">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117</w:t>
            </w:r>
          </w:p>
        </w:tc>
        <w:tc>
          <w:tcPr>
            <w:tcW w:w="3899" w:type="dxa"/>
            <w:tcBorders>
              <w:top w:val="nil"/>
              <w:left w:val="nil"/>
              <w:bottom w:val="single" w:color="auto" w:sz="4" w:space="0"/>
              <w:right w:val="single" w:color="auto" w:sz="4" w:space="0"/>
            </w:tcBorders>
            <w:noWrap/>
            <w:vAlign w:val="center"/>
          </w:tcPr>
          <w:p w14:paraId="18E616FE">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配套控制柜</w:t>
            </w:r>
          </w:p>
        </w:tc>
        <w:tc>
          <w:tcPr>
            <w:tcW w:w="914" w:type="dxa"/>
            <w:tcBorders>
              <w:top w:val="nil"/>
              <w:left w:val="nil"/>
              <w:bottom w:val="single" w:color="auto" w:sz="4" w:space="0"/>
              <w:right w:val="single" w:color="auto" w:sz="4" w:space="0"/>
            </w:tcBorders>
            <w:noWrap/>
            <w:vAlign w:val="center"/>
          </w:tcPr>
          <w:p w14:paraId="5C8052E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70A38ADC">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58C705E7">
            <w:pPr>
              <w:adjustRightInd w:val="0"/>
              <w:snapToGrid w:val="0"/>
              <w:spacing w:line="500" w:lineRule="exact"/>
              <w:jc w:val="center"/>
              <w:rPr>
                <w:rFonts w:ascii="宋体" w:hAnsi="宋体" w:cs="仿宋"/>
                <w:color w:val="000000"/>
                <w:sz w:val="21"/>
                <w:szCs w:val="21"/>
              </w:rPr>
            </w:pPr>
          </w:p>
        </w:tc>
      </w:tr>
      <w:tr w14:paraId="1DE4185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0B5094D">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118</w:t>
            </w:r>
          </w:p>
        </w:tc>
        <w:tc>
          <w:tcPr>
            <w:tcW w:w="3899" w:type="dxa"/>
            <w:tcBorders>
              <w:top w:val="nil"/>
              <w:left w:val="nil"/>
              <w:bottom w:val="single" w:color="auto" w:sz="4" w:space="0"/>
              <w:right w:val="single" w:color="auto" w:sz="4" w:space="0"/>
            </w:tcBorders>
            <w:noWrap/>
            <w:vAlign w:val="center"/>
          </w:tcPr>
          <w:p w14:paraId="588123F1">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双电源柜</w:t>
            </w:r>
          </w:p>
        </w:tc>
        <w:tc>
          <w:tcPr>
            <w:tcW w:w="914" w:type="dxa"/>
            <w:tcBorders>
              <w:top w:val="nil"/>
              <w:left w:val="nil"/>
              <w:bottom w:val="single" w:color="auto" w:sz="4" w:space="0"/>
              <w:right w:val="single" w:color="auto" w:sz="4" w:space="0"/>
            </w:tcBorders>
            <w:noWrap/>
            <w:vAlign w:val="center"/>
          </w:tcPr>
          <w:p w14:paraId="75B16D1D">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2BA5C70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006EEAF8">
            <w:pPr>
              <w:adjustRightInd w:val="0"/>
              <w:snapToGrid w:val="0"/>
              <w:spacing w:line="500" w:lineRule="exact"/>
              <w:jc w:val="center"/>
              <w:rPr>
                <w:rFonts w:ascii="宋体" w:hAnsi="宋体" w:cs="仿宋"/>
                <w:color w:val="000000"/>
                <w:sz w:val="21"/>
                <w:szCs w:val="21"/>
              </w:rPr>
            </w:pPr>
          </w:p>
        </w:tc>
      </w:tr>
      <w:tr w14:paraId="5D89CB54">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44BB90B">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119</w:t>
            </w:r>
          </w:p>
        </w:tc>
        <w:tc>
          <w:tcPr>
            <w:tcW w:w="3899" w:type="dxa"/>
            <w:tcBorders>
              <w:top w:val="nil"/>
              <w:left w:val="nil"/>
              <w:bottom w:val="single" w:color="auto" w:sz="4" w:space="0"/>
              <w:right w:val="single" w:color="auto" w:sz="4" w:space="0"/>
            </w:tcBorders>
            <w:noWrap/>
            <w:vAlign w:val="center"/>
          </w:tcPr>
          <w:p w14:paraId="370CC54A">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应急启动柜</w:t>
            </w:r>
          </w:p>
        </w:tc>
        <w:tc>
          <w:tcPr>
            <w:tcW w:w="914" w:type="dxa"/>
            <w:tcBorders>
              <w:top w:val="nil"/>
              <w:left w:val="nil"/>
              <w:bottom w:val="single" w:color="auto" w:sz="4" w:space="0"/>
              <w:right w:val="single" w:color="auto" w:sz="4" w:space="0"/>
            </w:tcBorders>
            <w:noWrap/>
            <w:vAlign w:val="center"/>
          </w:tcPr>
          <w:p w14:paraId="39FE0516">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583EBA7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2</w:t>
            </w:r>
          </w:p>
        </w:tc>
        <w:tc>
          <w:tcPr>
            <w:tcW w:w="1315" w:type="dxa"/>
            <w:tcBorders>
              <w:top w:val="nil"/>
              <w:left w:val="nil"/>
              <w:bottom w:val="single" w:color="auto" w:sz="4" w:space="0"/>
              <w:right w:val="single" w:color="auto" w:sz="4" w:space="0"/>
            </w:tcBorders>
            <w:noWrap/>
            <w:vAlign w:val="center"/>
          </w:tcPr>
          <w:p w14:paraId="4E4BB7D7">
            <w:pPr>
              <w:adjustRightInd w:val="0"/>
              <w:snapToGrid w:val="0"/>
              <w:spacing w:line="500" w:lineRule="exact"/>
              <w:jc w:val="center"/>
              <w:rPr>
                <w:rFonts w:ascii="宋体" w:hAnsi="宋体" w:cs="仿宋"/>
                <w:color w:val="000000"/>
                <w:sz w:val="21"/>
                <w:szCs w:val="21"/>
              </w:rPr>
            </w:pPr>
          </w:p>
        </w:tc>
      </w:tr>
      <w:tr w14:paraId="07AF8210">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66D4570">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120</w:t>
            </w:r>
          </w:p>
        </w:tc>
        <w:tc>
          <w:tcPr>
            <w:tcW w:w="3899" w:type="dxa"/>
            <w:tcBorders>
              <w:top w:val="nil"/>
              <w:left w:val="nil"/>
              <w:bottom w:val="single" w:color="auto" w:sz="4" w:space="0"/>
              <w:right w:val="single" w:color="auto" w:sz="4" w:space="0"/>
            </w:tcBorders>
            <w:noWrap/>
            <w:vAlign w:val="center"/>
          </w:tcPr>
          <w:p w14:paraId="5E9EF072">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巡检柜</w:t>
            </w:r>
          </w:p>
        </w:tc>
        <w:tc>
          <w:tcPr>
            <w:tcW w:w="914" w:type="dxa"/>
            <w:tcBorders>
              <w:top w:val="nil"/>
              <w:left w:val="nil"/>
              <w:bottom w:val="single" w:color="auto" w:sz="4" w:space="0"/>
              <w:right w:val="single" w:color="auto" w:sz="4" w:space="0"/>
            </w:tcBorders>
            <w:noWrap/>
            <w:vAlign w:val="center"/>
          </w:tcPr>
          <w:p w14:paraId="2098A441">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14D7E117">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338B468B">
            <w:pPr>
              <w:adjustRightInd w:val="0"/>
              <w:snapToGrid w:val="0"/>
              <w:spacing w:line="500" w:lineRule="exact"/>
              <w:jc w:val="center"/>
              <w:rPr>
                <w:rFonts w:ascii="宋体" w:hAnsi="宋体" w:cs="仿宋"/>
                <w:color w:val="000000"/>
                <w:sz w:val="21"/>
                <w:szCs w:val="21"/>
              </w:rPr>
            </w:pPr>
          </w:p>
        </w:tc>
      </w:tr>
      <w:tr w14:paraId="7E20067D">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C1D6B58">
            <w:pPr>
              <w:adjustRightInd w:val="0"/>
              <w:snapToGrid w:val="0"/>
              <w:spacing w:line="500" w:lineRule="exact"/>
              <w:jc w:val="center"/>
              <w:rPr>
                <w:rFonts w:hint="default" w:ascii="宋体" w:hAnsi="宋体" w:cs="仿宋"/>
                <w:color w:val="000000"/>
                <w:sz w:val="21"/>
                <w:szCs w:val="21"/>
                <w:lang w:val="en-US" w:eastAsia="zh-CN"/>
              </w:rPr>
            </w:pPr>
            <w:r>
              <w:rPr>
                <w:rFonts w:hint="eastAsia" w:ascii="宋体" w:hAnsi="宋体" w:cs="仿宋"/>
                <w:color w:val="000000"/>
                <w:sz w:val="21"/>
                <w:szCs w:val="21"/>
                <w:lang w:val="en-US" w:eastAsia="zh-CN"/>
              </w:rPr>
              <w:t>121</w:t>
            </w:r>
          </w:p>
        </w:tc>
        <w:tc>
          <w:tcPr>
            <w:tcW w:w="3899" w:type="dxa"/>
            <w:tcBorders>
              <w:top w:val="nil"/>
              <w:left w:val="nil"/>
              <w:bottom w:val="single" w:color="auto" w:sz="4" w:space="0"/>
              <w:right w:val="single" w:color="auto" w:sz="4" w:space="0"/>
            </w:tcBorders>
            <w:noWrap/>
            <w:vAlign w:val="center"/>
          </w:tcPr>
          <w:p w14:paraId="498C5436">
            <w:pPr>
              <w:keepNext w:val="0"/>
              <w:keepLines w:val="0"/>
              <w:widowControl/>
              <w:suppressLineNumbers w:val="0"/>
              <w:jc w:val="left"/>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屋顶稳压水箱</w:t>
            </w:r>
          </w:p>
        </w:tc>
        <w:tc>
          <w:tcPr>
            <w:tcW w:w="914" w:type="dxa"/>
            <w:tcBorders>
              <w:top w:val="nil"/>
              <w:left w:val="nil"/>
              <w:bottom w:val="single" w:color="auto" w:sz="4" w:space="0"/>
              <w:right w:val="single" w:color="auto" w:sz="4" w:space="0"/>
            </w:tcBorders>
            <w:noWrap/>
            <w:vAlign w:val="center"/>
          </w:tcPr>
          <w:p w14:paraId="3E3B976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1116" w:type="dxa"/>
            <w:tcBorders>
              <w:top w:val="nil"/>
              <w:left w:val="nil"/>
              <w:bottom w:val="single" w:color="auto" w:sz="4" w:space="0"/>
              <w:right w:val="single" w:color="auto" w:sz="4" w:space="0"/>
            </w:tcBorders>
            <w:noWrap/>
            <w:vAlign w:val="center"/>
          </w:tcPr>
          <w:p w14:paraId="05BBB633">
            <w:pPr>
              <w:keepNext w:val="0"/>
              <w:keepLines w:val="0"/>
              <w:widowControl/>
              <w:suppressLineNumbers w:val="0"/>
              <w:jc w:val="center"/>
              <w:textAlignment w:val="center"/>
              <w:rPr>
                <w:rFonts w:hint="eastAsia" w:ascii="宋体" w:hAnsi="宋体" w:cs="仿宋"/>
                <w:color w:val="000000"/>
                <w:sz w:val="21"/>
                <w:szCs w:val="21"/>
              </w:rPr>
            </w:pPr>
            <w:r>
              <w:rPr>
                <w:rFonts w:hint="eastAsia" w:ascii="宋体" w:hAnsi="宋体" w:eastAsia="宋体" w:cs="宋体"/>
                <w:i w:val="0"/>
                <w:iCs w:val="0"/>
                <w:color w:val="000000"/>
                <w:kern w:val="0"/>
                <w:sz w:val="22"/>
                <w:szCs w:val="22"/>
                <w:u w:val="none"/>
                <w:lang w:val="en-US" w:eastAsia="zh-CN" w:bidi="ar"/>
              </w:rPr>
              <w:t>1</w:t>
            </w:r>
          </w:p>
        </w:tc>
        <w:tc>
          <w:tcPr>
            <w:tcW w:w="1315" w:type="dxa"/>
            <w:tcBorders>
              <w:top w:val="nil"/>
              <w:left w:val="nil"/>
              <w:bottom w:val="single" w:color="auto" w:sz="4" w:space="0"/>
              <w:right w:val="single" w:color="auto" w:sz="4" w:space="0"/>
            </w:tcBorders>
            <w:noWrap/>
            <w:vAlign w:val="center"/>
          </w:tcPr>
          <w:p w14:paraId="1306F6EC">
            <w:pPr>
              <w:adjustRightInd w:val="0"/>
              <w:snapToGrid w:val="0"/>
              <w:spacing w:line="500" w:lineRule="exact"/>
              <w:jc w:val="center"/>
              <w:rPr>
                <w:rFonts w:ascii="宋体" w:hAnsi="宋体" w:cs="仿宋"/>
                <w:color w:val="000000"/>
                <w:sz w:val="21"/>
                <w:szCs w:val="21"/>
              </w:rPr>
            </w:pPr>
          </w:p>
        </w:tc>
      </w:tr>
    </w:tbl>
    <w:p w14:paraId="73B8F4D0">
      <w:pPr>
        <w:spacing w:line="400" w:lineRule="exact"/>
        <w:rPr>
          <w:rFonts w:hint="eastAsia" w:ascii="黑体" w:hAnsi="黑体" w:eastAsia="黑体" w:cs="黑体"/>
          <w:bCs/>
          <w:sz w:val="28"/>
          <w:szCs w:val="28"/>
        </w:rPr>
      </w:pPr>
      <w:r>
        <w:rPr>
          <w:rFonts w:hint="eastAsia" w:ascii="黑体" w:hAnsi="黑体" w:eastAsia="黑体" w:cs="黑体"/>
          <w:bCs/>
          <w:sz w:val="28"/>
          <w:szCs w:val="28"/>
        </w:rPr>
        <w:t>三、人员要求</w:t>
      </w:r>
    </w:p>
    <w:p w14:paraId="7CC2D147">
      <w:pPr>
        <w:widowControl/>
        <w:snapToGrid w:val="0"/>
        <w:spacing w:line="500" w:lineRule="exact"/>
        <w:ind w:firstLine="420" w:firstLineChars="200"/>
        <w:rPr>
          <w:rFonts w:ascii="宋体"/>
          <w:color w:val="000000"/>
          <w:sz w:val="21"/>
          <w:szCs w:val="21"/>
          <w:highlight w:val="none"/>
        </w:rPr>
      </w:pPr>
      <w:bookmarkStart w:id="419" w:name="_Toc482188644"/>
      <w:r>
        <w:rPr>
          <w:rFonts w:hint="eastAsia" w:ascii="宋体"/>
          <w:color w:val="000000"/>
          <w:sz w:val="21"/>
          <w:szCs w:val="21"/>
          <w:highlight w:val="none"/>
        </w:rPr>
        <w:t>1.项目负责人1名，具有</w:t>
      </w:r>
      <w:r>
        <w:rPr>
          <w:rFonts w:hint="eastAsia" w:ascii="宋体"/>
          <w:color w:val="000000"/>
          <w:sz w:val="21"/>
          <w:szCs w:val="21"/>
          <w:highlight w:val="none"/>
          <w:lang w:val="en-US" w:eastAsia="zh-CN"/>
        </w:rPr>
        <w:t>一级</w:t>
      </w:r>
      <w:r>
        <w:rPr>
          <w:rFonts w:hint="eastAsia" w:ascii="宋体"/>
          <w:color w:val="000000"/>
          <w:sz w:val="21"/>
          <w:szCs w:val="21"/>
          <w:highlight w:val="none"/>
        </w:rPr>
        <w:t>注册消防工程师资格证书。</w:t>
      </w:r>
    </w:p>
    <w:p w14:paraId="1F6A4D6C">
      <w:pPr>
        <w:widowControl/>
        <w:snapToGrid w:val="0"/>
        <w:spacing w:line="500" w:lineRule="exact"/>
        <w:ind w:firstLine="420" w:firstLineChars="200"/>
        <w:rPr>
          <w:rFonts w:ascii="宋体"/>
          <w:color w:val="000000"/>
          <w:sz w:val="21"/>
          <w:szCs w:val="21"/>
          <w:highlight w:val="none"/>
        </w:rPr>
      </w:pPr>
      <w:r>
        <w:rPr>
          <w:rFonts w:hint="eastAsia" w:ascii="宋体"/>
          <w:color w:val="000000"/>
          <w:sz w:val="21"/>
          <w:szCs w:val="21"/>
          <w:highlight w:val="none"/>
        </w:rPr>
        <w:t>2.技术负责人1名，具有</w:t>
      </w:r>
      <w:r>
        <w:rPr>
          <w:rFonts w:hint="eastAsia" w:ascii="宋体"/>
          <w:color w:val="000000"/>
          <w:sz w:val="21"/>
          <w:szCs w:val="21"/>
          <w:highlight w:val="none"/>
          <w:lang w:val="en-US" w:eastAsia="zh-CN"/>
        </w:rPr>
        <w:t>二级及以上</w:t>
      </w:r>
      <w:r>
        <w:rPr>
          <w:rFonts w:hint="eastAsia" w:ascii="宋体"/>
          <w:color w:val="000000"/>
          <w:sz w:val="21"/>
          <w:szCs w:val="21"/>
          <w:highlight w:val="none"/>
        </w:rPr>
        <w:t>注册消防工程师资格证书。</w:t>
      </w:r>
    </w:p>
    <w:p w14:paraId="0FF3F037">
      <w:pPr>
        <w:widowControl/>
        <w:snapToGrid w:val="0"/>
        <w:spacing w:line="500" w:lineRule="exact"/>
        <w:ind w:firstLine="420" w:firstLineChars="200"/>
        <w:rPr>
          <w:rFonts w:ascii="宋体"/>
          <w:color w:val="000000"/>
          <w:sz w:val="21"/>
          <w:szCs w:val="21"/>
          <w:highlight w:val="none"/>
        </w:rPr>
      </w:pPr>
      <w:r>
        <w:rPr>
          <w:rFonts w:hint="eastAsia" w:ascii="宋体"/>
          <w:color w:val="000000"/>
          <w:sz w:val="21"/>
          <w:szCs w:val="21"/>
          <w:highlight w:val="none"/>
        </w:rPr>
        <w:t>3.维保技术人员4名及以上</w:t>
      </w:r>
      <w:r>
        <w:rPr>
          <w:rFonts w:hint="eastAsia" w:ascii="宋体"/>
          <w:color w:val="000000"/>
          <w:sz w:val="21"/>
          <w:szCs w:val="21"/>
          <w:highlight w:val="none"/>
          <w:lang w:eastAsia="zh-CN"/>
        </w:rPr>
        <w:t>（</w:t>
      </w:r>
      <w:r>
        <w:rPr>
          <w:rFonts w:hint="eastAsia" w:ascii="宋体"/>
          <w:color w:val="000000"/>
          <w:sz w:val="21"/>
          <w:szCs w:val="21"/>
          <w:highlight w:val="none"/>
          <w:lang w:val="en-US" w:eastAsia="zh-CN"/>
        </w:rPr>
        <w:t>初级及以上消防设施操作员</w:t>
      </w:r>
      <w:r>
        <w:rPr>
          <w:rFonts w:hint="eastAsia" w:ascii="宋体"/>
          <w:color w:val="000000"/>
          <w:sz w:val="21"/>
          <w:szCs w:val="21"/>
          <w:highlight w:val="none"/>
          <w:lang w:eastAsia="zh-CN"/>
        </w:rPr>
        <w:t>）</w:t>
      </w:r>
      <w:r>
        <w:rPr>
          <w:rFonts w:hint="eastAsia" w:ascii="宋体"/>
          <w:color w:val="000000"/>
          <w:sz w:val="21"/>
          <w:szCs w:val="21"/>
          <w:highlight w:val="none"/>
        </w:rPr>
        <w:t>。</w:t>
      </w:r>
    </w:p>
    <w:p w14:paraId="1A16A97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b/>
          <w:color w:val="000000"/>
          <w:sz w:val="21"/>
          <w:szCs w:val="21"/>
        </w:rPr>
      </w:pPr>
      <w:r>
        <w:rPr>
          <w:rFonts w:hint="eastAsia" w:ascii="宋体" w:hAnsi="宋体"/>
          <w:b/>
          <w:color w:val="000000"/>
          <w:sz w:val="21"/>
          <w:szCs w:val="21"/>
        </w:rPr>
        <w:t>备注：投标文件中提供上述人员名单（包括但不限于姓名、联系方式、身份证号码），项目负责人及技术负责人证书需体现注册信息及官网截图并加盖投标人公章，另外提供投标人为以上人员缴纳近三个月社保证明资料。</w:t>
      </w:r>
    </w:p>
    <w:p w14:paraId="236FF27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Cs/>
          <w:sz w:val="28"/>
          <w:szCs w:val="28"/>
        </w:rPr>
      </w:pPr>
      <w:r>
        <w:rPr>
          <w:rFonts w:hint="eastAsia" w:ascii="黑体" w:hAnsi="黑体" w:eastAsia="黑体" w:cs="黑体"/>
          <w:bCs/>
          <w:sz w:val="28"/>
          <w:szCs w:val="28"/>
        </w:rPr>
        <w:t>四、</w:t>
      </w:r>
      <w:bookmarkEnd w:id="419"/>
      <w:r>
        <w:rPr>
          <w:rFonts w:hint="eastAsia" w:ascii="黑体" w:hAnsi="黑体" w:eastAsia="黑体" w:cs="黑体"/>
          <w:bCs/>
          <w:sz w:val="28"/>
          <w:szCs w:val="28"/>
        </w:rPr>
        <w:t>报价要求</w:t>
      </w:r>
    </w:p>
    <w:p w14:paraId="49C6E995">
      <w:pPr>
        <w:keepNext w:val="0"/>
        <w:keepLines w:val="0"/>
        <w:pageBreakBefore w:val="0"/>
        <w:widowControl w:val="0"/>
        <w:kinsoku/>
        <w:wordWrap/>
        <w:overflowPunct/>
        <w:topLinePunct w:val="0"/>
        <w:autoSpaceDE/>
        <w:autoSpaceDN/>
        <w:bidi w:val="0"/>
        <w:adjustRightInd/>
        <w:snapToGrid/>
        <w:spacing w:line="500" w:lineRule="exact"/>
        <w:ind w:firstLine="411" w:firstLineChars="196"/>
        <w:textAlignment w:val="auto"/>
        <w:rPr>
          <w:rFonts w:hint="eastAsia" w:ascii="Times New Roman" w:hAnsi="Times New Roman"/>
          <w:sz w:val="21"/>
          <w:szCs w:val="21"/>
        </w:rPr>
      </w:pPr>
      <w:bookmarkStart w:id="420" w:name="_Toc482188645"/>
      <w:r>
        <w:rPr>
          <w:rFonts w:hint="eastAsia" w:ascii="Times New Roman" w:hAnsi="Times New Roman"/>
          <w:sz w:val="21"/>
          <w:szCs w:val="21"/>
        </w:rPr>
        <w:t>本项目采用总价报价，除非合同另有规定，该总价包含但不限于咨询服务费、方案编制费、现场调研勘察费、数据采集费、</w:t>
      </w:r>
      <w:r>
        <w:rPr>
          <w:rFonts w:hint="eastAsia" w:ascii="宋体" w:hAnsi="宋体"/>
          <w:color w:val="000000"/>
          <w:sz w:val="21"/>
          <w:szCs w:val="21"/>
        </w:rPr>
        <w:t>消防设备检测费、维修费、技术咨询费、设备工具使用费、交通运输费、更换设备设施的工时费、保养费</w:t>
      </w:r>
      <w:r>
        <w:rPr>
          <w:rFonts w:hint="eastAsia" w:ascii="宋体" w:hAnsi="宋体"/>
          <w:color w:val="000000"/>
          <w:sz w:val="21"/>
          <w:szCs w:val="21"/>
          <w:lang w:eastAsia="zh-CN"/>
        </w:rPr>
        <w:t>、</w:t>
      </w:r>
      <w:r>
        <w:rPr>
          <w:rFonts w:hint="eastAsia" w:ascii="Times New Roman" w:hAnsi="Times New Roman"/>
          <w:sz w:val="21"/>
          <w:szCs w:val="21"/>
        </w:rPr>
        <w:t>人工费、差旅费、利润、税金等全部费用。投标报价总价不得高于项目概算。</w:t>
      </w:r>
      <w:r>
        <w:rPr>
          <w:rFonts w:hint="eastAsia" w:ascii="宋体" w:hAnsi="宋体"/>
          <w:color w:val="000000"/>
          <w:sz w:val="21"/>
          <w:szCs w:val="21"/>
        </w:rPr>
        <w:t>否则，作为废标处理。</w:t>
      </w:r>
    </w:p>
    <w:p w14:paraId="315A2292">
      <w:pPr>
        <w:keepNext w:val="0"/>
        <w:keepLines w:val="0"/>
        <w:pageBreakBefore w:val="0"/>
        <w:widowControl w:val="0"/>
        <w:numPr>
          <w:ilvl w:val="0"/>
          <w:numId w:val="6"/>
        </w:numPr>
        <w:kinsoku/>
        <w:wordWrap/>
        <w:overflowPunct/>
        <w:topLinePunct w:val="0"/>
        <w:autoSpaceDE/>
        <w:autoSpaceDN/>
        <w:bidi w:val="0"/>
        <w:adjustRightInd/>
        <w:snapToGrid/>
        <w:spacing w:line="500" w:lineRule="exact"/>
        <w:textAlignment w:val="auto"/>
        <w:rPr>
          <w:rFonts w:hint="eastAsia" w:ascii="黑体" w:hAnsi="黑体" w:eastAsia="黑体" w:cs="黑体"/>
          <w:bCs/>
          <w:sz w:val="28"/>
          <w:szCs w:val="28"/>
        </w:rPr>
      </w:pPr>
      <w:r>
        <w:rPr>
          <w:rFonts w:hint="eastAsia" w:ascii="黑体" w:hAnsi="黑体" w:eastAsia="黑体" w:cs="黑体"/>
          <w:bCs/>
          <w:sz w:val="28"/>
          <w:szCs w:val="28"/>
        </w:rPr>
        <w:t>付款方式</w:t>
      </w:r>
    </w:p>
    <w:p w14:paraId="5D96900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消防维保服务进度款每5个月支付一次，每月对于养护服务的服务质量进行考核打分（详见合肥市妇女儿童活动中心消防设施维保项目月度考核细则）并进行汇总，每5个月支付考核后总额的100%。</w:t>
      </w:r>
    </w:p>
    <w:p w14:paraId="271F8EC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注：（1）在招标人付款前，中标人需向招标人交付等额的增值税专用发票，否则招标人有权拒绝或者延迟付款，且不承担违约责任。</w:t>
      </w:r>
    </w:p>
    <w:p w14:paraId="39F8869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（2）投标人提交的投标文件中如有关于付款条件的表述与招标文件规定不符，投标无效。</w:t>
      </w:r>
    </w:p>
    <w:p w14:paraId="5C3F263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Cs/>
          <w:sz w:val="28"/>
          <w:szCs w:val="28"/>
        </w:rPr>
      </w:pPr>
      <w:r>
        <w:rPr>
          <w:rFonts w:hint="eastAsia" w:ascii="黑体" w:hAnsi="黑体" w:eastAsia="黑体" w:cs="黑体"/>
          <w:bCs/>
          <w:sz w:val="28"/>
          <w:szCs w:val="28"/>
        </w:rPr>
        <w:t>六、其他要求</w:t>
      </w:r>
    </w:p>
    <w:bookmarkEnd w:id="420"/>
    <w:p w14:paraId="52FC039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1.必须按照国家、省、市现行的有关消防设备保养维护质量标准及规范，对服务范围内的消防设备定期进行全面检测维修、保养和调试，对老化、损坏、故障的零部件要及时彻底进行维修、更换，保证</w:t>
      </w:r>
      <w:r>
        <w:rPr>
          <w:rFonts w:hint="eastAsia" w:ascii="宋体" w:hAnsi="宋体"/>
          <w:color w:val="000000"/>
          <w:sz w:val="21"/>
          <w:szCs w:val="21"/>
          <w:lang w:val="en-US" w:eastAsia="zh-CN"/>
        </w:rPr>
        <w:t>招标人</w:t>
      </w:r>
      <w:r>
        <w:rPr>
          <w:rFonts w:hint="eastAsia" w:ascii="宋体" w:hAnsi="宋体" w:cs="宋体"/>
          <w:color w:val="000000"/>
          <w:sz w:val="21"/>
          <w:szCs w:val="21"/>
        </w:rPr>
        <w:t>消防设施设备正常使用，确保设备能良好运作。</w:t>
      </w:r>
    </w:p>
    <w:p w14:paraId="283E69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sz w:val="21"/>
          <w:szCs w:val="21"/>
        </w:rPr>
      </w:pPr>
      <w:r>
        <w:rPr>
          <w:rFonts w:hint="eastAsia" w:ascii="宋体" w:hAnsi="宋体" w:cs="宋体"/>
          <w:color w:val="000000"/>
          <w:sz w:val="21"/>
          <w:szCs w:val="21"/>
        </w:rPr>
        <w:t>2.中标人需提供24小时维修联系电话，随时对</w:t>
      </w:r>
      <w:r>
        <w:rPr>
          <w:rFonts w:hint="eastAsia" w:ascii="宋体" w:hAnsi="宋体"/>
          <w:color w:val="000000"/>
          <w:sz w:val="21"/>
          <w:szCs w:val="21"/>
          <w:lang w:val="en-US" w:eastAsia="zh-CN"/>
        </w:rPr>
        <w:t>招标人</w:t>
      </w:r>
      <w:r>
        <w:rPr>
          <w:rFonts w:hint="eastAsia" w:ascii="宋体" w:hAnsi="宋体" w:cs="宋体"/>
          <w:color w:val="000000"/>
          <w:sz w:val="21"/>
          <w:szCs w:val="21"/>
        </w:rPr>
        <w:t>的需求做出响应。</w:t>
      </w:r>
    </w:p>
    <w:p w14:paraId="4F5C0F6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sz w:val="21"/>
          <w:szCs w:val="21"/>
        </w:rPr>
      </w:pPr>
      <w:r>
        <w:rPr>
          <w:rFonts w:hint="eastAsia" w:ascii="宋体" w:hAnsi="宋体" w:cs="宋体"/>
          <w:color w:val="000000"/>
          <w:sz w:val="21"/>
          <w:szCs w:val="21"/>
        </w:rPr>
        <w:t>3.中标人派出的维保技术人员资质要求:必须无违法犯罪记录，持有消防部门认可的有效证件，有二年以上的相关工作经验，具有公安消防总队认可的“建(构）筑物消防员或相关专业证件”，能独立操作的专业工程师及技术人员。</w:t>
      </w:r>
    </w:p>
    <w:p w14:paraId="503381A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sz w:val="21"/>
          <w:szCs w:val="21"/>
        </w:rPr>
      </w:pPr>
      <w:r>
        <w:rPr>
          <w:rFonts w:hint="eastAsia" w:ascii="宋体" w:hAnsi="宋体" w:cs="宋体"/>
          <w:color w:val="000000"/>
          <w:sz w:val="21"/>
          <w:szCs w:val="21"/>
        </w:rPr>
        <w:t>4.在保养期内，为保持人员队伍的稳定性，中标人必须按规定为所有员工购买社保。</w:t>
      </w:r>
      <w:r>
        <w:rPr>
          <w:rFonts w:hint="eastAsia" w:ascii="宋体" w:hAnsi="宋体"/>
          <w:color w:val="000000"/>
          <w:sz w:val="21"/>
          <w:szCs w:val="21"/>
          <w:lang w:val="en-US" w:eastAsia="zh-CN"/>
        </w:rPr>
        <w:t>招标人</w:t>
      </w:r>
      <w:r>
        <w:rPr>
          <w:rFonts w:hint="eastAsia" w:ascii="宋体" w:hAnsi="宋体" w:cs="宋体"/>
          <w:color w:val="000000"/>
          <w:sz w:val="21"/>
          <w:szCs w:val="21"/>
        </w:rPr>
        <w:t>有权对维保技术人员的资质进行审定，对不符合要求的维保服务人员，中标人应及时调换。保养期内维保相关人员所产生的全部费用由中标人自行承担。</w:t>
      </w:r>
    </w:p>
    <w:p w14:paraId="062822B2">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5.中标人应在维护服务期内加强现场管理，负责办理维修人员人身和自备财产的有关保险，如在维修保养工作中发生人身、设备及第三者事故，由中标人负责处理相关事宜，</w:t>
      </w:r>
      <w:r>
        <w:rPr>
          <w:rFonts w:hint="eastAsia" w:ascii="宋体" w:hAnsi="宋体"/>
          <w:color w:val="000000"/>
          <w:sz w:val="21"/>
          <w:szCs w:val="21"/>
          <w:lang w:val="en-US" w:eastAsia="zh-CN"/>
        </w:rPr>
        <w:t>招标人</w:t>
      </w:r>
      <w:r>
        <w:rPr>
          <w:rFonts w:hint="eastAsia" w:ascii="宋体" w:hAnsi="宋体" w:cs="宋体"/>
          <w:color w:val="000000"/>
          <w:sz w:val="21"/>
          <w:szCs w:val="21"/>
        </w:rPr>
        <w:t>不承担任何责任。</w:t>
      </w:r>
    </w:p>
    <w:p w14:paraId="74804090">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6．在保养期内，如消防设施设备发生故障，中标人应及时处理并告知</w:t>
      </w:r>
      <w:r>
        <w:rPr>
          <w:rFonts w:hint="eastAsia" w:ascii="宋体" w:hAnsi="宋体"/>
          <w:color w:val="000000"/>
          <w:sz w:val="21"/>
          <w:szCs w:val="21"/>
          <w:lang w:val="en-US" w:eastAsia="zh-CN"/>
        </w:rPr>
        <w:t>招标人</w:t>
      </w:r>
      <w:r>
        <w:rPr>
          <w:rFonts w:hint="eastAsia" w:ascii="宋体" w:hAnsi="宋体" w:cs="宋体"/>
          <w:color w:val="000000"/>
          <w:sz w:val="21"/>
          <w:szCs w:val="21"/>
        </w:rPr>
        <w:t>主管部门。</w:t>
      </w:r>
    </w:p>
    <w:p w14:paraId="17DC914E">
      <w:pPr>
        <w:spacing w:line="500" w:lineRule="exact"/>
        <w:ind w:firstLine="420" w:firstLineChars="200"/>
        <w:rPr>
          <w:rFonts w:ascii="宋体" w:hAnsi="宋体" w:cs="宋体"/>
          <w:color w:val="000000"/>
          <w:sz w:val="21"/>
          <w:szCs w:val="21"/>
          <w:highlight w:val="none"/>
        </w:rPr>
      </w:pPr>
      <w:r>
        <w:rPr>
          <w:rFonts w:hint="eastAsia" w:ascii="宋体" w:hAnsi="宋体" w:cs="宋体"/>
          <w:color w:val="000000"/>
          <w:sz w:val="21"/>
          <w:szCs w:val="21"/>
          <w:highlight w:val="none"/>
        </w:rPr>
        <w:t>7．在保养期内，中标人必须储备有足够的主要备件和易耗备件。如需要更换设备零部件时，中标人应及时通知</w:t>
      </w:r>
      <w:r>
        <w:rPr>
          <w:rFonts w:hint="eastAsia" w:ascii="宋体" w:hAnsi="宋体"/>
          <w:color w:val="000000"/>
          <w:sz w:val="21"/>
          <w:szCs w:val="21"/>
          <w:highlight w:val="none"/>
          <w:lang w:val="en-US" w:eastAsia="zh-CN"/>
        </w:rPr>
        <w:t>招标人</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由</w:t>
      </w:r>
      <w:r>
        <w:rPr>
          <w:rFonts w:hint="eastAsia" w:ascii="宋体" w:hAnsi="宋体"/>
          <w:color w:val="000000"/>
          <w:sz w:val="21"/>
          <w:szCs w:val="21"/>
          <w:highlight w:val="none"/>
          <w:lang w:val="en-US" w:eastAsia="zh-CN"/>
        </w:rPr>
        <w:t>招标人</w:t>
      </w:r>
      <w:r>
        <w:rPr>
          <w:rFonts w:hint="eastAsia" w:ascii="宋体" w:hAnsi="宋体" w:cs="宋体"/>
          <w:color w:val="000000"/>
          <w:sz w:val="21"/>
          <w:szCs w:val="21"/>
          <w:highlight w:val="none"/>
          <w:lang w:val="en-US" w:eastAsia="zh-CN"/>
        </w:rPr>
        <w:t>决定是否更换。</w:t>
      </w:r>
      <w:r>
        <w:rPr>
          <w:rFonts w:hint="eastAsia" w:ascii="宋体" w:hAnsi="宋体" w:cs="宋体"/>
          <w:color w:val="000000"/>
          <w:sz w:val="21"/>
          <w:szCs w:val="21"/>
          <w:highlight w:val="none"/>
        </w:rPr>
        <w:t>单件价格200元（含200元）以下的费用由中标人提供免费更换（详见《常用零配件价格报价表》）。</w:t>
      </w:r>
    </w:p>
    <w:p w14:paraId="3BE4708E">
      <w:pPr>
        <w:spacing w:line="500" w:lineRule="exact"/>
        <w:ind w:firstLine="420" w:firstLineChars="200"/>
        <w:rPr>
          <w:rFonts w:ascii="宋体" w:hAnsi="宋体" w:cs="宋体"/>
          <w:color w:val="000000"/>
          <w:sz w:val="21"/>
          <w:szCs w:val="21"/>
          <w:highlight w:val="none"/>
        </w:rPr>
      </w:pPr>
      <w:r>
        <w:rPr>
          <w:rFonts w:hint="eastAsia" w:ascii="宋体" w:hAnsi="宋体" w:cs="宋体"/>
          <w:color w:val="000000"/>
          <w:sz w:val="21"/>
          <w:szCs w:val="21"/>
          <w:highlight w:val="none"/>
        </w:rPr>
        <w:t>8.所需设备零部件费用单价超过200元的，安装工程费用由中标人向</w:t>
      </w:r>
      <w:r>
        <w:rPr>
          <w:rFonts w:hint="eastAsia" w:ascii="宋体" w:hAnsi="宋体"/>
          <w:color w:val="000000"/>
          <w:sz w:val="21"/>
          <w:szCs w:val="21"/>
          <w:highlight w:val="none"/>
          <w:lang w:val="en-US" w:eastAsia="zh-CN"/>
        </w:rPr>
        <w:t>招标人</w:t>
      </w:r>
      <w:r>
        <w:rPr>
          <w:rFonts w:hint="eastAsia" w:ascii="宋体" w:hAnsi="宋体" w:cs="宋体"/>
          <w:color w:val="000000"/>
          <w:sz w:val="21"/>
          <w:szCs w:val="21"/>
          <w:highlight w:val="none"/>
        </w:rPr>
        <w:t>提出，</w:t>
      </w:r>
      <w:r>
        <w:rPr>
          <w:rFonts w:hint="eastAsia" w:ascii="宋体" w:hAnsi="宋体"/>
          <w:color w:val="000000"/>
          <w:sz w:val="21"/>
          <w:szCs w:val="21"/>
          <w:highlight w:val="none"/>
          <w:lang w:val="en-US" w:eastAsia="zh-CN"/>
        </w:rPr>
        <w:t>招标人</w:t>
      </w:r>
      <w:r>
        <w:rPr>
          <w:rFonts w:hint="eastAsia" w:ascii="宋体" w:hAnsi="宋体" w:cs="宋体"/>
          <w:color w:val="000000"/>
          <w:sz w:val="21"/>
          <w:szCs w:val="21"/>
          <w:highlight w:val="none"/>
        </w:rPr>
        <w:t>决定是否安装或采购（详见《常用零配件价格报价表》）。</w:t>
      </w:r>
    </w:p>
    <w:p w14:paraId="79C7E491">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9.消防系统所有设施设备包括灭火器、控制电柜等的清洁卫生由中标人负责，中标人必须定期清洁，保持洁亮无渍、无尘。</w:t>
      </w:r>
    </w:p>
    <w:p w14:paraId="1DB1692B">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10.中标人必须根据维修保养内容的要求，制定具体量化计划，严格按照计划组织实施，并作好设备检查记录，列明系统设施设备的运行情况、故障原因、处理结果，所有维护保养记录资料要分类登记、保存在资料柜，保养期满必须完整交回</w:t>
      </w:r>
      <w:r>
        <w:rPr>
          <w:rFonts w:hint="eastAsia" w:ascii="宋体" w:hAnsi="宋体"/>
          <w:color w:val="000000"/>
          <w:sz w:val="21"/>
          <w:szCs w:val="21"/>
          <w:lang w:val="en-US" w:eastAsia="zh-CN"/>
        </w:rPr>
        <w:t>招标人</w:t>
      </w:r>
      <w:r>
        <w:rPr>
          <w:rFonts w:hint="eastAsia" w:ascii="宋体" w:hAnsi="宋体" w:cs="宋体"/>
          <w:color w:val="000000"/>
          <w:sz w:val="21"/>
          <w:szCs w:val="21"/>
        </w:rPr>
        <w:t>。</w:t>
      </w:r>
    </w:p>
    <w:p w14:paraId="487BA02E">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11.中标人负责协助编制符合</w:t>
      </w:r>
      <w:r>
        <w:rPr>
          <w:rFonts w:hint="eastAsia" w:ascii="宋体" w:hAnsi="宋体"/>
          <w:color w:val="000000"/>
          <w:sz w:val="21"/>
          <w:szCs w:val="21"/>
          <w:lang w:val="en-US" w:eastAsia="zh-CN"/>
        </w:rPr>
        <w:t>招标人</w:t>
      </w:r>
      <w:r>
        <w:rPr>
          <w:rFonts w:hint="eastAsia" w:ascii="宋体" w:hAnsi="宋体" w:cs="宋体"/>
          <w:color w:val="000000"/>
          <w:sz w:val="21"/>
          <w:szCs w:val="21"/>
        </w:rPr>
        <w:t>实际的消防演习方案，并要参与协助做好有关消防演习。</w:t>
      </w:r>
    </w:p>
    <w:p w14:paraId="5B0783B2">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12.中标人必须保证</w:t>
      </w:r>
      <w:r>
        <w:rPr>
          <w:rFonts w:hint="eastAsia" w:ascii="宋体" w:hAnsi="宋体" w:cs="宋体"/>
          <w:color w:val="000000"/>
          <w:sz w:val="21"/>
          <w:szCs w:val="21"/>
          <w:lang w:val="en-US" w:eastAsia="zh-CN"/>
        </w:rPr>
        <w:t>合肥市妇女儿童活动中心</w:t>
      </w:r>
      <w:r>
        <w:rPr>
          <w:rFonts w:hint="eastAsia" w:ascii="宋体" w:hAnsi="宋体" w:cs="宋体"/>
          <w:color w:val="000000"/>
          <w:sz w:val="21"/>
          <w:szCs w:val="21"/>
        </w:rPr>
        <w:t>通过消防监督部门的涉及消防系统方面的防火检查及建筑消防设施年度检测工作，如因维保工作原因未能通过年度消防检测及消防部门组织的防火检查，则必须进行整改直至通过检查或检测。</w:t>
      </w:r>
    </w:p>
    <w:p w14:paraId="57CEC2FB">
      <w:pPr>
        <w:spacing w:line="500" w:lineRule="exact"/>
        <w:ind w:firstLine="420" w:firstLineChars="200"/>
        <w:rPr>
          <w:color w:val="000000"/>
          <w:sz w:val="21"/>
          <w:szCs w:val="21"/>
        </w:rPr>
      </w:pPr>
      <w:r>
        <w:rPr>
          <w:rFonts w:hint="eastAsia" w:ascii="宋体" w:hAnsi="宋体" w:cs="宋体"/>
          <w:color w:val="000000"/>
          <w:sz w:val="21"/>
          <w:szCs w:val="21"/>
        </w:rPr>
        <w:t>13.中标人需使</w:t>
      </w:r>
      <w:r>
        <w:rPr>
          <w:rFonts w:hint="eastAsia" w:ascii="宋体" w:hAnsi="宋体"/>
          <w:color w:val="000000"/>
          <w:sz w:val="21"/>
          <w:szCs w:val="21"/>
          <w:lang w:val="en-US" w:eastAsia="zh-CN"/>
        </w:rPr>
        <w:t>招标人</w:t>
      </w:r>
      <w:r>
        <w:rPr>
          <w:rFonts w:hint="eastAsia" w:ascii="宋体" w:hAnsi="宋体" w:cs="宋体"/>
          <w:color w:val="000000"/>
          <w:sz w:val="21"/>
          <w:szCs w:val="21"/>
        </w:rPr>
        <w:t>消防设施与管理符合日常公安消防部门检查和消防年检的要求；如消防年检未通过或日常公安消防部门检查不合格，所产生的罚金、维修费用等由中标人承担，并扣除部分维保费。</w:t>
      </w:r>
    </w:p>
    <w:p w14:paraId="5CBDED08">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14.中标人负责进行详细的消防检测，包括消防设施检测及消防电气性能检测。出具符合消防监督管理部门相关规定的正规检测报告，并报消防监督管理部门备案。</w:t>
      </w:r>
    </w:p>
    <w:p w14:paraId="480E681F">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15.中标人负责编写消防监督管理部门所需的备案备查材料，并报消防监督管理部门备案。</w:t>
      </w:r>
    </w:p>
    <w:p w14:paraId="5F0F65BD">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16.如</w:t>
      </w:r>
      <w:r>
        <w:rPr>
          <w:rFonts w:hint="eastAsia" w:ascii="宋体" w:hAnsi="宋体"/>
          <w:color w:val="000000"/>
          <w:sz w:val="21"/>
          <w:szCs w:val="21"/>
          <w:lang w:val="en-US" w:eastAsia="zh-CN"/>
        </w:rPr>
        <w:t>招标人</w:t>
      </w:r>
      <w:r>
        <w:rPr>
          <w:rFonts w:hint="eastAsia" w:ascii="宋体" w:hAnsi="宋体" w:cs="宋体"/>
          <w:color w:val="000000"/>
          <w:sz w:val="21"/>
          <w:szCs w:val="21"/>
        </w:rPr>
        <w:t>有特殊情况，临时需要中标人增派人员对消防系统进行检查或测试时，中标人必须积极配合</w:t>
      </w:r>
      <w:r>
        <w:rPr>
          <w:rFonts w:hint="eastAsia" w:ascii="宋体" w:hAnsi="宋体"/>
          <w:color w:val="000000"/>
          <w:sz w:val="21"/>
          <w:szCs w:val="21"/>
          <w:lang w:val="en-US" w:eastAsia="zh-CN"/>
        </w:rPr>
        <w:t>招标人</w:t>
      </w:r>
      <w:r>
        <w:rPr>
          <w:rFonts w:hint="eastAsia" w:ascii="宋体" w:hAnsi="宋体" w:cs="宋体"/>
          <w:color w:val="000000"/>
          <w:sz w:val="21"/>
          <w:szCs w:val="21"/>
        </w:rPr>
        <w:t>工作需要，按要求增派人员到现场完成相关工作。</w:t>
      </w:r>
    </w:p>
    <w:p w14:paraId="1B497FB4">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17.</w:t>
      </w:r>
      <w:r>
        <w:rPr>
          <w:rFonts w:hint="eastAsia" w:ascii="宋体" w:hAnsi="宋体"/>
          <w:color w:val="000000"/>
          <w:sz w:val="21"/>
          <w:szCs w:val="21"/>
          <w:lang w:val="en-US" w:eastAsia="zh-CN"/>
        </w:rPr>
        <w:t>招标人</w:t>
      </w:r>
      <w:r>
        <w:rPr>
          <w:rFonts w:hint="eastAsia" w:ascii="宋体" w:hAnsi="宋体" w:cs="宋体"/>
          <w:color w:val="000000"/>
          <w:sz w:val="21"/>
          <w:szCs w:val="21"/>
        </w:rPr>
        <w:t>经营场所在举办大型体育赛事、大型文艺演出等活动时，</w:t>
      </w:r>
      <w:r>
        <w:rPr>
          <w:rFonts w:hint="eastAsia" w:ascii="宋体" w:hAnsi="宋体" w:cs="宋体"/>
          <w:color w:val="000000"/>
          <w:sz w:val="21"/>
          <w:szCs w:val="21"/>
          <w:highlight w:val="none"/>
          <w:lang w:val="en-US" w:eastAsia="zh-CN"/>
        </w:rPr>
        <w:t>中标人</w:t>
      </w:r>
      <w:r>
        <w:rPr>
          <w:rFonts w:hint="eastAsia" w:ascii="宋体" w:hAnsi="宋体" w:cs="宋体"/>
          <w:color w:val="000000"/>
          <w:sz w:val="21"/>
          <w:szCs w:val="21"/>
        </w:rPr>
        <w:t>维保人员必须进行现场技术保障，确保活动正常进行。</w:t>
      </w:r>
    </w:p>
    <w:p w14:paraId="71751A08">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18.保养期满，中标人必须将所有保养设备完好无故障地交回</w:t>
      </w:r>
      <w:r>
        <w:rPr>
          <w:rFonts w:hint="eastAsia" w:ascii="宋体" w:hAnsi="宋体"/>
          <w:color w:val="000000"/>
          <w:sz w:val="21"/>
          <w:szCs w:val="21"/>
          <w:lang w:val="en-US" w:eastAsia="zh-CN"/>
        </w:rPr>
        <w:t>招标人</w:t>
      </w:r>
      <w:r>
        <w:rPr>
          <w:rFonts w:hint="eastAsia" w:ascii="宋体" w:hAnsi="宋体" w:cs="宋体"/>
          <w:color w:val="000000"/>
          <w:sz w:val="21"/>
          <w:szCs w:val="21"/>
        </w:rPr>
        <w:t>。</w:t>
      </w:r>
    </w:p>
    <w:p w14:paraId="7E62B45D">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19.保养期满，中标人所有保养设备未经</w:t>
      </w:r>
      <w:r>
        <w:rPr>
          <w:rFonts w:hint="eastAsia" w:ascii="宋体" w:hAnsi="宋体"/>
          <w:color w:val="000000"/>
          <w:sz w:val="21"/>
          <w:szCs w:val="21"/>
          <w:lang w:val="en-US" w:eastAsia="zh-CN"/>
        </w:rPr>
        <w:t>招标人</w:t>
      </w:r>
      <w:r>
        <w:rPr>
          <w:rFonts w:hint="eastAsia" w:ascii="宋体" w:hAnsi="宋体" w:cs="宋体"/>
          <w:color w:val="000000"/>
          <w:sz w:val="21"/>
          <w:szCs w:val="21"/>
        </w:rPr>
        <w:t>验收合格的，保养期将自动延期至</w:t>
      </w:r>
      <w:r>
        <w:rPr>
          <w:rFonts w:hint="eastAsia" w:ascii="宋体" w:hAnsi="宋体"/>
          <w:color w:val="000000"/>
          <w:sz w:val="21"/>
          <w:szCs w:val="21"/>
          <w:lang w:val="en-US" w:eastAsia="zh-CN"/>
        </w:rPr>
        <w:t>招标人</w:t>
      </w:r>
      <w:r>
        <w:rPr>
          <w:rFonts w:hint="eastAsia" w:ascii="宋体" w:hAnsi="宋体" w:cs="宋体"/>
          <w:color w:val="000000"/>
          <w:sz w:val="21"/>
          <w:szCs w:val="21"/>
        </w:rPr>
        <w:t>验收合格日。</w:t>
      </w:r>
    </w:p>
    <w:p w14:paraId="6EE4BA51">
      <w:pPr>
        <w:spacing w:line="50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20.中标人每月按国家、省、市现行的有关消防设备保养维护质量标准及规范制定相关维保计划，并随时对</w:t>
      </w:r>
      <w:r>
        <w:rPr>
          <w:rFonts w:hint="eastAsia" w:ascii="宋体" w:hAnsi="宋体"/>
          <w:color w:val="000000"/>
          <w:sz w:val="21"/>
          <w:szCs w:val="21"/>
          <w:lang w:val="en-US" w:eastAsia="zh-CN"/>
        </w:rPr>
        <w:t>招标人</w:t>
      </w:r>
      <w:r>
        <w:rPr>
          <w:rFonts w:hint="eastAsia" w:ascii="宋体" w:hAnsi="宋体" w:eastAsia="宋体" w:cs="宋体"/>
          <w:color w:val="000000"/>
          <w:sz w:val="21"/>
          <w:szCs w:val="21"/>
        </w:rPr>
        <w:t>的需求做出响应。按照消防维保标准，合理制订维保方案，落实维保措施，保证各消防设备设施正常运行，为通过消防监督管理部门的检测验收提供保障。如进行大型会议、大型体育赛事、文化演出活动时，维保单位必须安排人员进行现场值班，及时处理好消防突发事件，并提供相关技术保障。</w:t>
      </w:r>
    </w:p>
    <w:p w14:paraId="00C4F0C3">
      <w:pPr>
        <w:spacing w:line="5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21.维保合同签订后，中标人需按</w:t>
      </w:r>
      <w:r>
        <w:rPr>
          <w:rFonts w:hint="eastAsia" w:ascii="宋体" w:hAnsi="宋体"/>
          <w:color w:val="000000"/>
          <w:sz w:val="21"/>
          <w:szCs w:val="21"/>
          <w:highlight w:val="none"/>
          <w:lang w:val="en-US" w:eastAsia="zh-CN"/>
        </w:rPr>
        <w:t>招标人</w:t>
      </w:r>
      <w:r>
        <w:rPr>
          <w:rFonts w:hint="eastAsia" w:ascii="宋体" w:hAnsi="宋体" w:eastAsia="宋体" w:cs="宋体"/>
          <w:color w:val="000000"/>
          <w:sz w:val="21"/>
          <w:szCs w:val="21"/>
          <w:highlight w:val="none"/>
          <w:lang w:val="en-US" w:eastAsia="zh-CN"/>
        </w:rPr>
        <w:t>要求组织技术人员进行详细的消防设备系统检查，并出具各系统检查报告。</w:t>
      </w:r>
    </w:p>
    <w:p w14:paraId="56EB37D3">
      <w:pPr>
        <w:spacing w:line="500" w:lineRule="exact"/>
        <w:ind w:firstLine="420" w:firstLineChars="200"/>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22.中标人</w:t>
      </w:r>
      <w:r>
        <w:rPr>
          <w:rFonts w:hint="eastAsia" w:ascii="宋体" w:hAnsi="宋体" w:eastAsia="宋体" w:cs="宋体"/>
          <w:color w:val="000000"/>
          <w:sz w:val="21"/>
          <w:szCs w:val="21"/>
          <w:highlight w:val="none"/>
        </w:rPr>
        <w:t>对建筑消防设施进行维护保养后，应当制作包含</w:t>
      </w:r>
      <w:r>
        <w:rPr>
          <w:rFonts w:hint="eastAsia" w:ascii="宋体" w:hAnsi="宋体" w:eastAsia="宋体" w:cs="宋体"/>
          <w:color w:val="000000"/>
          <w:sz w:val="21"/>
          <w:szCs w:val="21"/>
          <w:highlight w:val="none"/>
          <w:lang w:val="en-US" w:eastAsia="zh-CN"/>
        </w:rPr>
        <w:t>中标人</w:t>
      </w:r>
      <w:r>
        <w:rPr>
          <w:rFonts w:hint="eastAsia" w:ascii="宋体" w:hAnsi="宋体" w:eastAsia="宋体" w:cs="宋体"/>
          <w:color w:val="000000"/>
          <w:sz w:val="21"/>
          <w:szCs w:val="21"/>
          <w:highlight w:val="none"/>
        </w:rPr>
        <w:t>机构名称及项目负责人、维护保养日期等信息的标识，在消防设施所在建筑的醒目位置上予以公示。</w:t>
      </w:r>
    </w:p>
    <w:p w14:paraId="66D4E73B">
      <w:pPr>
        <w:pStyle w:val="16"/>
        <w:rPr>
          <w:rFonts w:hint="default"/>
          <w:lang w:val="en-US" w:eastAsia="zh-CN"/>
        </w:rPr>
      </w:pPr>
    </w:p>
    <w:p w14:paraId="64CC3129">
      <w:pPr>
        <w:pStyle w:val="2"/>
        <w:pageBreakBefore/>
        <w:spacing w:before="240" w:beforeLines="100" w:after="240" w:afterLines="100" w:line="500" w:lineRule="exact"/>
        <w:jc w:val="center"/>
        <w:rPr>
          <w:rFonts w:ascii="Times New Roman" w:hAnsi="Times New Roman" w:eastAsia="黑体" w:cs="Times New Roman"/>
          <w:b/>
          <w:bCs/>
          <w:kern w:val="2"/>
          <w:sz w:val="32"/>
          <w:szCs w:val="32"/>
        </w:rPr>
      </w:pPr>
      <w:r>
        <w:rPr>
          <w:rFonts w:ascii="Times New Roman" w:hAnsi="Times New Roman" w:eastAsia="黑体" w:cs="Times New Roman"/>
          <w:b/>
          <w:bCs/>
          <w:kern w:val="2"/>
          <w:sz w:val="32"/>
          <w:szCs w:val="32"/>
          <w:lang w:val="en-US" w:eastAsia="zh-CN"/>
        </w:rPr>
        <w:t>第六章</w:t>
      </w:r>
      <w:r>
        <w:rPr>
          <w:rFonts w:hint="eastAsia" w:ascii="Times New Roman" w:hAnsi="Times New Roman" w:eastAsia="黑体" w:cs="Times New Roman"/>
          <w:b/>
          <w:bCs/>
          <w:kern w:val="2"/>
          <w:sz w:val="32"/>
          <w:szCs w:val="32"/>
          <w:lang w:val="en-US" w:eastAsia="zh-CN"/>
        </w:rPr>
        <w:t xml:space="preserve"> </w:t>
      </w:r>
      <w:r>
        <w:rPr>
          <w:rFonts w:ascii="Times New Roman" w:hAnsi="Times New Roman" w:eastAsia="黑体" w:cs="Times New Roman"/>
          <w:b/>
          <w:bCs/>
          <w:kern w:val="2"/>
          <w:sz w:val="32"/>
          <w:szCs w:val="32"/>
          <w:lang w:val="en-US" w:eastAsia="zh-CN"/>
        </w:rPr>
        <w:t>投标文件格式</w:t>
      </w:r>
    </w:p>
    <w:p w14:paraId="6DE1184E">
      <w:pPr>
        <w:spacing w:line="400" w:lineRule="exact"/>
        <w:rPr>
          <w:rFonts w:ascii="Times New Roman" w:hAnsi="Times New Roman"/>
        </w:rPr>
      </w:pPr>
    </w:p>
    <w:p w14:paraId="24A22CBA">
      <w:pPr>
        <w:spacing w:line="400" w:lineRule="exact"/>
        <w:rPr>
          <w:rFonts w:ascii="Times New Roman" w:hAnsi="Times New Roman"/>
        </w:rPr>
      </w:pPr>
      <w:r>
        <w:rPr>
          <w:rFonts w:ascii="Times New Roman" w:hAnsi="Times New Roman"/>
        </w:rPr>
        <w:br w:type="page"/>
      </w:r>
    </w:p>
    <w:p w14:paraId="5FF1FA86">
      <w:pPr>
        <w:jc w:val="center"/>
        <w:rPr>
          <w:rFonts w:ascii="Times New Roman" w:hAnsi="Times New Roman" w:eastAsia="黑体"/>
          <w:sz w:val="28"/>
          <w:szCs w:val="28"/>
          <w:u w:val="single"/>
        </w:rPr>
      </w:pPr>
      <w:r>
        <w:rPr>
          <w:rFonts w:hint="eastAsia" w:ascii="Times New Roman" w:hAnsi="Times New Roman" w:eastAsia="黑体"/>
          <w:sz w:val="28"/>
          <w:szCs w:val="28"/>
          <w:u w:val="single"/>
          <w:lang w:val="en-US" w:eastAsia="zh-CN"/>
        </w:rPr>
        <w:t>合肥市妇女儿童活动中心2026年</w:t>
      </w:r>
      <w:r>
        <w:rPr>
          <w:rFonts w:hint="eastAsia" w:ascii="Times New Roman" w:hAnsi="Times New Roman" w:eastAsia="黑体"/>
          <w:sz w:val="28"/>
          <w:szCs w:val="28"/>
          <w:u w:val="single"/>
        </w:rPr>
        <w:t>消防维保服务</w:t>
      </w:r>
      <w:r>
        <w:rPr>
          <w:rFonts w:ascii="Times New Roman" w:hAnsi="Times New Roman" w:eastAsia="黑体"/>
          <w:sz w:val="28"/>
          <w:szCs w:val="28"/>
        </w:rPr>
        <w:t>招标</w:t>
      </w:r>
    </w:p>
    <w:p w14:paraId="4085167C">
      <w:pPr>
        <w:rPr>
          <w:rFonts w:ascii="Times New Roman" w:hAnsi="Times New Roman" w:eastAsia="黑体"/>
          <w:sz w:val="20"/>
        </w:rPr>
      </w:pPr>
    </w:p>
    <w:p w14:paraId="288C7359">
      <w:pPr>
        <w:rPr>
          <w:rFonts w:ascii="Times New Roman" w:hAnsi="Times New Roman" w:eastAsia="黑体"/>
          <w:sz w:val="20"/>
        </w:rPr>
      </w:pPr>
    </w:p>
    <w:p w14:paraId="1AF21B3C">
      <w:pPr>
        <w:rPr>
          <w:rFonts w:ascii="Times New Roman" w:hAnsi="Times New Roman" w:eastAsia="黑体"/>
          <w:sz w:val="20"/>
        </w:rPr>
      </w:pPr>
    </w:p>
    <w:p w14:paraId="796FC3F1">
      <w:pPr>
        <w:rPr>
          <w:rFonts w:ascii="Times New Roman" w:hAnsi="Times New Roman" w:eastAsia="黑体"/>
          <w:sz w:val="20"/>
        </w:rPr>
      </w:pPr>
    </w:p>
    <w:p w14:paraId="213685D4">
      <w:pPr>
        <w:pStyle w:val="3"/>
        <w:jc w:val="center"/>
        <w:rPr>
          <w:rFonts w:ascii="Times New Roman" w:hAnsi="Times New Roman"/>
          <w:b w:val="0"/>
          <w:sz w:val="44"/>
          <w:szCs w:val="44"/>
        </w:rPr>
      </w:pPr>
      <w:bookmarkStart w:id="421" w:name="_Toc3383"/>
      <w:bookmarkStart w:id="422" w:name="_Toc5071"/>
      <w:bookmarkStart w:id="423" w:name="_Toc1453"/>
      <w:bookmarkStart w:id="424" w:name="_Toc16245"/>
      <w:bookmarkStart w:id="425" w:name="_Toc2621"/>
      <w:bookmarkStart w:id="426" w:name="_Toc18759"/>
      <w:r>
        <w:rPr>
          <w:rFonts w:ascii="Times New Roman" w:hAnsi="Times New Roman"/>
          <w:b w:val="0"/>
          <w:sz w:val="44"/>
          <w:szCs w:val="44"/>
        </w:rPr>
        <w:t>投标文件</w:t>
      </w:r>
      <w:r>
        <w:rPr>
          <w:rFonts w:ascii="Times New Roman" w:hAnsi="Times New Roman"/>
          <w:b w:val="0"/>
          <w:sz w:val="44"/>
          <w:szCs w:val="44"/>
        </w:rPr>
        <w:br w:type="textWrapping"/>
      </w:r>
      <w:r>
        <w:rPr>
          <w:rFonts w:ascii="Times New Roman" w:hAnsi="Times New Roman"/>
          <w:b w:val="0"/>
          <w:sz w:val="44"/>
          <w:szCs w:val="44"/>
        </w:rPr>
        <w:t>（商务及技术文件）</w:t>
      </w:r>
      <w:bookmarkEnd w:id="421"/>
      <w:bookmarkEnd w:id="422"/>
      <w:bookmarkEnd w:id="423"/>
      <w:bookmarkEnd w:id="424"/>
      <w:bookmarkEnd w:id="425"/>
      <w:bookmarkEnd w:id="426"/>
    </w:p>
    <w:p w14:paraId="1B375A01">
      <w:pPr>
        <w:rPr>
          <w:rFonts w:ascii="Times New Roman" w:hAnsi="Times New Roman" w:eastAsia="黑体"/>
          <w:sz w:val="28"/>
        </w:rPr>
      </w:pPr>
    </w:p>
    <w:p w14:paraId="5F735A7A">
      <w:pPr>
        <w:rPr>
          <w:rFonts w:ascii="Times New Roman" w:hAnsi="Times New Roman" w:eastAsia="黑体"/>
          <w:sz w:val="28"/>
        </w:rPr>
      </w:pPr>
    </w:p>
    <w:p w14:paraId="40F28535">
      <w:pPr>
        <w:rPr>
          <w:rFonts w:ascii="Times New Roman" w:hAnsi="Times New Roman" w:eastAsia="黑体"/>
          <w:sz w:val="28"/>
        </w:rPr>
      </w:pPr>
    </w:p>
    <w:p w14:paraId="7F331364">
      <w:pPr>
        <w:rPr>
          <w:rFonts w:ascii="Times New Roman" w:hAnsi="Times New Roman" w:eastAsia="黑体"/>
          <w:sz w:val="28"/>
        </w:rPr>
      </w:pPr>
    </w:p>
    <w:p w14:paraId="1748E58A">
      <w:pPr>
        <w:rPr>
          <w:rFonts w:ascii="Times New Roman" w:hAnsi="Times New Roman" w:eastAsia="黑体"/>
          <w:sz w:val="28"/>
        </w:rPr>
      </w:pPr>
    </w:p>
    <w:p w14:paraId="296D6357">
      <w:pPr>
        <w:rPr>
          <w:rFonts w:ascii="Times New Roman" w:hAnsi="Times New Roman" w:eastAsia="黑体"/>
          <w:sz w:val="28"/>
        </w:rPr>
      </w:pPr>
    </w:p>
    <w:p w14:paraId="102F231B">
      <w:pPr>
        <w:rPr>
          <w:rFonts w:ascii="Times New Roman" w:hAnsi="Times New Roman" w:eastAsia="黑体"/>
          <w:sz w:val="28"/>
        </w:rPr>
      </w:pPr>
    </w:p>
    <w:p w14:paraId="6CD48E6B">
      <w:pPr>
        <w:rPr>
          <w:rFonts w:ascii="Times New Roman" w:hAnsi="Times New Roman" w:eastAsia="黑体"/>
          <w:sz w:val="28"/>
        </w:rPr>
      </w:pPr>
    </w:p>
    <w:p w14:paraId="5C478E1C">
      <w:pPr>
        <w:rPr>
          <w:rFonts w:ascii="Times New Roman" w:hAnsi="Times New Roman" w:eastAsia="黑体"/>
          <w:sz w:val="28"/>
        </w:rPr>
      </w:pPr>
    </w:p>
    <w:p w14:paraId="42C61EB9">
      <w:pPr>
        <w:rPr>
          <w:rFonts w:ascii="Times New Roman" w:hAnsi="Times New Roman" w:eastAsia="黑体"/>
          <w:sz w:val="28"/>
        </w:rPr>
      </w:pPr>
    </w:p>
    <w:p w14:paraId="1C156022">
      <w:pPr>
        <w:rPr>
          <w:rFonts w:ascii="Times New Roman" w:hAnsi="Times New Roman" w:eastAsia="黑体"/>
          <w:sz w:val="28"/>
        </w:rPr>
      </w:pPr>
    </w:p>
    <w:p w14:paraId="210028C3">
      <w:pPr>
        <w:rPr>
          <w:rFonts w:ascii="Times New Roman" w:hAnsi="Times New Roman" w:eastAsia="黑体"/>
          <w:sz w:val="28"/>
        </w:rPr>
      </w:pPr>
    </w:p>
    <w:p w14:paraId="0003B936">
      <w:pPr>
        <w:rPr>
          <w:rFonts w:ascii="Times New Roman" w:hAnsi="Times New Roman" w:eastAsia="黑体"/>
          <w:sz w:val="28"/>
        </w:rPr>
      </w:pPr>
    </w:p>
    <w:p w14:paraId="7D1EBD33">
      <w:pPr>
        <w:rPr>
          <w:rFonts w:ascii="Times New Roman" w:hAnsi="Times New Roman" w:eastAsia="黑体"/>
          <w:sz w:val="28"/>
        </w:rPr>
      </w:pPr>
    </w:p>
    <w:p w14:paraId="09742EEE">
      <w:pPr>
        <w:rPr>
          <w:rFonts w:ascii="Times New Roman" w:hAnsi="Times New Roman" w:eastAsia="黑体"/>
          <w:sz w:val="28"/>
        </w:rPr>
      </w:pPr>
    </w:p>
    <w:p w14:paraId="5CD7B742">
      <w:pPr>
        <w:rPr>
          <w:rFonts w:ascii="Times New Roman" w:hAnsi="Times New Roman" w:eastAsia="黑体"/>
          <w:sz w:val="28"/>
        </w:rPr>
      </w:pPr>
    </w:p>
    <w:p w14:paraId="0325AC6D">
      <w:pPr>
        <w:rPr>
          <w:rFonts w:ascii="Times New Roman" w:hAnsi="Times New Roman" w:eastAsia="黑体"/>
          <w:sz w:val="28"/>
        </w:rPr>
      </w:pPr>
    </w:p>
    <w:p w14:paraId="5927CCE2">
      <w:pPr>
        <w:rPr>
          <w:rFonts w:ascii="Times New Roman" w:hAnsi="Times New Roman" w:eastAsia="黑体"/>
          <w:sz w:val="28"/>
        </w:rPr>
      </w:pPr>
    </w:p>
    <w:p w14:paraId="4A71CBB2">
      <w:pPr>
        <w:spacing w:line="360" w:lineRule="auto"/>
        <w:ind w:firstLine="1820" w:firstLineChars="650"/>
        <w:rPr>
          <w:rFonts w:ascii="Times New Roman" w:hAnsi="Times New Roman" w:eastAsia="黑体"/>
          <w:sz w:val="28"/>
          <w:u w:val="single"/>
        </w:rPr>
      </w:pPr>
      <w:r>
        <w:rPr>
          <w:rFonts w:ascii="Times New Roman" w:hAnsi="Times New Roman" w:eastAsia="黑体"/>
          <w:sz w:val="28"/>
        </w:rPr>
        <w:t>投标人：</w:t>
      </w:r>
      <w:r>
        <w:rPr>
          <w:rFonts w:ascii="Times New Roman" w:hAnsi="Times New Roman"/>
          <w:u w:val="single"/>
        </w:rPr>
        <w:t xml:space="preserve">                              </w:t>
      </w:r>
    </w:p>
    <w:p w14:paraId="7A4A56E8">
      <w:pPr>
        <w:spacing w:line="600" w:lineRule="exact"/>
        <w:jc w:val="center"/>
        <w:rPr>
          <w:rFonts w:ascii="Times New Roman" w:hAnsi="Times New Roman" w:eastAsia="黑体"/>
          <w:sz w:val="32"/>
          <w:szCs w:val="32"/>
        </w:rPr>
      </w:pPr>
      <w:r>
        <w:rPr>
          <w:rFonts w:ascii="Times New Roman" w:hAnsi="Times New Roman"/>
          <w:u w:val="single"/>
        </w:rPr>
        <w:t xml:space="preserve">       </w:t>
      </w:r>
      <w:r>
        <w:rPr>
          <w:rFonts w:ascii="Times New Roman" w:hAnsi="Times New Roman" w:eastAsia="黑体"/>
          <w:sz w:val="28"/>
        </w:rPr>
        <w:t>年</w:t>
      </w:r>
      <w:r>
        <w:rPr>
          <w:rFonts w:ascii="Times New Roman" w:hAnsi="Times New Roman"/>
          <w:u w:val="single"/>
        </w:rPr>
        <w:t xml:space="preserve">       </w:t>
      </w:r>
      <w:r>
        <w:rPr>
          <w:rFonts w:ascii="Times New Roman" w:hAnsi="Times New Roman" w:eastAsia="黑体"/>
          <w:sz w:val="28"/>
        </w:rPr>
        <w:t>月</w:t>
      </w:r>
      <w:r>
        <w:rPr>
          <w:rFonts w:ascii="Times New Roman" w:hAnsi="Times New Roman"/>
          <w:u w:val="single"/>
        </w:rPr>
        <w:t xml:space="preserve">       </w:t>
      </w:r>
      <w:r>
        <w:rPr>
          <w:rFonts w:ascii="Times New Roman" w:hAnsi="Times New Roman" w:eastAsia="黑体"/>
          <w:sz w:val="28"/>
        </w:rPr>
        <w:t>日</w:t>
      </w:r>
      <w:r>
        <w:rPr>
          <w:rFonts w:ascii="Times New Roman" w:hAnsi="Times New Roman"/>
        </w:rPr>
        <w:br w:type="page"/>
      </w:r>
      <w:r>
        <w:rPr>
          <w:rFonts w:ascii="Times New Roman" w:hAnsi="Times New Roman" w:eastAsia="黑体"/>
          <w:sz w:val="32"/>
          <w:szCs w:val="32"/>
        </w:rPr>
        <w:t>目  录</w:t>
      </w:r>
    </w:p>
    <w:p w14:paraId="7000B492">
      <w:pPr>
        <w:spacing w:line="480" w:lineRule="auto"/>
        <w:rPr>
          <w:rFonts w:ascii="Times New Roman" w:hAnsi="Times New Roman" w:eastAsia="宋体" w:cs="Times New Roman"/>
          <w:szCs w:val="21"/>
        </w:rPr>
      </w:pPr>
      <w:r>
        <w:rPr>
          <w:rFonts w:hint="eastAsia" w:ascii="Times New Roman" w:hAnsi="Times New Roman" w:eastAsia="宋体" w:cs="Times New Roman"/>
          <w:szCs w:val="21"/>
          <w:lang w:val="en-US" w:eastAsia="zh-CN"/>
        </w:rPr>
        <w:t>一、</w:t>
      </w:r>
      <w:r>
        <w:rPr>
          <w:rFonts w:ascii="Times New Roman" w:hAnsi="Times New Roman" w:eastAsia="宋体" w:cs="Times New Roman"/>
          <w:szCs w:val="21"/>
        </w:rPr>
        <w:t>投标函（不含报价）</w:t>
      </w:r>
    </w:p>
    <w:p w14:paraId="7B22B869">
      <w:pPr>
        <w:spacing w:line="480" w:lineRule="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二、法定代表人身份证明或授权委托书</w:t>
      </w:r>
    </w:p>
    <w:p w14:paraId="5D64F29A">
      <w:pPr>
        <w:spacing w:line="48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三、联合体协议书</w:t>
      </w:r>
    </w:p>
    <w:p w14:paraId="0F1BD142">
      <w:pPr>
        <w:spacing w:line="480" w:lineRule="auto"/>
        <w:rPr>
          <w:rFonts w:ascii="Times New Roman" w:hAnsi="Times New Roman"/>
          <w:szCs w:val="21"/>
        </w:rPr>
      </w:pPr>
      <w:r>
        <w:rPr>
          <w:rFonts w:ascii="Times New Roman" w:hAnsi="Times New Roman"/>
          <w:szCs w:val="21"/>
        </w:rPr>
        <w:t>四、投标保证金</w:t>
      </w:r>
    </w:p>
    <w:p w14:paraId="0B0D1C15">
      <w:pPr>
        <w:spacing w:line="480" w:lineRule="auto"/>
        <w:rPr>
          <w:rFonts w:ascii="Times New Roman" w:hAnsi="Times New Roman"/>
          <w:szCs w:val="21"/>
        </w:rPr>
      </w:pPr>
      <w:r>
        <w:rPr>
          <w:rFonts w:ascii="Times New Roman" w:hAnsi="Times New Roman"/>
          <w:szCs w:val="21"/>
        </w:rPr>
        <w:t>五、投标保证金退还声明</w:t>
      </w:r>
    </w:p>
    <w:p w14:paraId="300D75B4">
      <w:pPr>
        <w:spacing w:line="480" w:lineRule="auto"/>
        <w:rPr>
          <w:rFonts w:ascii="Times New Roman" w:hAnsi="Times New Roman"/>
          <w:szCs w:val="21"/>
        </w:rPr>
      </w:pPr>
      <w:r>
        <w:rPr>
          <w:rFonts w:ascii="Times New Roman" w:hAnsi="Times New Roman"/>
          <w:szCs w:val="21"/>
        </w:rPr>
        <w:t>六、</w:t>
      </w:r>
      <w:r>
        <w:rPr>
          <w:rFonts w:ascii="Times New Roman" w:hAnsi="Times New Roman"/>
        </w:rPr>
        <w:t>拟委任的主要人员汇总表</w:t>
      </w:r>
    </w:p>
    <w:p w14:paraId="5F83CD18">
      <w:pPr>
        <w:spacing w:line="480" w:lineRule="auto"/>
        <w:rPr>
          <w:rFonts w:ascii="Times New Roman" w:hAnsi="Times New Roman"/>
          <w:szCs w:val="21"/>
        </w:rPr>
      </w:pPr>
      <w:r>
        <w:rPr>
          <w:rFonts w:ascii="Times New Roman" w:hAnsi="Times New Roman"/>
          <w:szCs w:val="21"/>
        </w:rPr>
        <w:t>七、资格审查资料</w:t>
      </w:r>
    </w:p>
    <w:p w14:paraId="59F7533F">
      <w:pPr>
        <w:spacing w:line="480" w:lineRule="auto"/>
        <w:rPr>
          <w:rFonts w:ascii="Times New Roman" w:hAnsi="Times New Roman"/>
          <w:szCs w:val="21"/>
        </w:rPr>
      </w:pPr>
      <w:r>
        <w:rPr>
          <w:rFonts w:ascii="Times New Roman" w:hAnsi="Times New Roman"/>
          <w:szCs w:val="21"/>
        </w:rPr>
        <w:t>（一）投标人基本情况表</w:t>
      </w:r>
    </w:p>
    <w:p w14:paraId="1BABB1D8">
      <w:pPr>
        <w:spacing w:line="480" w:lineRule="auto"/>
        <w:rPr>
          <w:rFonts w:ascii="Times New Roman" w:hAnsi="Times New Roman"/>
          <w:szCs w:val="21"/>
        </w:rPr>
      </w:pPr>
      <w:r>
        <w:rPr>
          <w:rFonts w:ascii="Times New Roman" w:hAnsi="Times New Roman"/>
          <w:szCs w:val="21"/>
        </w:rPr>
        <w:t>（二）投标人近年完成的类似项目情况表</w:t>
      </w:r>
    </w:p>
    <w:p w14:paraId="3CC6B2CB">
      <w:pPr>
        <w:spacing w:line="480" w:lineRule="auto"/>
        <w:rPr>
          <w:rFonts w:ascii="Times New Roman" w:hAnsi="Times New Roman" w:eastAsia="宋体" w:cs="Times New Roman"/>
          <w:szCs w:val="21"/>
        </w:rPr>
      </w:pPr>
      <w:r>
        <w:rPr>
          <w:rFonts w:ascii="Times New Roman" w:hAnsi="Times New Roman" w:eastAsia="宋体" w:cs="Times New Roman"/>
          <w:szCs w:val="21"/>
        </w:rPr>
        <w:t>（三）项目负责人近年完成的类似项目情况表</w:t>
      </w:r>
    </w:p>
    <w:p w14:paraId="17B86C3A">
      <w:pPr>
        <w:spacing w:line="480" w:lineRule="auto"/>
        <w:rPr>
          <w:rFonts w:ascii="Times New Roman" w:hAnsi="Times New Roman" w:eastAsia="宋体" w:cs="Times New Roman"/>
          <w:szCs w:val="21"/>
        </w:rPr>
      </w:pPr>
      <w:r>
        <w:rPr>
          <w:rFonts w:ascii="Times New Roman" w:hAnsi="Times New Roman" w:eastAsia="宋体" w:cs="Times New Roman"/>
          <w:szCs w:val="21"/>
        </w:rPr>
        <w:t>（四）主要人员简历表</w:t>
      </w:r>
    </w:p>
    <w:p w14:paraId="71ACEFDE">
      <w:pPr>
        <w:spacing w:line="480" w:lineRule="auto"/>
        <w:rPr>
          <w:rFonts w:ascii="Times New Roman" w:hAnsi="Times New Roman" w:eastAsia="宋体" w:cs="Times New Roman"/>
          <w:szCs w:val="21"/>
        </w:rPr>
      </w:pPr>
      <w:r>
        <w:rPr>
          <w:rFonts w:ascii="Times New Roman" w:hAnsi="Times New Roman" w:eastAsia="宋体" w:cs="Times New Roman"/>
          <w:szCs w:val="21"/>
        </w:rPr>
        <w:t>八、服务方案</w:t>
      </w:r>
    </w:p>
    <w:p w14:paraId="0B409C67">
      <w:pPr>
        <w:spacing w:line="480" w:lineRule="auto"/>
        <w:rPr>
          <w:rFonts w:ascii="Times New Roman" w:hAnsi="Times New Roman" w:eastAsia="宋体" w:cs="Times New Roman"/>
          <w:szCs w:val="21"/>
        </w:rPr>
      </w:pPr>
      <w:r>
        <w:rPr>
          <w:rFonts w:hint="eastAsia" w:ascii="Times New Roman" w:hAnsi="Times New Roman" w:eastAsia="宋体" w:cs="Times New Roman"/>
          <w:szCs w:val="21"/>
          <w:lang w:val="en-US" w:eastAsia="zh-CN"/>
        </w:rPr>
        <w:t>九、信用查询</w:t>
      </w:r>
      <w:r>
        <w:rPr>
          <w:rFonts w:hint="eastAsia" w:ascii="Times New Roman" w:hAnsi="Times New Roman" w:eastAsia="宋体" w:cs="Times New Roman"/>
          <w:szCs w:val="21"/>
        </w:rPr>
        <w:t>截图</w:t>
      </w:r>
    </w:p>
    <w:p w14:paraId="68968155">
      <w:pPr>
        <w:spacing w:line="480" w:lineRule="auto"/>
        <w:rPr>
          <w:rFonts w:ascii="Times New Roman" w:hAnsi="Times New Roman" w:eastAsia="宋体" w:cs="Times New Roman"/>
          <w:szCs w:val="21"/>
        </w:rPr>
      </w:pPr>
      <w:r>
        <w:rPr>
          <w:rFonts w:hint="eastAsia" w:ascii="Times New Roman" w:hAnsi="Times New Roman" w:eastAsia="宋体" w:cs="Times New Roman"/>
          <w:szCs w:val="21"/>
          <w:lang w:val="en-US" w:eastAsia="zh-CN"/>
        </w:rPr>
        <w:t>十</w:t>
      </w:r>
      <w:r>
        <w:rPr>
          <w:rFonts w:ascii="Times New Roman" w:hAnsi="Times New Roman" w:eastAsia="宋体" w:cs="Times New Roman"/>
          <w:szCs w:val="21"/>
        </w:rPr>
        <w:t>、其他资料</w:t>
      </w:r>
    </w:p>
    <w:p w14:paraId="532F89CC">
      <w:pPr>
        <w:pStyle w:val="4"/>
        <w:spacing w:line="413" w:lineRule="auto"/>
        <w:ind w:firstLine="137"/>
        <w:jc w:val="center"/>
        <w:rPr>
          <w:rFonts w:ascii="Times New Roman" w:hAnsi="Times New Roman"/>
          <w:sz w:val="24"/>
          <w:szCs w:val="24"/>
        </w:rPr>
      </w:pPr>
      <w:bookmarkStart w:id="427" w:name="_Toc369531691"/>
      <w:bookmarkStart w:id="428" w:name="_Toc352691655"/>
      <w:bookmarkStart w:id="429" w:name="_Toc7039"/>
      <w:r>
        <w:rPr>
          <w:rFonts w:ascii="Times New Roman" w:hAnsi="Times New Roman"/>
        </w:rPr>
        <w:br w:type="page"/>
      </w:r>
      <w:bookmarkEnd w:id="427"/>
      <w:bookmarkEnd w:id="428"/>
      <w:bookmarkEnd w:id="429"/>
      <w:r>
        <w:rPr>
          <w:rFonts w:ascii="Times New Roman" w:hAnsi="Times New Roman"/>
          <w:sz w:val="24"/>
          <w:szCs w:val="24"/>
        </w:rPr>
        <w:t>一、投标</w:t>
      </w:r>
      <w:bookmarkStart w:id="430" w:name="_Toc369531692"/>
      <w:bookmarkStart w:id="431" w:name="_Toc352691656"/>
      <w:bookmarkStart w:id="432" w:name="_Toc6931"/>
      <w:r>
        <w:rPr>
          <w:rFonts w:ascii="Times New Roman" w:hAnsi="Times New Roman"/>
          <w:sz w:val="24"/>
          <w:szCs w:val="24"/>
        </w:rPr>
        <w:t>函</w:t>
      </w:r>
    </w:p>
    <w:bookmarkEnd w:id="430"/>
    <w:bookmarkEnd w:id="431"/>
    <w:bookmarkEnd w:id="432"/>
    <w:p w14:paraId="39528CE8">
      <w:pPr>
        <w:adjustRightInd w:val="0"/>
        <w:snapToGrid w:val="0"/>
        <w:spacing w:before="48" w:beforeLines="20" w:after="48" w:afterLines="20" w:line="400" w:lineRule="exact"/>
        <w:rPr>
          <w:rFonts w:ascii="Times New Roman" w:hAnsi="Times New Roman"/>
          <w:szCs w:val="21"/>
        </w:rPr>
      </w:pPr>
      <w:r>
        <w:rPr>
          <w:rFonts w:ascii="Times New Roman" w:hAnsi="Times New Roman"/>
          <w:szCs w:val="21"/>
          <w:u w:val="single"/>
        </w:rPr>
        <w:t>某委托单位</w:t>
      </w:r>
      <w:r>
        <w:rPr>
          <w:rFonts w:ascii="Times New Roman" w:hAnsi="Times New Roman"/>
          <w:snapToGrid w:val="0"/>
          <w:kern w:val="0"/>
          <w:szCs w:val="21"/>
        </w:rPr>
        <w:t>：</w:t>
      </w:r>
    </w:p>
    <w:p w14:paraId="3C0033E8">
      <w:pPr>
        <w:spacing w:line="440" w:lineRule="exact"/>
        <w:ind w:firstLine="405"/>
        <w:rPr>
          <w:rFonts w:ascii="Times New Roman" w:hAnsi="Times New Roman"/>
        </w:rPr>
      </w:pPr>
      <w:bookmarkStart w:id="433" w:name="_Hlk12788694"/>
      <w:r>
        <w:rPr>
          <w:rFonts w:ascii="Times New Roman" w:hAnsi="Times New Roman"/>
          <w:szCs w:val="21"/>
        </w:rPr>
        <w:t>1．</w:t>
      </w:r>
      <w:r>
        <w:rPr>
          <w:rFonts w:ascii="Times New Roman" w:hAnsi="Times New Roman"/>
        </w:rPr>
        <w:t>我方已仔细研究</w:t>
      </w:r>
      <w:r>
        <w:rPr>
          <w:rFonts w:ascii="Times New Roman" w:hAnsi="Times New Roman"/>
          <w:szCs w:val="21"/>
          <w:u w:val="single"/>
        </w:rPr>
        <w:t>某招标项目标段名称</w:t>
      </w:r>
      <w:r>
        <w:rPr>
          <w:rFonts w:ascii="Times New Roman" w:hAnsi="Times New Roman"/>
        </w:rPr>
        <w:t>招标文件的全部内容，在考察项目现场后，愿以</w:t>
      </w:r>
      <w:r>
        <w:rPr>
          <w:rFonts w:ascii="Times New Roman" w:hAnsi="Times New Roman"/>
          <w:szCs w:val="21"/>
          <w:u w:val="single"/>
        </w:rPr>
        <w:t>报价文件投标函中</w:t>
      </w:r>
      <w:r>
        <w:rPr>
          <w:rFonts w:ascii="Times New Roman" w:hAnsi="Times New Roman"/>
          <w:u w:val="single"/>
        </w:rPr>
        <w:t>的</w:t>
      </w:r>
      <w:r>
        <w:rPr>
          <w:rFonts w:ascii="Times New Roman" w:hAnsi="Times New Roman"/>
        </w:rPr>
        <w:t>投标总报价，并承诺按本招标文件、合同条款的条件、承担上述项目的全部内容。</w:t>
      </w:r>
      <w:bookmarkStart w:id="434" w:name="_GoBack"/>
      <w:bookmarkEnd w:id="434"/>
    </w:p>
    <w:p w14:paraId="03681479">
      <w:pPr>
        <w:tabs>
          <w:tab w:val="left" w:pos="7560"/>
        </w:tabs>
        <w:adjustRightInd w:val="0"/>
        <w:snapToGrid w:val="0"/>
        <w:spacing w:before="48" w:beforeLines="20" w:after="48" w:afterLines="20" w:line="400" w:lineRule="exact"/>
        <w:ind w:firstLine="420" w:firstLineChars="200"/>
        <w:jc w:val="left"/>
        <w:rPr>
          <w:rFonts w:ascii="Times New Roman" w:hAnsi="Times New Roman"/>
        </w:rPr>
      </w:pPr>
      <w:r>
        <w:rPr>
          <w:rFonts w:ascii="Times New Roman" w:hAnsi="Times New Roman"/>
        </w:rPr>
        <w:t>2. 我方承诺在招标文件规定的投标有效期内不撤销投标文件。</w:t>
      </w:r>
    </w:p>
    <w:p w14:paraId="2BA4A66C">
      <w:pPr>
        <w:tabs>
          <w:tab w:val="left" w:pos="7560"/>
        </w:tabs>
        <w:adjustRightInd w:val="0"/>
        <w:snapToGrid w:val="0"/>
        <w:spacing w:before="48" w:beforeLines="20" w:after="48" w:afterLines="20" w:line="400" w:lineRule="exact"/>
        <w:ind w:firstLine="420" w:firstLineChars="200"/>
        <w:jc w:val="left"/>
        <w:rPr>
          <w:rFonts w:ascii="Times New Roman" w:hAnsi="Times New Roman"/>
        </w:rPr>
      </w:pPr>
      <w:r>
        <w:rPr>
          <w:rFonts w:ascii="Times New Roman" w:hAnsi="Times New Roman"/>
        </w:rPr>
        <w:t>3. 质量：</w:t>
      </w:r>
      <w:r>
        <w:rPr>
          <w:rFonts w:ascii="Times New Roman" w:hAnsi="Times New Roman"/>
          <w:u w:val="single"/>
        </w:rPr>
        <w:t>响应招标文件要求</w:t>
      </w:r>
      <w:r>
        <w:rPr>
          <w:rFonts w:ascii="Times New Roman" w:hAnsi="Times New Roman"/>
        </w:rPr>
        <w:t>；</w:t>
      </w:r>
      <w:r>
        <w:rPr>
          <w:rFonts w:ascii="Times New Roman" w:hAnsi="Times New Roman"/>
          <w:szCs w:val="21"/>
        </w:rPr>
        <w:t>服务期限</w:t>
      </w:r>
      <w:r>
        <w:rPr>
          <w:rFonts w:ascii="Times New Roman" w:hAnsi="Times New Roman"/>
        </w:rPr>
        <w:t>：</w:t>
      </w:r>
      <w:r>
        <w:rPr>
          <w:rFonts w:ascii="Times New Roman" w:hAnsi="Times New Roman"/>
          <w:u w:val="single"/>
        </w:rPr>
        <w:t>响应招标文件要求</w:t>
      </w:r>
      <w:r>
        <w:rPr>
          <w:rFonts w:ascii="Times New Roman" w:hAnsi="Times New Roman"/>
        </w:rPr>
        <w:t>。</w:t>
      </w:r>
    </w:p>
    <w:p w14:paraId="7DAF9737">
      <w:pPr>
        <w:tabs>
          <w:tab w:val="left" w:pos="7560"/>
        </w:tabs>
        <w:adjustRightInd w:val="0"/>
        <w:snapToGrid w:val="0"/>
        <w:spacing w:before="48" w:beforeLines="20" w:after="48" w:afterLines="20" w:line="400" w:lineRule="exact"/>
        <w:ind w:firstLine="420" w:firstLineChars="200"/>
        <w:jc w:val="left"/>
        <w:rPr>
          <w:rFonts w:ascii="Times New Roman" w:hAnsi="Times New Roman"/>
          <w:bCs/>
          <w:szCs w:val="32"/>
        </w:rPr>
      </w:pPr>
      <w:r>
        <w:rPr>
          <w:rFonts w:ascii="Times New Roman" w:hAnsi="Times New Roman"/>
          <w:bCs/>
          <w:szCs w:val="32"/>
        </w:rPr>
        <w:t>4. 我方将与本投标函一起提交投标保证金，且承诺投标保证金转出账户真实有效。</w:t>
      </w:r>
    </w:p>
    <w:p w14:paraId="3099D6FD">
      <w:pPr>
        <w:spacing w:line="440" w:lineRule="exact"/>
        <w:ind w:firstLine="420" w:firstLineChars="200"/>
        <w:rPr>
          <w:rFonts w:ascii="Times New Roman" w:hAnsi="Times New Roman"/>
          <w:szCs w:val="21"/>
        </w:rPr>
      </w:pPr>
      <w:r>
        <w:rPr>
          <w:rFonts w:ascii="Times New Roman" w:hAnsi="Times New Roman"/>
          <w:szCs w:val="21"/>
        </w:rPr>
        <w:t>5．如我方中标，我方承诺：</w:t>
      </w:r>
    </w:p>
    <w:p w14:paraId="002A1735">
      <w:pPr>
        <w:spacing w:line="400" w:lineRule="exact"/>
        <w:ind w:firstLine="405"/>
        <w:rPr>
          <w:rFonts w:ascii="Times New Roman" w:hAnsi="Times New Roman"/>
          <w:bCs/>
          <w:szCs w:val="32"/>
        </w:rPr>
      </w:pPr>
      <w:r>
        <w:rPr>
          <w:rFonts w:ascii="Times New Roman" w:hAnsi="Times New Roman"/>
          <w:bCs/>
          <w:szCs w:val="32"/>
        </w:rPr>
        <w:t>（1）在收到中标通知书后，在中标通知书规定的期限内与你方签订合同；</w:t>
      </w:r>
    </w:p>
    <w:p w14:paraId="28FB1D31">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（2）在签订合同时不向你方提出附加条件；</w:t>
      </w:r>
    </w:p>
    <w:p w14:paraId="282DE225">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（3）按照招标文件要求提交履约保证金；</w:t>
      </w:r>
    </w:p>
    <w:p w14:paraId="035D0B6E">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（4）在合同约定的期限内完成合同规定的全部义务；</w:t>
      </w:r>
    </w:p>
    <w:p w14:paraId="4D05F49A">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（5）</w:t>
      </w:r>
      <w:r>
        <w:rPr>
          <w:rFonts w:ascii="Times New Roman" w:hAnsi="Times New Roman"/>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14:paraId="72C8F2C7">
      <w:pPr>
        <w:spacing w:line="400" w:lineRule="exact"/>
        <w:ind w:firstLine="405"/>
        <w:rPr>
          <w:rFonts w:ascii="Times New Roman" w:hAnsi="Times New Roman"/>
          <w:szCs w:val="21"/>
        </w:rPr>
      </w:pPr>
      <w:r>
        <w:rPr>
          <w:rFonts w:ascii="Times New Roman" w:hAnsi="Times New Roman"/>
          <w:bCs/>
          <w:szCs w:val="32"/>
        </w:rPr>
        <w:t>（6）</w:t>
      </w:r>
      <w:r>
        <w:rPr>
          <w:rFonts w:ascii="Times New Roman" w:hAnsi="Times New Roman"/>
        </w:rPr>
        <w:t>按照《纳税人跨县（市、区）提供建筑服务增值税征收管理暂行办法》（国家税务总局公告2016年第17号）规定，在建筑服务发生地及时足额预缴增值税（适用于注册地不在合肥市行政区域范围（含四县一市）的中标人）；</w:t>
      </w:r>
    </w:p>
    <w:p w14:paraId="0490B029">
      <w:pPr>
        <w:adjustRightInd w:val="0"/>
        <w:snapToGrid w:val="0"/>
        <w:spacing w:before="48" w:beforeLines="20" w:after="48" w:afterLines="20" w:line="400" w:lineRule="exact"/>
        <w:ind w:firstLine="367" w:firstLineChars="175"/>
        <w:rPr>
          <w:rFonts w:ascii="Times New Roman" w:hAnsi="Times New Roman"/>
          <w:bCs/>
          <w:szCs w:val="32"/>
        </w:rPr>
      </w:pPr>
      <w:bookmarkStart w:id="435" w:name="_Toc352691658"/>
      <w:bookmarkStart w:id="436" w:name="_Toc1187"/>
      <w:bookmarkStart w:id="437" w:name="_Toc369531694"/>
      <w:r>
        <w:rPr>
          <w:rFonts w:ascii="Times New Roman" w:hAnsi="Times New Roman"/>
          <w:bCs/>
          <w:szCs w:val="32"/>
        </w:rPr>
        <w:t>6.</w:t>
      </w:r>
      <w:r>
        <w:rPr>
          <w:rFonts w:ascii="Times New Roman" w:hAnsi="Times New Roman"/>
          <w:snapToGrid w:val="0"/>
          <w:kern w:val="0"/>
          <w:szCs w:val="21"/>
        </w:rPr>
        <w:t xml:space="preserve"> 我方在此声明，所递交的投标文件及有关资料内容完整、真实和准确，符合资格审查条件(信誉最低要求)，且不存在招标文件第二章 “投标人须知”第1.4.3项和第1.4.4项规定的任何一种情形。</w:t>
      </w:r>
    </w:p>
    <w:p w14:paraId="1B1311E2">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7. 除非另外达成协议并生效，你方的中标通知书和本投标文件以及招标文件、招标文件澄清、修改、补充文件将成为约束双方的合同文件的组成部分。</w:t>
      </w:r>
    </w:p>
    <w:p w14:paraId="1BFBC6F4">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 xml:space="preserve">8. </w:t>
      </w:r>
      <w:r>
        <w:rPr>
          <w:rFonts w:ascii="Times New Roman" w:hAnsi="Times New Roman" w:eastAsia="黑体"/>
          <w:snapToGrid w:val="0"/>
          <w:kern w:val="0"/>
          <w:szCs w:val="21"/>
          <w:u w:val="single"/>
        </w:rPr>
        <w:t xml:space="preserve">                          </w:t>
      </w:r>
      <w:r>
        <w:rPr>
          <w:rFonts w:ascii="Times New Roman" w:hAnsi="Times New Roman"/>
          <w:snapToGrid w:val="0"/>
          <w:kern w:val="0"/>
          <w:szCs w:val="21"/>
        </w:rPr>
        <w:t>（其他补充说明）。</w:t>
      </w:r>
      <w:bookmarkEnd w:id="435"/>
      <w:bookmarkEnd w:id="436"/>
      <w:bookmarkEnd w:id="437"/>
    </w:p>
    <w:p w14:paraId="1F1D4B69">
      <w:pPr>
        <w:adjustRightInd w:val="0"/>
        <w:snapToGrid w:val="0"/>
        <w:spacing w:before="48" w:beforeLines="20" w:after="48" w:afterLines="20" w:line="400" w:lineRule="exact"/>
        <w:ind w:firstLine="490" w:firstLineChars="175"/>
        <w:rPr>
          <w:rFonts w:ascii="Times New Roman" w:hAnsi="Times New Roman"/>
          <w:bCs/>
          <w:sz w:val="28"/>
          <w:szCs w:val="32"/>
        </w:rPr>
      </w:pPr>
    </w:p>
    <w:p w14:paraId="46245B0B">
      <w:pPr>
        <w:adjustRightInd w:val="0"/>
        <w:snapToGrid w:val="0"/>
        <w:spacing w:before="48" w:beforeLines="20" w:after="48" w:afterLines="20" w:line="400" w:lineRule="exact"/>
        <w:ind w:firstLine="367" w:firstLineChars="175"/>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55CAC65F">
      <w:pPr>
        <w:tabs>
          <w:tab w:val="left" w:pos="7839"/>
        </w:tabs>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3658B937">
      <w:pPr>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609A0D3E">
      <w:pPr>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bCs/>
          <w:szCs w:val="21"/>
        </w:rPr>
        <w:t>邮政编码</w:t>
      </w:r>
      <w:r>
        <w:rPr>
          <w:rFonts w:ascii="Times New Roman" w:hAnsi="Times New Roman"/>
          <w:szCs w:val="21"/>
        </w:rPr>
        <w:t>：</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p>
    <w:p w14:paraId="67D3406C">
      <w:pPr>
        <w:adjustRightInd w:val="0"/>
        <w:snapToGrid w:val="0"/>
        <w:spacing w:before="48" w:beforeLines="20" w:after="48" w:afterLines="20" w:line="400" w:lineRule="exact"/>
        <w:ind w:firstLine="367" w:firstLineChars="175"/>
        <w:rPr>
          <w:rFonts w:ascii="Times New Roman" w:hAnsi="Times New Roman"/>
          <w:szCs w:val="21"/>
        </w:rPr>
      </w:pPr>
      <w:r>
        <w:rPr>
          <w:rFonts w:ascii="Times New Roman" w:hAnsi="Times New Roman"/>
          <w:szCs w:val="21"/>
        </w:rPr>
        <w:t>投标人基本账户开户名：</w:t>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rPr>
        <w:t>账号：</w:t>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rPr>
        <w:t xml:space="preserve"> 开户行：</w:t>
      </w:r>
      <w:r>
        <w:rPr>
          <w:rFonts w:ascii="Times New Roman" w:hAnsi="Times New Roman"/>
          <w:szCs w:val="21"/>
          <w:u w:val="single"/>
        </w:rPr>
        <w:t xml:space="preserve">           </w:t>
      </w:r>
    </w:p>
    <w:p w14:paraId="325C713D">
      <w:pPr>
        <w:adjustRightInd w:val="0"/>
        <w:snapToGrid w:val="0"/>
        <w:spacing w:before="48" w:beforeLines="20" w:after="48" w:afterLines="20" w:line="400" w:lineRule="exact"/>
        <w:ind w:firstLine="367" w:firstLineChars="175"/>
        <w:rPr>
          <w:rFonts w:ascii="Times New Roman" w:hAnsi="Times New Roman"/>
          <w:szCs w:val="21"/>
        </w:rPr>
      </w:pPr>
      <w:r>
        <w:rPr>
          <w:rFonts w:ascii="Times New Roman" w:hAnsi="Times New Roman"/>
          <w:bCs/>
          <w:szCs w:val="21"/>
        </w:rPr>
        <w:t>日期</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bookmarkEnd w:id="384"/>
    <w:bookmarkEnd w:id="385"/>
    <w:bookmarkEnd w:id="386"/>
    <w:bookmarkEnd w:id="387"/>
    <w:bookmarkEnd w:id="388"/>
    <w:bookmarkEnd w:id="389"/>
    <w:bookmarkEnd w:id="390"/>
    <w:bookmarkEnd w:id="391"/>
    <w:bookmarkEnd w:id="392"/>
    <w:p w14:paraId="7237721B">
      <w:pPr>
        <w:spacing w:line="440" w:lineRule="exact"/>
        <w:rPr>
          <w:rFonts w:ascii="Times New Roman" w:hAnsi="Times New Roman"/>
          <w:szCs w:val="21"/>
        </w:rPr>
      </w:pPr>
      <w:bookmarkStart w:id="438" w:name="_Toc16568"/>
      <w:bookmarkEnd w:id="438"/>
      <w:bookmarkStart w:id="439" w:name="_Toc369531695"/>
      <w:bookmarkEnd w:id="439"/>
      <w:bookmarkStart w:id="440" w:name="_Toc16824"/>
      <w:bookmarkEnd w:id="440"/>
      <w:bookmarkStart w:id="441" w:name="_Toc352691660"/>
      <w:bookmarkEnd w:id="441"/>
      <w:bookmarkStart w:id="442" w:name="_Toc352691659"/>
      <w:bookmarkEnd w:id="442"/>
      <w:bookmarkStart w:id="443" w:name="_Toc369531696"/>
      <w:bookmarkEnd w:id="443"/>
    </w:p>
    <w:p w14:paraId="35A78EA5">
      <w:pPr>
        <w:spacing w:line="440" w:lineRule="exact"/>
        <w:rPr>
          <w:rFonts w:ascii="Times New Roman" w:hAnsi="Times New Roman"/>
          <w:szCs w:val="21"/>
        </w:rPr>
      </w:pPr>
    </w:p>
    <w:p w14:paraId="7A636435">
      <w:pPr>
        <w:spacing w:line="440" w:lineRule="exact"/>
        <w:rPr>
          <w:rFonts w:ascii="Times New Roman" w:hAnsi="Times New Roman"/>
          <w:szCs w:val="21"/>
        </w:rPr>
      </w:pPr>
    </w:p>
    <w:p w14:paraId="5FA14521">
      <w:pPr>
        <w:spacing w:line="440" w:lineRule="exact"/>
        <w:rPr>
          <w:rFonts w:ascii="Times New Roman" w:hAnsi="Times New Roman"/>
          <w:szCs w:val="21"/>
        </w:rPr>
      </w:pPr>
    </w:p>
    <w:p w14:paraId="1FE27830">
      <w:pPr>
        <w:spacing w:line="440" w:lineRule="exact"/>
        <w:rPr>
          <w:rFonts w:ascii="Times New Roman" w:hAnsi="Times New Roman"/>
          <w:szCs w:val="21"/>
        </w:rPr>
      </w:pPr>
    </w:p>
    <w:p w14:paraId="5E8894EA">
      <w:pPr>
        <w:spacing w:line="440" w:lineRule="exact"/>
        <w:rPr>
          <w:rFonts w:ascii="Times New Roman" w:hAnsi="Times New Roman"/>
          <w:szCs w:val="21"/>
        </w:rPr>
      </w:pPr>
    </w:p>
    <w:p w14:paraId="3DBD14E0">
      <w:pPr>
        <w:spacing w:line="440" w:lineRule="exact"/>
        <w:rPr>
          <w:rFonts w:ascii="Times New Roman" w:hAnsi="Times New Roman"/>
          <w:szCs w:val="21"/>
        </w:rPr>
      </w:pPr>
    </w:p>
    <w:p w14:paraId="7AF96181">
      <w:pPr>
        <w:spacing w:line="440" w:lineRule="exact"/>
        <w:rPr>
          <w:rFonts w:ascii="Times New Roman" w:hAnsi="Times New Roman"/>
          <w:szCs w:val="21"/>
        </w:rPr>
      </w:pPr>
    </w:p>
    <w:p w14:paraId="47B45AFF">
      <w:pPr>
        <w:spacing w:line="440" w:lineRule="exact"/>
        <w:rPr>
          <w:rFonts w:ascii="Times New Roman" w:hAnsi="Times New Roman"/>
          <w:szCs w:val="21"/>
        </w:rPr>
      </w:pPr>
    </w:p>
    <w:p w14:paraId="51920AD9">
      <w:pPr>
        <w:spacing w:line="440" w:lineRule="exact"/>
        <w:rPr>
          <w:rFonts w:ascii="Times New Roman" w:hAnsi="Times New Roman"/>
          <w:szCs w:val="21"/>
        </w:rPr>
      </w:pPr>
    </w:p>
    <w:p w14:paraId="51375D38">
      <w:pPr>
        <w:spacing w:line="440" w:lineRule="exact"/>
        <w:rPr>
          <w:rFonts w:ascii="Times New Roman" w:hAnsi="Times New Roman"/>
          <w:szCs w:val="21"/>
        </w:rPr>
      </w:pPr>
    </w:p>
    <w:p w14:paraId="1519F265">
      <w:pPr>
        <w:spacing w:line="440" w:lineRule="exact"/>
        <w:rPr>
          <w:rFonts w:ascii="Times New Roman" w:hAnsi="Times New Roman"/>
          <w:szCs w:val="21"/>
        </w:rPr>
      </w:pPr>
    </w:p>
    <w:p w14:paraId="18B911C9">
      <w:pPr>
        <w:spacing w:line="440" w:lineRule="exact"/>
        <w:rPr>
          <w:rFonts w:ascii="Times New Roman" w:hAnsi="Times New Roman"/>
          <w:szCs w:val="21"/>
        </w:rPr>
      </w:pPr>
    </w:p>
    <w:p w14:paraId="6749BF8E">
      <w:pPr>
        <w:spacing w:line="440" w:lineRule="exact"/>
        <w:rPr>
          <w:rFonts w:ascii="Times New Roman" w:hAnsi="Times New Roman"/>
          <w:szCs w:val="21"/>
        </w:rPr>
      </w:pPr>
    </w:p>
    <w:p w14:paraId="6F86EEE0">
      <w:pPr>
        <w:spacing w:line="440" w:lineRule="exact"/>
        <w:rPr>
          <w:rFonts w:ascii="Times New Roman" w:hAnsi="Times New Roman"/>
          <w:szCs w:val="21"/>
        </w:rPr>
      </w:pPr>
    </w:p>
    <w:p w14:paraId="06B3A623">
      <w:pPr>
        <w:spacing w:line="440" w:lineRule="exact"/>
        <w:rPr>
          <w:rFonts w:ascii="Times New Roman" w:hAnsi="Times New Roman"/>
          <w:szCs w:val="21"/>
        </w:rPr>
      </w:pPr>
    </w:p>
    <w:p w14:paraId="2613C94D">
      <w:pPr>
        <w:spacing w:line="440" w:lineRule="exact"/>
        <w:rPr>
          <w:rFonts w:ascii="Times New Roman" w:hAnsi="Times New Roman"/>
          <w:szCs w:val="21"/>
        </w:rPr>
      </w:pPr>
    </w:p>
    <w:p w14:paraId="714BEECF">
      <w:pPr>
        <w:spacing w:line="440" w:lineRule="exact"/>
        <w:rPr>
          <w:rFonts w:ascii="Times New Roman" w:hAnsi="Times New Roman"/>
          <w:szCs w:val="21"/>
        </w:rPr>
      </w:pPr>
    </w:p>
    <w:p w14:paraId="10E6D371">
      <w:pPr>
        <w:spacing w:line="440" w:lineRule="exact"/>
        <w:rPr>
          <w:rFonts w:ascii="Times New Roman" w:hAnsi="Times New Roman"/>
          <w:szCs w:val="21"/>
        </w:rPr>
      </w:pPr>
    </w:p>
    <w:p w14:paraId="4DA736B5">
      <w:pPr>
        <w:spacing w:line="440" w:lineRule="exact"/>
        <w:rPr>
          <w:rFonts w:ascii="Times New Roman" w:hAnsi="Times New Roman"/>
          <w:szCs w:val="21"/>
        </w:rPr>
      </w:pPr>
    </w:p>
    <w:bookmarkEnd w:id="433"/>
    <w:p w14:paraId="36BD0F4F">
      <w:pPr>
        <w:pStyle w:val="4"/>
        <w:ind w:firstLine="118"/>
        <w:jc w:val="center"/>
        <w:rPr>
          <w:rFonts w:ascii="Times New Roman" w:hAnsi="Times New Roman"/>
          <w:sz w:val="24"/>
          <w:szCs w:val="24"/>
        </w:rPr>
      </w:pPr>
      <w:bookmarkStart w:id="444" w:name="_Toc247514246"/>
      <w:bookmarkStart w:id="445" w:name="_Toc352691661"/>
      <w:bookmarkStart w:id="446" w:name="_Toc152045787"/>
      <w:bookmarkStart w:id="447" w:name="_Toc152042576"/>
      <w:bookmarkStart w:id="448" w:name="_Toc361508752"/>
      <w:bookmarkStart w:id="449" w:name="_Toc384308375"/>
      <w:bookmarkStart w:id="450" w:name="_Toc300835209"/>
      <w:bookmarkStart w:id="451" w:name="_Toc17960"/>
      <w:bookmarkStart w:id="452" w:name="_Toc144974856"/>
      <w:bookmarkStart w:id="453" w:name="_Toc369531697"/>
      <w:bookmarkStart w:id="454" w:name="_Toc247527827"/>
      <w:r>
        <w:rPr>
          <w:rFonts w:ascii="Times New Roman" w:hAnsi="Times New Roman"/>
          <w:sz w:val="24"/>
          <w:szCs w:val="24"/>
        </w:rPr>
        <w:t>二、法定代表人身份证明或授权委托书</w:t>
      </w:r>
    </w:p>
    <w:p w14:paraId="5D6707FF">
      <w:pPr>
        <w:jc w:val="center"/>
        <w:rPr>
          <w:rFonts w:ascii="Times New Roman" w:hAnsi="Times New Roman" w:eastAsia="黑体"/>
          <w:bCs/>
          <w:sz w:val="24"/>
        </w:rPr>
      </w:pPr>
      <w:r>
        <w:rPr>
          <w:rFonts w:ascii="Times New Roman" w:hAnsi="Times New Roman" w:eastAsia="黑体"/>
          <w:bCs/>
          <w:sz w:val="24"/>
        </w:rPr>
        <w:t>法定代表人身份证明</w:t>
      </w:r>
    </w:p>
    <w:p w14:paraId="5CEDC61C">
      <w:pPr>
        <w:ind w:left="765"/>
        <w:rPr>
          <w:rFonts w:ascii="Times New Roman" w:hAnsi="Times New Roman"/>
        </w:rPr>
      </w:pPr>
    </w:p>
    <w:p w14:paraId="0E3328E0">
      <w:pPr>
        <w:spacing w:line="500" w:lineRule="exact"/>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p>
    <w:p w14:paraId="5572AA1F">
      <w:pPr>
        <w:spacing w:line="500" w:lineRule="exact"/>
        <w:rPr>
          <w:rFonts w:ascii="Times New Roman" w:hAnsi="Times New Roman"/>
          <w:szCs w:val="21"/>
        </w:rPr>
      </w:pPr>
      <w:r>
        <w:rPr>
          <w:rFonts w:ascii="Times New Roman" w:hAnsi="Times New Roman"/>
          <w:szCs w:val="21"/>
        </w:rPr>
        <w:t>单位性质：</w:t>
      </w:r>
      <w:r>
        <w:rPr>
          <w:rFonts w:ascii="Times New Roman" w:hAnsi="Times New Roman"/>
          <w:szCs w:val="21"/>
          <w:u w:val="single"/>
        </w:rPr>
        <w:t xml:space="preserve">                                                        </w:t>
      </w:r>
    </w:p>
    <w:p w14:paraId="4700981A">
      <w:pPr>
        <w:spacing w:line="500" w:lineRule="exact"/>
        <w:rPr>
          <w:rFonts w:ascii="Times New Roman" w:hAnsi="Times New Roman"/>
          <w:szCs w:val="21"/>
        </w:rPr>
      </w:pPr>
      <w:r>
        <w:rPr>
          <w:rFonts w:ascii="Times New Roman" w:hAnsi="Times New Roman"/>
          <w:szCs w:val="21"/>
        </w:rPr>
        <w:t>地    址：</w:t>
      </w:r>
      <w:r>
        <w:rPr>
          <w:rFonts w:ascii="Times New Roman" w:hAnsi="Times New Roman"/>
          <w:szCs w:val="21"/>
          <w:u w:val="single"/>
        </w:rPr>
        <w:t xml:space="preserve">                                                        </w:t>
      </w:r>
    </w:p>
    <w:p w14:paraId="7EF18752">
      <w:pPr>
        <w:spacing w:line="500" w:lineRule="exact"/>
        <w:rPr>
          <w:rFonts w:ascii="Times New Roman" w:hAnsi="Times New Roman"/>
          <w:szCs w:val="21"/>
        </w:rPr>
      </w:pPr>
      <w:r>
        <w:rPr>
          <w:rFonts w:ascii="Times New Roman" w:hAnsi="Times New Roman"/>
          <w:szCs w:val="21"/>
        </w:rPr>
        <w:t>成立时间：</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日</w:t>
      </w:r>
    </w:p>
    <w:p w14:paraId="34414720">
      <w:pPr>
        <w:spacing w:line="500" w:lineRule="exact"/>
        <w:rPr>
          <w:rFonts w:ascii="Times New Roman" w:hAnsi="Times New Roman"/>
          <w:szCs w:val="21"/>
        </w:rPr>
      </w:pPr>
      <w:r>
        <w:rPr>
          <w:rFonts w:ascii="Times New Roman" w:hAnsi="Times New Roman"/>
          <w:szCs w:val="21"/>
        </w:rPr>
        <w:t>经营期限：</w:t>
      </w:r>
      <w:r>
        <w:rPr>
          <w:rFonts w:ascii="Times New Roman" w:hAnsi="Times New Roman"/>
          <w:szCs w:val="21"/>
          <w:u w:val="single"/>
        </w:rPr>
        <w:t xml:space="preserve">                                                        </w:t>
      </w:r>
    </w:p>
    <w:p w14:paraId="24A998F1">
      <w:pPr>
        <w:spacing w:line="500" w:lineRule="exact"/>
        <w:rPr>
          <w:rFonts w:ascii="Times New Roman" w:hAnsi="Times New Roman"/>
          <w:szCs w:val="21"/>
        </w:rPr>
      </w:pPr>
      <w:r>
        <w:rPr>
          <w:rFonts w:ascii="Times New Roman" w:hAnsi="Times New Roman"/>
          <w:szCs w:val="21"/>
        </w:rPr>
        <w:t>姓    名：</w:t>
      </w:r>
      <w:r>
        <w:rPr>
          <w:rFonts w:ascii="Times New Roman" w:hAnsi="Times New Roman"/>
          <w:szCs w:val="21"/>
          <w:u w:val="single"/>
        </w:rPr>
        <w:t xml:space="preserve">                          </w:t>
      </w:r>
      <w:r>
        <w:rPr>
          <w:rFonts w:ascii="Times New Roman" w:hAnsi="Times New Roman"/>
          <w:szCs w:val="21"/>
        </w:rPr>
        <w:t>性        别：</w:t>
      </w:r>
      <w:r>
        <w:rPr>
          <w:rFonts w:ascii="Times New Roman" w:hAnsi="Times New Roman"/>
          <w:szCs w:val="21"/>
          <w:u w:val="single"/>
        </w:rPr>
        <w:t xml:space="preserve">                </w:t>
      </w:r>
    </w:p>
    <w:p w14:paraId="6433F88C">
      <w:pPr>
        <w:spacing w:line="500" w:lineRule="exact"/>
        <w:rPr>
          <w:rFonts w:ascii="Times New Roman" w:hAnsi="Times New Roman"/>
          <w:szCs w:val="21"/>
        </w:rPr>
      </w:pPr>
      <w:r>
        <w:rPr>
          <w:rFonts w:ascii="Times New Roman" w:hAnsi="Times New Roman"/>
          <w:szCs w:val="21"/>
        </w:rPr>
        <w:t>年    龄：</w:t>
      </w:r>
      <w:r>
        <w:rPr>
          <w:rFonts w:ascii="Times New Roman" w:hAnsi="Times New Roman"/>
          <w:szCs w:val="21"/>
          <w:u w:val="single"/>
        </w:rPr>
        <w:t xml:space="preserve">                          </w:t>
      </w:r>
      <w:r>
        <w:rPr>
          <w:rFonts w:ascii="Times New Roman" w:hAnsi="Times New Roman"/>
          <w:szCs w:val="21"/>
        </w:rPr>
        <w:t>职        务：</w:t>
      </w:r>
      <w:r>
        <w:rPr>
          <w:rFonts w:ascii="Times New Roman" w:hAnsi="Times New Roman"/>
          <w:szCs w:val="21"/>
          <w:u w:val="single"/>
        </w:rPr>
        <w:t xml:space="preserve">                </w:t>
      </w:r>
    </w:p>
    <w:p w14:paraId="29FB9807">
      <w:pPr>
        <w:spacing w:line="500" w:lineRule="exact"/>
        <w:rPr>
          <w:rFonts w:ascii="Times New Roman" w:hAnsi="Times New Roman"/>
          <w:szCs w:val="21"/>
        </w:rPr>
      </w:pPr>
      <w:r>
        <w:rPr>
          <w:rFonts w:ascii="Times New Roman" w:hAnsi="Times New Roman"/>
          <w:szCs w:val="21"/>
        </w:rPr>
        <w:t>系</w:t>
      </w:r>
      <w:r>
        <w:rPr>
          <w:rFonts w:ascii="Times New Roman" w:hAnsi="Times New Roman"/>
          <w:szCs w:val="21"/>
          <w:u w:val="single"/>
        </w:rPr>
        <w:t xml:space="preserve">                                                 </w:t>
      </w:r>
      <w:r>
        <w:rPr>
          <w:rFonts w:ascii="Times New Roman" w:hAnsi="Times New Roman"/>
          <w:szCs w:val="21"/>
        </w:rPr>
        <w:t>（投标人名称）的法定代表人。</w:t>
      </w:r>
    </w:p>
    <w:p w14:paraId="2CA3043B">
      <w:pPr>
        <w:spacing w:line="500" w:lineRule="exact"/>
        <w:rPr>
          <w:rFonts w:ascii="Times New Roman" w:hAnsi="Times New Roman"/>
          <w:szCs w:val="21"/>
        </w:rPr>
      </w:pPr>
      <w:r>
        <w:rPr>
          <w:rFonts w:ascii="Times New Roman" w:hAnsi="Times New Roman"/>
          <w:szCs w:val="21"/>
        </w:rPr>
        <w:t>特此证明。</w:t>
      </w:r>
    </w:p>
    <w:p w14:paraId="7900E490">
      <w:pPr>
        <w:spacing w:line="500" w:lineRule="exact"/>
        <w:rPr>
          <w:rFonts w:ascii="Times New Roman" w:hAnsi="Times New Roman"/>
          <w:szCs w:val="21"/>
        </w:rPr>
      </w:pPr>
    </w:p>
    <w:p w14:paraId="466933EB">
      <w:pPr>
        <w:spacing w:line="500" w:lineRule="exact"/>
        <w:rPr>
          <w:rFonts w:ascii="Times New Roman" w:hAnsi="Times New Roman"/>
          <w:szCs w:val="21"/>
        </w:rPr>
      </w:pPr>
    </w:p>
    <w:p w14:paraId="64079319">
      <w:pPr>
        <w:wordWrap w:val="0"/>
        <w:spacing w:line="500" w:lineRule="exact"/>
        <w:jc w:val="right"/>
        <w:rPr>
          <w:rFonts w:ascii="Times New Roman" w:hAnsi="Times New Roman"/>
          <w:szCs w:val="21"/>
        </w:rPr>
      </w:pPr>
      <w:r>
        <w:rPr>
          <w:rFonts w:ascii="Times New Roman" w:hAnsi="Times New Roman"/>
          <w:szCs w:val="21"/>
        </w:rPr>
        <w:t>投标人：</w:t>
      </w:r>
      <w:r>
        <w:rPr>
          <w:rFonts w:ascii="Times New Roman" w:hAnsi="Times New Roman"/>
          <w:szCs w:val="21"/>
          <w:u w:val="single"/>
        </w:rPr>
        <w:t xml:space="preserve">                          </w:t>
      </w:r>
      <w:r>
        <w:rPr>
          <w:rFonts w:ascii="Times New Roman" w:hAnsi="Times New Roman"/>
          <w:szCs w:val="21"/>
        </w:rPr>
        <w:t>（盖单位章）</w:t>
      </w:r>
    </w:p>
    <w:p w14:paraId="705D428F">
      <w:pPr>
        <w:spacing w:before="48" w:beforeLines="20" w:after="48" w:afterLines="20" w:line="540" w:lineRule="exact"/>
        <w:ind w:firstLine="5565" w:firstLineChars="2650"/>
        <w:rPr>
          <w:rFonts w:ascii="Times New Roman" w:hAnsi="Times New Roman"/>
          <w:sz w:val="24"/>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3A7BC099">
      <w:pPr>
        <w:widowControl/>
        <w:jc w:val="left"/>
        <w:rPr>
          <w:rFonts w:ascii="Times New Roman" w:hAnsi="Times New Roman" w:eastAsia="黑体"/>
          <w:bCs/>
          <w:sz w:val="24"/>
        </w:rPr>
      </w:pPr>
      <w:r>
        <w:rPr>
          <w:rFonts w:ascii="Times New Roman" w:hAnsi="Times New Roman" w:eastAsia="黑体"/>
          <w:bCs/>
          <w:sz w:val="24"/>
        </w:rPr>
        <w:br w:type="page"/>
      </w:r>
    </w:p>
    <w:p w14:paraId="18A5AAEB">
      <w:pPr>
        <w:jc w:val="center"/>
        <w:rPr>
          <w:rFonts w:ascii="Times New Roman" w:hAnsi="Times New Roman"/>
          <w:sz w:val="32"/>
          <w:szCs w:val="32"/>
        </w:rPr>
      </w:pPr>
      <w:r>
        <w:rPr>
          <w:rFonts w:ascii="Times New Roman" w:hAnsi="Times New Roman" w:eastAsia="黑体"/>
          <w:bCs/>
          <w:sz w:val="24"/>
        </w:rPr>
        <w:t>授权委托书</w:t>
      </w:r>
    </w:p>
    <w:p w14:paraId="785B6A43">
      <w:pPr>
        <w:rPr>
          <w:rFonts w:ascii="Times New Roman" w:hAnsi="Times New Roman"/>
        </w:rPr>
      </w:pPr>
    </w:p>
    <w:p w14:paraId="16961165">
      <w:pPr>
        <w:snapToGrid w:val="0"/>
        <w:spacing w:line="360" w:lineRule="auto"/>
        <w:ind w:firstLine="420" w:firstLineChars="200"/>
        <w:jc w:val="left"/>
        <w:rPr>
          <w:rFonts w:ascii="Times New Roman" w:hAnsi="Times New Roman"/>
          <w:szCs w:val="21"/>
        </w:rPr>
      </w:pPr>
      <w:r>
        <w:rPr>
          <w:rFonts w:ascii="Times New Roman" w:hAnsi="Times New Roman"/>
          <w:szCs w:val="21"/>
        </w:rPr>
        <w:t>本人</w:t>
      </w:r>
      <w:r>
        <w:rPr>
          <w:rFonts w:ascii="Times New Roman" w:hAnsi="Times New Roman"/>
          <w:szCs w:val="21"/>
          <w:u w:val="single"/>
        </w:rPr>
        <w:t xml:space="preserve">         </w:t>
      </w:r>
      <w:r>
        <w:rPr>
          <w:rFonts w:ascii="Times New Roman" w:hAnsi="Times New Roman"/>
          <w:szCs w:val="21"/>
        </w:rPr>
        <w:t>（姓名）系</w:t>
      </w:r>
      <w:r>
        <w:rPr>
          <w:rFonts w:ascii="Times New Roman" w:hAnsi="Times New Roman"/>
          <w:szCs w:val="21"/>
          <w:u w:val="single"/>
        </w:rPr>
        <w:t xml:space="preserve">         </w:t>
      </w:r>
      <w:r>
        <w:rPr>
          <w:rFonts w:ascii="Times New Roman" w:hAnsi="Times New Roman"/>
          <w:szCs w:val="21"/>
        </w:rPr>
        <w:t>（投标人名称）的法定代表人，现委托</w:t>
      </w:r>
      <w:r>
        <w:rPr>
          <w:rFonts w:ascii="Times New Roman" w:hAnsi="Times New Roman"/>
          <w:szCs w:val="21"/>
          <w:u w:val="single"/>
        </w:rPr>
        <w:t xml:space="preserve">      </w:t>
      </w:r>
      <w:r>
        <w:rPr>
          <w:rFonts w:ascii="Times New Roman" w:hAnsi="Times New Roman"/>
          <w:szCs w:val="21"/>
        </w:rPr>
        <w:t>（姓名）为我方代理人。代理人根据授权，以我方名义签署、澄清、说明、补正、递交、撤回、修改</w:t>
      </w:r>
      <w:r>
        <w:rPr>
          <w:rFonts w:ascii="Times New Roman" w:hAnsi="Times New Roman"/>
          <w:szCs w:val="21"/>
          <w:u w:val="single"/>
        </w:rPr>
        <w:t>某招标项目标段名称</w:t>
      </w:r>
      <w:r>
        <w:rPr>
          <w:rFonts w:ascii="Times New Roman" w:hAnsi="Times New Roman"/>
          <w:szCs w:val="21"/>
        </w:rPr>
        <w:t>投标文件、签订合同和处理有关事宜，其法律后果由我方承担。</w:t>
      </w:r>
    </w:p>
    <w:p w14:paraId="6D8D0BDF">
      <w:pPr>
        <w:snapToGrid w:val="0"/>
        <w:spacing w:line="360" w:lineRule="auto"/>
        <w:ind w:firstLine="420" w:firstLineChars="200"/>
        <w:rPr>
          <w:rFonts w:ascii="Times New Roman" w:hAnsi="Times New Roman"/>
          <w:szCs w:val="21"/>
        </w:rPr>
      </w:pPr>
      <w:r>
        <w:rPr>
          <w:rFonts w:ascii="Times New Roman" w:hAnsi="Times New Roman"/>
          <w:szCs w:val="21"/>
        </w:rPr>
        <w:t>委托期限：</w:t>
      </w:r>
      <w:r>
        <w:rPr>
          <w:rFonts w:ascii="Times New Roman" w:hAnsi="Times New Roman"/>
          <w:szCs w:val="21"/>
          <w:u w:val="single"/>
        </w:rPr>
        <w:t>自本委托书签署之日起至投标有效期期满</w:t>
      </w:r>
      <w:r>
        <w:rPr>
          <w:rFonts w:ascii="Times New Roman" w:hAnsi="Times New Roman"/>
          <w:szCs w:val="21"/>
        </w:rPr>
        <w:t>。</w:t>
      </w:r>
    </w:p>
    <w:p w14:paraId="32A1356D">
      <w:pPr>
        <w:snapToGrid w:val="0"/>
        <w:spacing w:line="360" w:lineRule="auto"/>
        <w:ind w:firstLine="420" w:firstLineChars="200"/>
        <w:rPr>
          <w:rFonts w:ascii="Times New Roman" w:hAnsi="Times New Roman"/>
          <w:szCs w:val="21"/>
        </w:rPr>
      </w:pPr>
      <w:r>
        <w:rPr>
          <w:rFonts w:ascii="Times New Roman" w:hAnsi="Times New Roman"/>
          <w:szCs w:val="21"/>
        </w:rPr>
        <w:t>代理人无转委托权。</w:t>
      </w:r>
    </w:p>
    <w:p w14:paraId="3421CAE3">
      <w:pPr>
        <w:snapToGrid w:val="0"/>
        <w:spacing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附：法定代表人身份证明</w:t>
      </w:r>
    </w:p>
    <w:p w14:paraId="716C6F7B">
      <w:pPr>
        <w:snapToGrid w:val="0"/>
        <w:spacing w:line="360" w:lineRule="auto"/>
        <w:ind w:firstLine="840" w:firstLineChars="4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委托代理人及法定代表人身份证扫描件</w:t>
      </w:r>
    </w:p>
    <w:p w14:paraId="14F21A0B">
      <w:pPr>
        <w:spacing w:line="500" w:lineRule="exact"/>
        <w:rPr>
          <w:rFonts w:ascii="Times New Roman" w:hAnsi="Times New Roman"/>
          <w:szCs w:val="21"/>
        </w:rPr>
      </w:pPr>
    </w:p>
    <w:p w14:paraId="0E00A065">
      <w:pPr>
        <w:spacing w:line="400" w:lineRule="exact"/>
        <w:ind w:firstLine="3570" w:firstLineChars="1700"/>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r>
        <w:rPr>
          <w:rFonts w:ascii="Times New Roman" w:hAnsi="Times New Roman"/>
          <w:szCs w:val="21"/>
        </w:rPr>
        <w:t>（盖单位章）</w:t>
      </w:r>
    </w:p>
    <w:p w14:paraId="333E293E">
      <w:pPr>
        <w:spacing w:line="400" w:lineRule="exact"/>
        <w:ind w:firstLine="3570" w:firstLineChars="170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29C6E779">
      <w:pPr>
        <w:spacing w:line="400" w:lineRule="exact"/>
        <w:ind w:firstLine="3570" w:firstLineChars="1700"/>
        <w:rPr>
          <w:rFonts w:ascii="Times New Roman" w:hAnsi="Times New Roman"/>
          <w:szCs w:val="21"/>
          <w:u w:val="single"/>
        </w:rPr>
      </w:pPr>
      <w:r>
        <w:rPr>
          <w:rFonts w:ascii="Times New Roman" w:hAnsi="Times New Roman"/>
          <w:szCs w:val="21"/>
        </w:rPr>
        <w:t>身份证号码</w:t>
      </w:r>
      <w:r>
        <w:rPr>
          <w:rFonts w:ascii="Times New Roman" w:hAnsi="Times New Roman"/>
          <w:color w:val="FF0000"/>
          <w:szCs w:val="21"/>
        </w:rPr>
        <w:t>（代理人）</w:t>
      </w:r>
      <w:r>
        <w:rPr>
          <w:rFonts w:ascii="Times New Roman" w:hAnsi="Times New Roman"/>
          <w:szCs w:val="21"/>
        </w:rPr>
        <w:t>：</w:t>
      </w:r>
      <w:r>
        <w:rPr>
          <w:rFonts w:ascii="Times New Roman" w:hAnsi="Times New Roman"/>
          <w:szCs w:val="21"/>
          <w:u w:val="single"/>
        </w:rPr>
        <w:t xml:space="preserve">                                   </w:t>
      </w:r>
    </w:p>
    <w:p w14:paraId="1DBC4FE7">
      <w:pPr>
        <w:spacing w:line="400" w:lineRule="exact"/>
        <w:ind w:firstLine="4830" w:firstLineChars="2300"/>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5D69BC09">
      <w:pPr>
        <w:autoSpaceDE w:val="0"/>
        <w:autoSpaceDN w:val="0"/>
        <w:adjustRightInd w:val="0"/>
        <w:snapToGrid w:val="0"/>
        <w:spacing w:line="360" w:lineRule="auto"/>
        <w:jc w:val="left"/>
        <w:rPr>
          <w:rFonts w:ascii="Times New Roman" w:hAnsi="Times New Roman"/>
          <w:kern w:val="0"/>
        </w:rPr>
      </w:pPr>
    </w:p>
    <w:p w14:paraId="7A986F61">
      <w:pPr>
        <w:tabs>
          <w:tab w:val="left" w:pos="5760"/>
        </w:tabs>
        <w:autoSpaceDE w:val="0"/>
        <w:autoSpaceDN w:val="0"/>
        <w:adjustRightInd w:val="0"/>
        <w:spacing w:line="300" w:lineRule="exact"/>
        <w:ind w:right="11"/>
        <w:rPr>
          <w:rFonts w:ascii="Times New Roman" w:hAnsi="Times New Roman"/>
          <w:kern w:val="0"/>
        </w:rPr>
      </w:pPr>
      <w:r>
        <w:rPr>
          <w:rFonts w:ascii="Times New Roman" w:hAnsi="Times New Roman"/>
          <w:kern w:val="0"/>
        </w:rPr>
        <w:t>注：</w:t>
      </w:r>
    </w:p>
    <w:p w14:paraId="2A0AA1F9">
      <w:pPr>
        <w:tabs>
          <w:tab w:val="left" w:pos="5760"/>
        </w:tabs>
        <w:autoSpaceDE w:val="0"/>
        <w:autoSpaceDN w:val="0"/>
        <w:adjustRightInd w:val="0"/>
        <w:spacing w:line="300" w:lineRule="exact"/>
        <w:ind w:right="11"/>
        <w:rPr>
          <w:rFonts w:ascii="Times New Roman" w:hAnsi="Times New Roman"/>
          <w:kern w:val="0"/>
        </w:rPr>
      </w:pPr>
      <w:r>
        <w:rPr>
          <w:rFonts w:ascii="Times New Roman" w:hAnsi="Times New Roman"/>
          <w:kern w:val="0"/>
        </w:rPr>
        <w:t>法定代表人参加投标活动并签署文件的不需要授权委托书，只需提供法定代表人身份证明；非法定代表人参加投标活动及签署文件的除提供法定代表人身份证明外还须提供授权委托书。</w:t>
      </w:r>
    </w:p>
    <w:p w14:paraId="28A58356">
      <w:pPr>
        <w:pStyle w:val="4"/>
        <w:spacing w:line="413" w:lineRule="auto"/>
        <w:ind w:firstLine="118"/>
        <w:jc w:val="center"/>
        <w:rPr>
          <w:rFonts w:ascii="Times New Roman" w:hAnsi="Times New Roman"/>
          <w:sz w:val="24"/>
          <w:szCs w:val="24"/>
        </w:rPr>
      </w:pPr>
      <w:r>
        <w:rPr>
          <w:rFonts w:ascii="Times New Roman" w:hAnsi="Times New Roman"/>
          <w:kern w:val="0"/>
        </w:rPr>
        <w:br w:type="page"/>
      </w:r>
      <w:bookmarkEnd w:id="444"/>
      <w:bookmarkEnd w:id="445"/>
      <w:bookmarkEnd w:id="446"/>
      <w:bookmarkEnd w:id="447"/>
      <w:bookmarkEnd w:id="448"/>
      <w:bookmarkEnd w:id="449"/>
      <w:bookmarkEnd w:id="450"/>
      <w:bookmarkEnd w:id="451"/>
      <w:bookmarkEnd w:id="452"/>
      <w:bookmarkEnd w:id="453"/>
      <w:bookmarkEnd w:id="454"/>
      <w:bookmarkStart w:id="455" w:name="_Toc535241085"/>
      <w:bookmarkStart w:id="456" w:name="_Toc535241228"/>
      <w:bookmarkStart w:id="457" w:name="_Toc535241131"/>
      <w:r>
        <w:rPr>
          <w:rFonts w:ascii="Times New Roman" w:hAnsi="Times New Roman" w:cs="Times New Roman"/>
          <w:sz w:val="24"/>
          <w:szCs w:val="24"/>
        </w:rPr>
        <w:t>三、联合体协议书</w:t>
      </w:r>
      <w:bookmarkEnd w:id="455"/>
      <w:bookmarkEnd w:id="456"/>
      <w:bookmarkEnd w:id="457"/>
    </w:p>
    <w:p w14:paraId="19DCD3CF">
      <w:pPr>
        <w:spacing w:line="220" w:lineRule="exact"/>
        <w:jc w:val="center"/>
        <w:rPr>
          <w:rFonts w:ascii="Times New Roman" w:hAnsi="Times New Roman"/>
          <w:szCs w:val="21"/>
        </w:rPr>
      </w:pPr>
      <w:r>
        <w:rPr>
          <w:rFonts w:ascii="Times New Roman" w:hAnsi="Times New Roman"/>
          <w:color w:val="FF0000"/>
          <w:szCs w:val="21"/>
        </w:rPr>
        <w:t>（不接受联合体投标或未组成联合体投标，无需此件）</w:t>
      </w:r>
    </w:p>
    <w:p w14:paraId="56604116">
      <w:pPr>
        <w:spacing w:line="394" w:lineRule="exact"/>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p>
    <w:p w14:paraId="694B523B">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14:paraId="0D5B7628">
      <w:pPr>
        <w:spacing w:line="394" w:lineRule="exact"/>
        <w:rPr>
          <w:rFonts w:ascii="Times New Roman" w:hAnsi="Times New Roman"/>
          <w:szCs w:val="21"/>
        </w:rPr>
      </w:pPr>
      <w:r>
        <w:rPr>
          <w:rFonts w:ascii="Times New Roman" w:hAnsi="Times New Roman"/>
          <w:szCs w:val="21"/>
        </w:rPr>
        <w:t>法定住所：</w:t>
      </w:r>
      <w:r>
        <w:rPr>
          <w:rFonts w:ascii="Times New Roman" w:hAnsi="Times New Roman"/>
          <w:szCs w:val="21"/>
          <w:u w:val="single"/>
        </w:rPr>
        <w:t xml:space="preserve">                                                    </w:t>
      </w:r>
    </w:p>
    <w:p w14:paraId="6860E5DD">
      <w:pPr>
        <w:spacing w:line="394" w:lineRule="exact"/>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p>
    <w:p w14:paraId="798DD340">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14:paraId="431F8FEB">
      <w:pPr>
        <w:spacing w:line="394" w:lineRule="exact"/>
        <w:rPr>
          <w:rFonts w:ascii="Times New Roman" w:hAnsi="Times New Roman"/>
          <w:szCs w:val="21"/>
          <w:u w:val="single"/>
        </w:rPr>
      </w:pPr>
      <w:r>
        <w:rPr>
          <w:rFonts w:ascii="Times New Roman" w:hAnsi="Times New Roman"/>
          <w:szCs w:val="21"/>
        </w:rPr>
        <w:t>法定住所：</w:t>
      </w:r>
      <w:r>
        <w:rPr>
          <w:rFonts w:ascii="Times New Roman" w:hAnsi="Times New Roman"/>
          <w:szCs w:val="21"/>
          <w:u w:val="single"/>
        </w:rPr>
        <w:t xml:space="preserve">                                                    </w:t>
      </w:r>
    </w:p>
    <w:p w14:paraId="2B958355">
      <w:pPr>
        <w:spacing w:line="394" w:lineRule="exact"/>
        <w:ind w:firstLine="525" w:firstLineChars="250"/>
        <w:rPr>
          <w:rFonts w:ascii="Times New Roman" w:hAnsi="Times New Roman"/>
          <w:szCs w:val="21"/>
        </w:rPr>
      </w:pPr>
      <w:r>
        <w:rPr>
          <w:rFonts w:ascii="Times New Roman" w:hAnsi="Times New Roman"/>
          <w:szCs w:val="21"/>
        </w:rPr>
        <w:t>……</w:t>
      </w:r>
    </w:p>
    <w:p w14:paraId="420B2F9A">
      <w:pPr>
        <w:spacing w:line="394" w:lineRule="exact"/>
        <w:ind w:firstLine="420" w:firstLineChars="200"/>
        <w:rPr>
          <w:rFonts w:ascii="Times New Roman" w:hAnsi="Times New Roman"/>
          <w:szCs w:val="21"/>
        </w:rPr>
      </w:pPr>
      <w:r>
        <w:rPr>
          <w:rFonts w:ascii="Times New Roman" w:hAnsi="Times New Roman"/>
          <w:szCs w:val="21"/>
        </w:rPr>
        <w:t>鉴于上述各成员单位经过友好协商，自愿组成</w:t>
      </w:r>
      <w:r>
        <w:rPr>
          <w:rFonts w:ascii="Times New Roman" w:hAnsi="Times New Roman"/>
          <w:szCs w:val="21"/>
          <w:u w:val="single"/>
        </w:rPr>
        <w:t xml:space="preserve">       </w:t>
      </w:r>
      <w:r>
        <w:rPr>
          <w:rFonts w:ascii="Times New Roman" w:hAnsi="Times New Roman"/>
          <w:szCs w:val="21"/>
        </w:rPr>
        <w:t>（联合体名称）联合体，共同参加</w:t>
      </w:r>
    </w:p>
    <w:p w14:paraId="6206A701">
      <w:pPr>
        <w:spacing w:line="394" w:lineRule="exact"/>
        <w:rPr>
          <w:rFonts w:ascii="Times New Roman" w:hAnsi="Times New Roman"/>
          <w:szCs w:val="21"/>
        </w:rPr>
      </w:pPr>
      <w:r>
        <w:rPr>
          <w:rFonts w:ascii="Times New Roman" w:hAnsi="Times New Roman"/>
          <w:color w:val="FF0000"/>
          <w:szCs w:val="21"/>
          <w:u w:val="single"/>
        </w:rPr>
        <w:t>某委托单位</w:t>
      </w:r>
      <w:r>
        <w:rPr>
          <w:rFonts w:ascii="Times New Roman" w:hAnsi="Times New Roman"/>
          <w:szCs w:val="21"/>
        </w:rPr>
        <w:t>（以下简称招标人）</w:t>
      </w:r>
      <w:r>
        <w:rPr>
          <w:rFonts w:ascii="Times New Roman" w:hAnsi="Times New Roman"/>
          <w:color w:val="FF0000"/>
          <w:szCs w:val="21"/>
          <w:u w:val="single"/>
        </w:rPr>
        <w:t>某招标项目标段名称</w:t>
      </w:r>
      <w:r>
        <w:rPr>
          <w:rFonts w:ascii="Times New Roman" w:hAnsi="Times New Roman"/>
          <w:szCs w:val="21"/>
        </w:rPr>
        <w:t>（以下简称本项目）的投标并争取赢得本项目委托合同（以下简称合同）。现就联合体投标事宜订立如下协议：</w:t>
      </w:r>
    </w:p>
    <w:p w14:paraId="485CE901">
      <w:pPr>
        <w:spacing w:line="394" w:lineRule="exact"/>
        <w:ind w:firstLine="420" w:firstLineChars="200"/>
        <w:rPr>
          <w:rFonts w:ascii="Times New Roman" w:hAnsi="Times New Roman"/>
          <w:szCs w:val="21"/>
        </w:rPr>
      </w:pPr>
      <w:r>
        <w:rPr>
          <w:rFonts w:ascii="Times New Roman" w:hAnsi="Times New Roman"/>
          <w:szCs w:val="21"/>
        </w:rPr>
        <w:t>1．</w:t>
      </w:r>
      <w:r>
        <w:rPr>
          <w:rFonts w:ascii="Times New Roman" w:hAnsi="Times New Roman"/>
          <w:szCs w:val="21"/>
          <w:u w:val="single"/>
        </w:rPr>
        <w:t xml:space="preserve">        </w:t>
      </w:r>
      <w:r>
        <w:rPr>
          <w:rFonts w:ascii="Times New Roman" w:hAnsi="Times New Roman"/>
          <w:szCs w:val="21"/>
        </w:rPr>
        <w:t>（某成员单位名称）为</w:t>
      </w:r>
      <w:r>
        <w:rPr>
          <w:rFonts w:ascii="Times New Roman" w:hAnsi="Times New Roman"/>
          <w:szCs w:val="21"/>
          <w:u w:val="single"/>
        </w:rPr>
        <w:t xml:space="preserve">              </w:t>
      </w:r>
      <w:r>
        <w:rPr>
          <w:rFonts w:ascii="Times New Roman" w:hAnsi="Times New Roman"/>
          <w:szCs w:val="21"/>
        </w:rPr>
        <w:t>（联合体名称）牵头人。</w:t>
      </w:r>
    </w:p>
    <w:p w14:paraId="24FE3D58">
      <w:pPr>
        <w:spacing w:line="394" w:lineRule="exact"/>
        <w:ind w:firstLine="420" w:firstLineChars="200"/>
        <w:rPr>
          <w:rFonts w:ascii="Times New Roman" w:hAnsi="Times New Roman"/>
          <w:szCs w:val="21"/>
        </w:rPr>
      </w:pPr>
      <w:r>
        <w:rPr>
          <w:rFonts w:ascii="Times New Roman" w:hAnsi="Times New Roman"/>
          <w:szCs w:val="21"/>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E0A42D6">
      <w:pPr>
        <w:spacing w:line="394" w:lineRule="exact"/>
        <w:ind w:firstLine="420" w:firstLineChars="200"/>
        <w:rPr>
          <w:rFonts w:ascii="Times New Roman" w:hAnsi="Times New Roman"/>
          <w:szCs w:val="21"/>
        </w:rPr>
      </w:pPr>
      <w:r>
        <w:rPr>
          <w:rFonts w:ascii="Times New Roman" w:hAnsi="Times New Roman"/>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33FD95C3">
      <w:pPr>
        <w:spacing w:line="394" w:lineRule="exact"/>
        <w:ind w:firstLine="420" w:firstLineChars="200"/>
        <w:rPr>
          <w:rFonts w:ascii="Times New Roman" w:hAnsi="Times New Roman"/>
          <w:szCs w:val="21"/>
        </w:rPr>
      </w:pPr>
      <w:r>
        <w:rPr>
          <w:rFonts w:ascii="Times New Roman" w:hAnsi="Times New Roman"/>
          <w:szCs w:val="21"/>
        </w:rPr>
        <w:t>4．联合体各成员单位内部的职责分工如下：</w:t>
      </w:r>
    </w:p>
    <w:p w14:paraId="742773CE">
      <w:pPr>
        <w:tabs>
          <w:tab w:val="left" w:pos="6300"/>
          <w:tab w:val="left" w:pos="8295"/>
        </w:tabs>
        <w:autoSpaceDE w:val="0"/>
        <w:autoSpaceDN w:val="0"/>
        <w:adjustRightInd w:val="0"/>
        <w:snapToGrid w:val="0"/>
        <w:spacing w:line="400" w:lineRule="exact"/>
        <w:ind w:left="735" w:leftChars="200" w:hanging="315" w:hangingChars="150"/>
        <w:jc w:val="left"/>
        <w:rPr>
          <w:rFonts w:ascii="Times New Roman" w:hAnsi="Times New Roman"/>
          <w:snapToGrid w:val="0"/>
          <w:kern w:val="0"/>
          <w:szCs w:val="21"/>
        </w:rPr>
      </w:pPr>
      <w:r>
        <w:rPr>
          <w:rFonts w:ascii="Times New Roman" w:hAnsi="Times New Roman"/>
          <w:szCs w:val="21"/>
        </w:rPr>
        <w:t>牵头人（成员一）</w:t>
      </w:r>
      <w:r>
        <w:rPr>
          <w:rFonts w:ascii="Times New Roman" w:hAnsi="Times New Roman"/>
          <w:snapToGrid w:val="0"/>
          <w:kern w:val="0"/>
          <w:szCs w:val="21"/>
        </w:rPr>
        <w:t>名称：</w:t>
      </w:r>
      <w:r>
        <w:rPr>
          <w:rFonts w:ascii="Times New Roman" w:hAnsi="Times New Roman"/>
          <w:snapToGrid w:val="0"/>
          <w:kern w:val="0"/>
          <w:szCs w:val="21"/>
          <w:u w:val="single"/>
        </w:rPr>
        <w:t xml:space="preserve">         </w:t>
      </w:r>
      <w:r>
        <w:rPr>
          <w:rFonts w:ascii="Times New Roman" w:hAnsi="Times New Roman"/>
          <w:snapToGrid w:val="0"/>
          <w:kern w:val="0"/>
          <w:szCs w:val="21"/>
        </w:rPr>
        <w:t>，具有</w:t>
      </w:r>
      <w:r>
        <w:rPr>
          <w:rFonts w:ascii="Times New Roman" w:hAnsi="Times New Roman"/>
          <w:snapToGrid w:val="0"/>
          <w:kern w:val="0"/>
          <w:szCs w:val="21"/>
          <w:u w:val="single"/>
        </w:rPr>
        <w:t xml:space="preserve">            </w:t>
      </w:r>
      <w:r>
        <w:rPr>
          <w:rFonts w:ascii="Times New Roman" w:hAnsi="Times New Roman"/>
          <w:snapToGrid w:val="0"/>
          <w:kern w:val="0"/>
          <w:szCs w:val="21"/>
        </w:rPr>
        <w:t>资格，承担</w:t>
      </w:r>
      <w:r>
        <w:rPr>
          <w:rFonts w:ascii="Times New Roman" w:hAnsi="Times New Roman"/>
          <w:snapToGrid w:val="0"/>
          <w:kern w:val="0"/>
          <w:szCs w:val="21"/>
          <w:u w:val="single"/>
        </w:rPr>
        <w:t xml:space="preserve">       </w:t>
      </w:r>
      <w:r>
        <w:rPr>
          <w:rFonts w:ascii="Times New Roman" w:hAnsi="Times New Roman"/>
          <w:snapToGrid w:val="0"/>
          <w:kern w:val="0"/>
          <w:szCs w:val="21"/>
        </w:rPr>
        <w:t xml:space="preserve">  工作；</w:t>
      </w:r>
    </w:p>
    <w:p w14:paraId="6E4A13C6">
      <w:pPr>
        <w:spacing w:line="394" w:lineRule="exact"/>
        <w:ind w:firstLine="420" w:firstLineChars="200"/>
        <w:rPr>
          <w:rFonts w:ascii="Times New Roman" w:hAnsi="Times New Roman"/>
          <w:snapToGrid w:val="0"/>
          <w:kern w:val="0"/>
          <w:szCs w:val="21"/>
        </w:rPr>
      </w:pPr>
      <w:r>
        <w:rPr>
          <w:rFonts w:ascii="Times New Roman" w:hAnsi="Times New Roman"/>
          <w:snapToGrid w:val="0"/>
          <w:kern w:val="0"/>
          <w:szCs w:val="21"/>
        </w:rPr>
        <w:t>成员二名称：</w:t>
      </w:r>
      <w:r>
        <w:rPr>
          <w:rFonts w:ascii="Times New Roman" w:hAnsi="Times New Roman"/>
          <w:snapToGrid w:val="0"/>
          <w:kern w:val="0"/>
          <w:szCs w:val="21"/>
          <w:u w:val="single"/>
        </w:rPr>
        <w:t xml:space="preserve">                  </w:t>
      </w:r>
      <w:r>
        <w:rPr>
          <w:rFonts w:ascii="Times New Roman" w:hAnsi="Times New Roman"/>
          <w:snapToGrid w:val="0"/>
          <w:kern w:val="0"/>
          <w:szCs w:val="21"/>
        </w:rPr>
        <w:t xml:space="preserve"> ，具有</w:t>
      </w:r>
      <w:r>
        <w:rPr>
          <w:rFonts w:ascii="Times New Roman" w:hAnsi="Times New Roman"/>
          <w:snapToGrid w:val="0"/>
          <w:kern w:val="0"/>
          <w:szCs w:val="21"/>
          <w:u w:val="single"/>
        </w:rPr>
        <w:t xml:space="preserve">            </w:t>
      </w:r>
      <w:r>
        <w:rPr>
          <w:rFonts w:ascii="Times New Roman" w:hAnsi="Times New Roman"/>
          <w:snapToGrid w:val="0"/>
          <w:kern w:val="0"/>
          <w:szCs w:val="21"/>
        </w:rPr>
        <w:t>资格，承担</w:t>
      </w:r>
      <w:r>
        <w:rPr>
          <w:rFonts w:ascii="Times New Roman" w:hAnsi="Times New Roman"/>
          <w:snapToGrid w:val="0"/>
          <w:kern w:val="0"/>
          <w:szCs w:val="21"/>
          <w:u w:val="single"/>
        </w:rPr>
        <w:t xml:space="preserve">       </w:t>
      </w:r>
      <w:r>
        <w:rPr>
          <w:rFonts w:ascii="Times New Roman" w:hAnsi="Times New Roman"/>
          <w:snapToGrid w:val="0"/>
          <w:kern w:val="0"/>
          <w:szCs w:val="21"/>
        </w:rPr>
        <w:t xml:space="preserve">  工作；</w:t>
      </w:r>
    </w:p>
    <w:p w14:paraId="65F5ACC6">
      <w:pPr>
        <w:spacing w:line="394" w:lineRule="exact"/>
        <w:ind w:firstLine="420" w:firstLineChars="200"/>
        <w:rPr>
          <w:rFonts w:ascii="Times New Roman" w:hAnsi="Times New Roman"/>
          <w:snapToGrid w:val="0"/>
          <w:kern w:val="0"/>
          <w:szCs w:val="21"/>
        </w:rPr>
      </w:pPr>
      <w:r>
        <w:rPr>
          <w:rFonts w:ascii="Times New Roman" w:hAnsi="Times New Roman"/>
          <w:snapToGrid w:val="0"/>
          <w:kern w:val="0"/>
          <w:szCs w:val="21"/>
        </w:rPr>
        <w:t>……。</w:t>
      </w:r>
    </w:p>
    <w:p w14:paraId="391814A7">
      <w:pPr>
        <w:spacing w:line="394" w:lineRule="exact"/>
        <w:ind w:firstLine="420" w:firstLineChars="200"/>
        <w:rPr>
          <w:rFonts w:ascii="Times New Roman" w:hAnsi="Times New Roman"/>
          <w:szCs w:val="21"/>
        </w:rPr>
      </w:pPr>
      <w:r>
        <w:rPr>
          <w:rFonts w:ascii="Times New Roman" w:hAnsi="Times New Roman"/>
          <w:szCs w:val="21"/>
        </w:rPr>
        <w:t>5．投标工作和联合体在中标后项目实施过程中的有关费用按各自承担的工作量分摊。</w:t>
      </w:r>
    </w:p>
    <w:p w14:paraId="456DF83E">
      <w:pPr>
        <w:spacing w:line="394" w:lineRule="exact"/>
        <w:ind w:firstLine="420" w:firstLineChars="200"/>
        <w:rPr>
          <w:rFonts w:ascii="Times New Roman" w:hAnsi="Times New Roman"/>
          <w:szCs w:val="21"/>
        </w:rPr>
      </w:pPr>
      <w:r>
        <w:rPr>
          <w:rFonts w:ascii="Times New Roman" w:hAnsi="Times New Roman"/>
          <w:szCs w:val="21"/>
        </w:rPr>
        <w:t>6．联合体中标后，本联合体协议是合同的附件，对联合体各成员单位有合同约束力。</w:t>
      </w:r>
    </w:p>
    <w:p w14:paraId="38219713">
      <w:pPr>
        <w:spacing w:line="394" w:lineRule="exact"/>
        <w:ind w:firstLine="420" w:firstLineChars="200"/>
        <w:rPr>
          <w:rFonts w:ascii="Times New Roman" w:hAnsi="Times New Roman"/>
          <w:szCs w:val="21"/>
        </w:rPr>
      </w:pPr>
      <w:r>
        <w:rPr>
          <w:rFonts w:ascii="Times New Roman" w:hAnsi="Times New Roman"/>
          <w:szCs w:val="21"/>
        </w:rPr>
        <w:t>7．本协议书自签署之日起生效，联合体未中标或者中标时合同履行完毕后自动失效。</w:t>
      </w:r>
    </w:p>
    <w:p w14:paraId="539FDDF7">
      <w:pPr>
        <w:spacing w:line="394" w:lineRule="exact"/>
        <w:ind w:firstLine="420" w:firstLineChars="200"/>
        <w:rPr>
          <w:rFonts w:ascii="Times New Roman" w:hAnsi="Times New Roman"/>
          <w:szCs w:val="21"/>
        </w:rPr>
      </w:pPr>
      <w:r>
        <w:rPr>
          <w:rFonts w:ascii="Times New Roman" w:hAnsi="Times New Roman"/>
          <w:szCs w:val="21"/>
        </w:rPr>
        <w:t>8．本协议书一式</w:t>
      </w:r>
      <w:r>
        <w:rPr>
          <w:rFonts w:ascii="Times New Roman" w:hAnsi="Times New Roman"/>
          <w:szCs w:val="21"/>
          <w:u w:val="single"/>
        </w:rPr>
        <w:t xml:space="preserve">            </w:t>
      </w:r>
      <w:r>
        <w:rPr>
          <w:rFonts w:ascii="Times New Roman" w:hAnsi="Times New Roman"/>
          <w:szCs w:val="21"/>
        </w:rPr>
        <w:t>份，联合体成员和招标人各执一份。</w:t>
      </w:r>
    </w:p>
    <w:p w14:paraId="2A93260F">
      <w:pPr>
        <w:spacing w:line="394" w:lineRule="exact"/>
        <w:rPr>
          <w:rFonts w:ascii="Times New Roman" w:hAnsi="Times New Roman"/>
          <w:szCs w:val="21"/>
        </w:rPr>
      </w:pPr>
    </w:p>
    <w:p w14:paraId="27C436EA">
      <w:pPr>
        <w:spacing w:line="394" w:lineRule="exact"/>
        <w:ind w:firstLine="1785" w:firstLineChars="850"/>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r>
        <w:rPr>
          <w:rFonts w:ascii="Times New Roman" w:hAnsi="Times New Roman"/>
          <w:szCs w:val="21"/>
        </w:rPr>
        <w:t>（盖单位章）</w:t>
      </w:r>
    </w:p>
    <w:p w14:paraId="33A005C9">
      <w:pPr>
        <w:spacing w:line="394" w:lineRule="exact"/>
        <w:ind w:firstLine="1785"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4DE19905">
      <w:pPr>
        <w:spacing w:line="394" w:lineRule="exact"/>
        <w:ind w:firstLine="1785" w:firstLineChars="850"/>
        <w:rPr>
          <w:rFonts w:ascii="Times New Roman" w:hAnsi="Times New Roman"/>
          <w:szCs w:val="21"/>
        </w:rPr>
      </w:pPr>
    </w:p>
    <w:p w14:paraId="5B2206AB">
      <w:pPr>
        <w:spacing w:line="394" w:lineRule="exact"/>
        <w:ind w:firstLine="1785" w:firstLineChars="850"/>
        <w:rPr>
          <w:rFonts w:ascii="Times New Roman" w:hAnsi="Times New Roman"/>
          <w:szCs w:val="21"/>
        </w:rPr>
      </w:pPr>
    </w:p>
    <w:p w14:paraId="252A32BA">
      <w:pPr>
        <w:spacing w:line="394" w:lineRule="exact"/>
        <w:ind w:firstLine="1785" w:firstLineChars="850"/>
        <w:rPr>
          <w:rFonts w:ascii="Times New Roman" w:hAnsi="Times New Roman"/>
          <w:szCs w:val="21"/>
        </w:rPr>
      </w:pPr>
    </w:p>
    <w:p w14:paraId="30A4B086">
      <w:pPr>
        <w:spacing w:line="394" w:lineRule="exact"/>
        <w:ind w:firstLine="1785" w:firstLineChars="850"/>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r>
        <w:rPr>
          <w:rFonts w:ascii="Times New Roman" w:hAnsi="Times New Roman"/>
          <w:szCs w:val="21"/>
        </w:rPr>
        <w:t>（盖单位章）</w:t>
      </w:r>
    </w:p>
    <w:p w14:paraId="794EAD4A">
      <w:pPr>
        <w:spacing w:line="394" w:lineRule="exact"/>
        <w:ind w:firstLine="1785"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18839A95">
      <w:pPr>
        <w:spacing w:line="394" w:lineRule="exact"/>
        <w:ind w:firstLine="2100" w:firstLineChars="1000"/>
        <w:rPr>
          <w:rFonts w:ascii="Times New Roman" w:hAnsi="Times New Roman"/>
          <w:szCs w:val="21"/>
        </w:rPr>
      </w:pPr>
      <w:r>
        <w:rPr>
          <w:rFonts w:ascii="Times New Roman" w:hAnsi="Times New Roman"/>
          <w:szCs w:val="21"/>
        </w:rPr>
        <w:t>……</w:t>
      </w:r>
    </w:p>
    <w:p w14:paraId="50B32C00">
      <w:pPr>
        <w:spacing w:line="394" w:lineRule="exact"/>
        <w:ind w:firstLine="2100" w:firstLineChars="1000"/>
        <w:jc w:val="right"/>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 xml:space="preserve">日 </w:t>
      </w:r>
    </w:p>
    <w:p w14:paraId="37428833">
      <w:pPr>
        <w:widowControl/>
        <w:jc w:val="left"/>
        <w:rPr>
          <w:rFonts w:ascii="Times New Roman" w:hAnsi="Times New Roman"/>
        </w:rPr>
      </w:pPr>
    </w:p>
    <w:p w14:paraId="0E84C050">
      <w:pPr>
        <w:widowControl/>
        <w:jc w:val="left"/>
        <w:rPr>
          <w:rFonts w:ascii="Times New Roman" w:hAnsi="Times New Roman"/>
        </w:rPr>
      </w:pPr>
    </w:p>
    <w:p w14:paraId="73B7FB19">
      <w:pPr>
        <w:widowControl/>
        <w:jc w:val="left"/>
        <w:rPr>
          <w:rFonts w:ascii="Times New Roman" w:hAnsi="Times New Roman"/>
        </w:rPr>
      </w:pPr>
    </w:p>
    <w:p w14:paraId="1C8A6AF2">
      <w:pPr>
        <w:widowControl/>
        <w:jc w:val="left"/>
        <w:rPr>
          <w:rFonts w:ascii="Times New Roman" w:hAnsi="Times New Roman"/>
        </w:rPr>
      </w:pPr>
    </w:p>
    <w:p w14:paraId="44FEF4B2">
      <w:pPr>
        <w:widowControl/>
        <w:jc w:val="left"/>
        <w:rPr>
          <w:rFonts w:ascii="Times New Roman" w:hAnsi="Times New Roman"/>
        </w:rPr>
      </w:pPr>
    </w:p>
    <w:p w14:paraId="5F20C48E">
      <w:pPr>
        <w:widowControl/>
        <w:jc w:val="left"/>
        <w:rPr>
          <w:rFonts w:ascii="Times New Roman" w:hAnsi="Times New Roman"/>
        </w:rPr>
      </w:pPr>
    </w:p>
    <w:p w14:paraId="6D9DF215">
      <w:pPr>
        <w:widowControl/>
        <w:jc w:val="left"/>
        <w:rPr>
          <w:rFonts w:ascii="Times New Roman" w:hAnsi="Times New Roman"/>
        </w:rPr>
      </w:pPr>
    </w:p>
    <w:p w14:paraId="3EDE129B">
      <w:pPr>
        <w:widowControl/>
        <w:jc w:val="left"/>
        <w:rPr>
          <w:rFonts w:ascii="Times New Roman" w:hAnsi="Times New Roman"/>
        </w:rPr>
      </w:pPr>
    </w:p>
    <w:p w14:paraId="6FB10C6C">
      <w:pPr>
        <w:widowControl/>
        <w:jc w:val="left"/>
        <w:rPr>
          <w:rFonts w:ascii="Times New Roman" w:hAnsi="Times New Roman"/>
        </w:rPr>
      </w:pPr>
    </w:p>
    <w:p w14:paraId="587B231E">
      <w:pPr>
        <w:widowControl/>
        <w:jc w:val="left"/>
        <w:rPr>
          <w:rFonts w:ascii="Times New Roman" w:hAnsi="Times New Roman"/>
        </w:rPr>
      </w:pPr>
    </w:p>
    <w:p w14:paraId="78969AC0">
      <w:pPr>
        <w:widowControl/>
        <w:jc w:val="left"/>
        <w:rPr>
          <w:rFonts w:ascii="Times New Roman" w:hAnsi="Times New Roman"/>
        </w:rPr>
      </w:pPr>
    </w:p>
    <w:p w14:paraId="64BAB708">
      <w:pPr>
        <w:widowControl/>
        <w:jc w:val="left"/>
        <w:rPr>
          <w:rFonts w:ascii="Times New Roman" w:hAnsi="Times New Roman"/>
        </w:rPr>
      </w:pPr>
    </w:p>
    <w:p w14:paraId="2EE57EF2">
      <w:pPr>
        <w:widowControl/>
        <w:jc w:val="left"/>
        <w:rPr>
          <w:rFonts w:ascii="Times New Roman" w:hAnsi="Times New Roman"/>
        </w:rPr>
      </w:pPr>
    </w:p>
    <w:p w14:paraId="4DEE6A64">
      <w:pPr>
        <w:widowControl/>
        <w:jc w:val="left"/>
        <w:rPr>
          <w:rFonts w:ascii="Times New Roman" w:hAnsi="Times New Roman"/>
        </w:rPr>
      </w:pPr>
    </w:p>
    <w:p w14:paraId="4A66357C">
      <w:pPr>
        <w:widowControl/>
        <w:jc w:val="left"/>
        <w:rPr>
          <w:rFonts w:ascii="Times New Roman" w:hAnsi="Times New Roman"/>
        </w:rPr>
      </w:pPr>
    </w:p>
    <w:p w14:paraId="1AAFB3E8">
      <w:pPr>
        <w:widowControl/>
        <w:jc w:val="left"/>
        <w:rPr>
          <w:rFonts w:ascii="Times New Roman" w:hAnsi="Times New Roman"/>
        </w:rPr>
      </w:pPr>
    </w:p>
    <w:p w14:paraId="2EC7A70B">
      <w:pPr>
        <w:widowControl/>
        <w:jc w:val="left"/>
        <w:rPr>
          <w:rFonts w:ascii="Times New Roman" w:hAnsi="Times New Roman"/>
        </w:rPr>
      </w:pPr>
    </w:p>
    <w:p w14:paraId="36E00904">
      <w:pPr>
        <w:widowControl/>
        <w:jc w:val="left"/>
        <w:rPr>
          <w:rFonts w:ascii="Times New Roman" w:hAnsi="Times New Roman"/>
        </w:rPr>
      </w:pPr>
    </w:p>
    <w:p w14:paraId="415A284A">
      <w:pPr>
        <w:widowControl/>
        <w:jc w:val="left"/>
        <w:rPr>
          <w:rFonts w:ascii="Times New Roman" w:hAnsi="Times New Roman"/>
        </w:rPr>
      </w:pPr>
    </w:p>
    <w:p w14:paraId="7A82B55D">
      <w:pPr>
        <w:widowControl/>
        <w:jc w:val="left"/>
        <w:rPr>
          <w:rFonts w:ascii="Times New Roman" w:hAnsi="Times New Roman"/>
        </w:rPr>
      </w:pPr>
    </w:p>
    <w:p w14:paraId="3B59E654">
      <w:pPr>
        <w:widowControl/>
        <w:jc w:val="left"/>
        <w:rPr>
          <w:rFonts w:ascii="Times New Roman" w:hAnsi="Times New Roman"/>
        </w:rPr>
      </w:pPr>
    </w:p>
    <w:p w14:paraId="183630F5">
      <w:pPr>
        <w:widowControl/>
        <w:jc w:val="left"/>
        <w:rPr>
          <w:rFonts w:ascii="Times New Roman" w:hAnsi="Times New Roman"/>
        </w:rPr>
      </w:pPr>
    </w:p>
    <w:p w14:paraId="6AC51E1D">
      <w:pPr>
        <w:widowControl/>
        <w:jc w:val="left"/>
        <w:rPr>
          <w:rFonts w:ascii="Times New Roman" w:hAnsi="Times New Roman"/>
        </w:rPr>
      </w:pPr>
    </w:p>
    <w:p w14:paraId="0ECEEA7C">
      <w:pPr>
        <w:widowControl/>
        <w:jc w:val="left"/>
        <w:rPr>
          <w:rFonts w:ascii="Times New Roman" w:hAnsi="Times New Roman"/>
        </w:rPr>
      </w:pPr>
    </w:p>
    <w:p w14:paraId="7044A40A">
      <w:pPr>
        <w:widowControl/>
        <w:jc w:val="left"/>
        <w:rPr>
          <w:rFonts w:ascii="Times New Roman" w:hAnsi="Times New Roman"/>
        </w:rPr>
      </w:pPr>
    </w:p>
    <w:p w14:paraId="4C77BDF1">
      <w:pPr>
        <w:widowControl/>
        <w:jc w:val="left"/>
        <w:rPr>
          <w:rFonts w:ascii="Times New Roman" w:hAnsi="Times New Roman"/>
        </w:rPr>
      </w:pPr>
    </w:p>
    <w:p w14:paraId="45AF2472">
      <w:pPr>
        <w:widowControl/>
        <w:jc w:val="left"/>
        <w:rPr>
          <w:rFonts w:ascii="Times New Roman" w:hAnsi="Times New Roman"/>
        </w:rPr>
      </w:pPr>
    </w:p>
    <w:p w14:paraId="501BFEB7">
      <w:pPr>
        <w:widowControl/>
        <w:jc w:val="left"/>
        <w:rPr>
          <w:rFonts w:ascii="Times New Roman" w:hAnsi="Times New Roman"/>
        </w:rPr>
      </w:pPr>
    </w:p>
    <w:p w14:paraId="1EAB119D">
      <w:pPr>
        <w:widowControl/>
        <w:jc w:val="left"/>
        <w:rPr>
          <w:rFonts w:ascii="Times New Roman" w:hAnsi="Times New Roman"/>
        </w:rPr>
      </w:pPr>
    </w:p>
    <w:p w14:paraId="4C7F9B01">
      <w:pPr>
        <w:widowControl/>
        <w:jc w:val="left"/>
        <w:rPr>
          <w:rFonts w:ascii="Times New Roman" w:hAnsi="Times New Roman"/>
        </w:rPr>
      </w:pPr>
    </w:p>
    <w:p w14:paraId="21587D81">
      <w:pPr>
        <w:widowControl/>
        <w:jc w:val="left"/>
        <w:rPr>
          <w:rFonts w:ascii="Times New Roman" w:hAnsi="Times New Roman"/>
        </w:rPr>
      </w:pPr>
    </w:p>
    <w:p w14:paraId="5A89F16F">
      <w:pPr>
        <w:widowControl/>
        <w:jc w:val="left"/>
        <w:rPr>
          <w:rFonts w:ascii="Times New Roman" w:hAnsi="Times New Roman"/>
        </w:rPr>
      </w:pPr>
    </w:p>
    <w:p w14:paraId="3B9BB32D">
      <w:pPr>
        <w:widowControl/>
        <w:jc w:val="left"/>
        <w:rPr>
          <w:rFonts w:ascii="Times New Roman" w:hAnsi="Times New Roman"/>
        </w:rPr>
      </w:pPr>
    </w:p>
    <w:p w14:paraId="0DD421CB">
      <w:pPr>
        <w:widowControl/>
        <w:jc w:val="left"/>
        <w:rPr>
          <w:rFonts w:ascii="Times New Roman" w:hAnsi="Times New Roman"/>
        </w:rPr>
      </w:pPr>
    </w:p>
    <w:p w14:paraId="631F6F7D">
      <w:pPr>
        <w:widowControl/>
        <w:jc w:val="left"/>
        <w:rPr>
          <w:rFonts w:ascii="Times New Roman" w:hAnsi="Times New Roman"/>
        </w:rPr>
      </w:pPr>
    </w:p>
    <w:p w14:paraId="4D9E32D5">
      <w:pPr>
        <w:widowControl/>
        <w:jc w:val="left"/>
        <w:rPr>
          <w:rFonts w:ascii="Times New Roman" w:hAnsi="Times New Roman"/>
        </w:rPr>
      </w:pPr>
    </w:p>
    <w:p w14:paraId="6C444B47">
      <w:pPr>
        <w:widowControl/>
        <w:jc w:val="left"/>
        <w:rPr>
          <w:rFonts w:ascii="Times New Roman" w:hAnsi="Times New Roman"/>
        </w:rPr>
      </w:pPr>
    </w:p>
    <w:p w14:paraId="77C614CB">
      <w:pPr>
        <w:widowControl/>
        <w:jc w:val="left"/>
        <w:rPr>
          <w:rFonts w:ascii="Times New Roman" w:hAnsi="Times New Roman"/>
        </w:rPr>
      </w:pPr>
    </w:p>
    <w:p w14:paraId="7A0EF018">
      <w:pPr>
        <w:widowControl/>
        <w:jc w:val="left"/>
        <w:rPr>
          <w:rFonts w:ascii="Times New Roman" w:hAnsi="Times New Roman"/>
        </w:rPr>
      </w:pPr>
    </w:p>
    <w:p w14:paraId="6A6BF801">
      <w:pPr>
        <w:pStyle w:val="4"/>
        <w:spacing w:line="413" w:lineRule="auto"/>
        <w:ind w:firstLine="118"/>
        <w:jc w:val="center"/>
        <w:rPr>
          <w:rFonts w:ascii="Times New Roman" w:hAnsi="Times New Roman"/>
          <w:sz w:val="24"/>
          <w:szCs w:val="24"/>
        </w:rPr>
      </w:pPr>
      <w:bookmarkStart w:id="458" w:name="_Toc460660229"/>
      <w:bookmarkStart w:id="459" w:name="_Toc460227114"/>
      <w:r>
        <w:rPr>
          <w:rFonts w:ascii="Times New Roman" w:hAnsi="Times New Roman"/>
          <w:sz w:val="24"/>
          <w:szCs w:val="24"/>
        </w:rPr>
        <w:t>四、投标保证金</w:t>
      </w:r>
      <w:bookmarkEnd w:id="458"/>
      <w:bookmarkEnd w:id="459"/>
    </w:p>
    <w:p w14:paraId="33DD842A">
      <w:pPr>
        <w:spacing w:line="360" w:lineRule="auto"/>
        <w:ind w:firstLine="420" w:firstLineChars="200"/>
        <w:rPr>
          <w:rFonts w:ascii="Times New Roman" w:hAnsi="Times New Roman"/>
          <w:szCs w:val="21"/>
        </w:rPr>
      </w:pPr>
      <w:r>
        <w:rPr>
          <w:rFonts w:ascii="Times New Roman" w:hAnsi="Times New Roman"/>
          <w:szCs w:val="21"/>
        </w:rPr>
        <w:t>投标人应在此提供银行回单的扫描件、基本账户开户许可证扫描件（或基本存款账户编号）。</w:t>
      </w:r>
    </w:p>
    <w:p w14:paraId="796957A8">
      <w:pPr>
        <w:spacing w:line="360" w:lineRule="auto"/>
        <w:rPr>
          <w:rFonts w:ascii="Times New Roman" w:hAnsi="Times New Roman"/>
          <w:szCs w:val="21"/>
        </w:rPr>
      </w:pPr>
    </w:p>
    <w:p w14:paraId="2AEC9EAD">
      <w:pPr>
        <w:pStyle w:val="4"/>
        <w:pageBreakBefore/>
        <w:spacing w:line="413" w:lineRule="auto"/>
        <w:ind w:firstLine="0" w:firstLineChars="0"/>
        <w:jc w:val="center"/>
        <w:rPr>
          <w:rFonts w:ascii="Times New Roman" w:hAnsi="Times New Roman"/>
          <w:sz w:val="24"/>
          <w:szCs w:val="24"/>
        </w:rPr>
      </w:pPr>
      <w:r>
        <w:rPr>
          <w:rFonts w:ascii="Times New Roman" w:hAnsi="Times New Roman"/>
          <w:sz w:val="24"/>
          <w:szCs w:val="24"/>
        </w:rPr>
        <w:t>五、投标保证金退还声明</w:t>
      </w:r>
    </w:p>
    <w:p w14:paraId="55336F28">
      <w:pPr>
        <w:spacing w:line="480" w:lineRule="auto"/>
        <w:ind w:firstLine="550" w:firstLineChars="262"/>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某招标项目标段名称</w:t>
      </w:r>
    </w:p>
    <w:p w14:paraId="1F9980AC">
      <w:pPr>
        <w:spacing w:line="480" w:lineRule="auto"/>
        <w:ind w:firstLine="550" w:firstLineChars="262"/>
        <w:rPr>
          <w:rFonts w:ascii="Times New Roman" w:hAnsi="Times New Roman"/>
          <w:szCs w:val="21"/>
          <w:u w:val="single"/>
        </w:rPr>
      </w:pPr>
      <w:r>
        <w:rPr>
          <w:rFonts w:ascii="Times New Roman" w:hAnsi="Times New Roman"/>
          <w:szCs w:val="21"/>
        </w:rPr>
        <w:t>招标项目编号：</w:t>
      </w:r>
      <w:r>
        <w:rPr>
          <w:rFonts w:ascii="Times New Roman" w:hAnsi="Times New Roman"/>
          <w:bCs/>
          <w:snapToGrid w:val="0"/>
          <w:kern w:val="0"/>
          <w:szCs w:val="21"/>
          <w:u w:val="single"/>
        </w:rPr>
        <w:t>某招标项目标段编号</w:t>
      </w:r>
    </w:p>
    <w:p w14:paraId="404CE5BF">
      <w:pPr>
        <w:spacing w:line="480" w:lineRule="auto"/>
        <w:ind w:firstLine="550" w:firstLineChars="262"/>
        <w:rPr>
          <w:rFonts w:ascii="Times New Roman" w:hAnsi="Times New Roman"/>
          <w:szCs w:val="21"/>
        </w:rPr>
      </w:pPr>
      <w:r>
        <w:rPr>
          <w:rFonts w:ascii="Times New Roman" w:hAnsi="Times New Roman"/>
          <w:szCs w:val="21"/>
        </w:rPr>
        <w:t>投标保证金金额：</w:t>
      </w:r>
      <w:r>
        <w:rPr>
          <w:rFonts w:ascii="Times New Roman" w:hAnsi="Times New Roman"/>
          <w:szCs w:val="21"/>
          <w:u w:val="single"/>
        </w:rPr>
        <w:t xml:space="preserve">                 </w:t>
      </w:r>
    </w:p>
    <w:p w14:paraId="0B783D2A">
      <w:pPr>
        <w:spacing w:line="480" w:lineRule="auto"/>
        <w:ind w:firstLine="420" w:firstLineChars="200"/>
        <w:rPr>
          <w:rFonts w:ascii="Times New Roman" w:hAnsi="Times New Roman"/>
          <w:szCs w:val="21"/>
        </w:rPr>
      </w:pPr>
      <w:r>
        <w:rPr>
          <w:rFonts w:ascii="Times New Roman" w:hAnsi="Times New Roman"/>
          <w:szCs w:val="21"/>
        </w:rPr>
        <w:t>我单位投标保证金到期后请汇至如下账号：</w:t>
      </w:r>
    </w:p>
    <w:p w14:paraId="7B3871CA">
      <w:pPr>
        <w:spacing w:line="360" w:lineRule="auto"/>
        <w:ind w:firstLine="629"/>
        <w:rPr>
          <w:rFonts w:ascii="Times New Roman" w:hAnsi="Times New Roman"/>
          <w:szCs w:val="21"/>
          <w:u w:val="single"/>
        </w:rPr>
      </w:pPr>
      <w:r>
        <w:rPr>
          <w:rFonts w:ascii="Times New Roman" w:hAnsi="Times New Roman"/>
          <w:szCs w:val="21"/>
        </w:rPr>
        <w:t>收款单位：</w:t>
      </w:r>
      <w:r>
        <w:rPr>
          <w:rFonts w:ascii="Times New Roman" w:hAnsi="Times New Roman"/>
          <w:szCs w:val="21"/>
          <w:u w:val="single"/>
        </w:rPr>
        <w:t xml:space="preserve">                       </w:t>
      </w:r>
    </w:p>
    <w:p w14:paraId="6AAC0816">
      <w:pPr>
        <w:spacing w:line="360" w:lineRule="auto"/>
        <w:ind w:firstLine="629"/>
        <w:rPr>
          <w:rFonts w:ascii="Times New Roman" w:hAnsi="Times New Roman"/>
          <w:szCs w:val="21"/>
          <w:u w:val="single"/>
        </w:rPr>
      </w:pPr>
      <w:r>
        <w:rPr>
          <w:rFonts w:ascii="Times New Roman" w:hAnsi="Times New Roman"/>
          <w:szCs w:val="21"/>
        </w:rPr>
        <w:t>开 户 行：</w:t>
      </w:r>
      <w:r>
        <w:rPr>
          <w:rFonts w:ascii="Times New Roman" w:hAnsi="Times New Roman"/>
          <w:szCs w:val="21"/>
          <w:u w:val="single"/>
        </w:rPr>
        <w:t xml:space="preserve">                       </w:t>
      </w:r>
    </w:p>
    <w:p w14:paraId="4E6427AD">
      <w:pPr>
        <w:spacing w:line="360" w:lineRule="auto"/>
        <w:ind w:firstLine="629"/>
        <w:rPr>
          <w:rFonts w:ascii="Times New Roman" w:hAnsi="Times New Roman"/>
          <w:szCs w:val="21"/>
          <w:u w:val="single"/>
        </w:rPr>
      </w:pPr>
      <w:r>
        <w:rPr>
          <w:rFonts w:ascii="Times New Roman" w:hAnsi="Times New Roman"/>
          <w:szCs w:val="21"/>
        </w:rPr>
        <w:t>银行账号：</w:t>
      </w:r>
      <w:r>
        <w:rPr>
          <w:rFonts w:ascii="Times New Roman" w:hAnsi="Times New Roman"/>
          <w:szCs w:val="21"/>
          <w:u w:val="single"/>
        </w:rPr>
        <w:t xml:space="preserve">                       </w:t>
      </w:r>
    </w:p>
    <w:p w14:paraId="7D680B29">
      <w:pPr>
        <w:spacing w:line="360" w:lineRule="auto"/>
        <w:ind w:firstLine="629"/>
        <w:rPr>
          <w:rFonts w:ascii="Times New Roman" w:hAnsi="Times New Roman"/>
          <w:szCs w:val="21"/>
          <w:u w:val="single"/>
        </w:rPr>
      </w:pPr>
      <w:r>
        <w:rPr>
          <w:rFonts w:ascii="Times New Roman" w:hAnsi="Times New Roman"/>
          <w:szCs w:val="21"/>
        </w:rPr>
        <w:t>电    话：</w:t>
      </w:r>
      <w:r>
        <w:rPr>
          <w:rFonts w:ascii="Times New Roman" w:hAnsi="Times New Roman"/>
          <w:szCs w:val="21"/>
          <w:u w:val="single"/>
        </w:rPr>
        <w:t xml:space="preserve">                       </w:t>
      </w:r>
    </w:p>
    <w:p w14:paraId="03DF87E4">
      <w:pPr>
        <w:spacing w:line="360" w:lineRule="auto"/>
        <w:ind w:firstLine="629"/>
        <w:rPr>
          <w:rFonts w:ascii="Times New Roman" w:hAnsi="Times New Roman"/>
          <w:szCs w:val="21"/>
          <w:u w:val="single"/>
        </w:rPr>
      </w:pPr>
      <w:r>
        <w:rPr>
          <w:rFonts w:ascii="Times New Roman" w:hAnsi="Times New Roman"/>
          <w:szCs w:val="21"/>
        </w:rPr>
        <w:t>地    址：</w:t>
      </w:r>
      <w:r>
        <w:rPr>
          <w:rFonts w:ascii="Times New Roman" w:hAnsi="Times New Roman"/>
          <w:szCs w:val="21"/>
          <w:u w:val="single"/>
        </w:rPr>
        <w:t xml:space="preserve">                       </w:t>
      </w:r>
    </w:p>
    <w:p w14:paraId="0947D0A4">
      <w:pPr>
        <w:spacing w:line="480" w:lineRule="auto"/>
        <w:rPr>
          <w:rFonts w:ascii="Times New Roman" w:hAnsi="Times New Roman"/>
          <w:szCs w:val="21"/>
        </w:rPr>
      </w:pPr>
    </w:p>
    <w:p w14:paraId="57912ABA">
      <w:pPr>
        <w:spacing w:line="480" w:lineRule="auto"/>
        <w:ind w:firstLine="630"/>
        <w:rPr>
          <w:rFonts w:ascii="Times New Roman" w:hAnsi="Times New Roman"/>
          <w:szCs w:val="21"/>
        </w:rPr>
      </w:pPr>
    </w:p>
    <w:p w14:paraId="025946C3">
      <w:pPr>
        <w:spacing w:line="480" w:lineRule="auto"/>
        <w:ind w:firstLine="1470" w:firstLineChars="700"/>
        <w:rPr>
          <w:rFonts w:ascii="Times New Roman" w:hAnsi="Times New Roman"/>
          <w:b/>
          <w:bCs/>
          <w:szCs w:val="21"/>
        </w:rPr>
      </w:pPr>
      <w:r>
        <w:rPr>
          <w:rFonts w:ascii="Times New Roman" w:hAnsi="Times New Roman"/>
          <w:szCs w:val="21"/>
        </w:rPr>
        <w:t xml:space="preserve">                     </w:t>
      </w:r>
      <w:r>
        <w:rPr>
          <w:rFonts w:ascii="Times New Roman" w:hAnsi="Times New Roman"/>
          <w:b/>
          <w:bCs/>
          <w:szCs w:val="21"/>
        </w:rPr>
        <w:t xml:space="preserve">           </w:t>
      </w:r>
      <w:r>
        <w:rPr>
          <w:rFonts w:ascii="Times New Roman" w:hAnsi="Times New Roman"/>
          <w:b/>
          <w:szCs w:val="21"/>
        </w:rPr>
        <w:t>投标人盖章：</w:t>
      </w:r>
    </w:p>
    <w:p w14:paraId="324D87DC">
      <w:pPr>
        <w:widowControl/>
        <w:jc w:val="left"/>
        <w:rPr>
          <w:rFonts w:ascii="Times New Roman" w:hAnsi="Times New Roman"/>
          <w:color w:val="FF0000"/>
        </w:rPr>
      </w:pPr>
    </w:p>
    <w:p w14:paraId="6B952B76">
      <w:pPr>
        <w:widowControl/>
        <w:jc w:val="left"/>
        <w:rPr>
          <w:rFonts w:ascii="Times New Roman" w:hAnsi="Times New Roman"/>
          <w:color w:val="FF0000"/>
        </w:rPr>
      </w:pPr>
    </w:p>
    <w:p w14:paraId="30296E3B">
      <w:pPr>
        <w:widowControl/>
        <w:jc w:val="left"/>
        <w:rPr>
          <w:rFonts w:ascii="Times New Roman" w:hAnsi="Times New Roman"/>
          <w:color w:val="FF0000"/>
        </w:rPr>
      </w:pPr>
    </w:p>
    <w:p w14:paraId="7BB901E9">
      <w:pPr>
        <w:widowControl/>
        <w:jc w:val="left"/>
        <w:rPr>
          <w:rFonts w:ascii="Times New Roman" w:hAnsi="Times New Roman"/>
          <w:color w:val="FF0000"/>
        </w:rPr>
      </w:pPr>
    </w:p>
    <w:p w14:paraId="6E27236D">
      <w:pPr>
        <w:widowControl/>
        <w:jc w:val="left"/>
        <w:rPr>
          <w:rFonts w:ascii="Times New Roman" w:hAnsi="Times New Roman"/>
          <w:color w:val="FF0000"/>
        </w:rPr>
      </w:pPr>
    </w:p>
    <w:p w14:paraId="19577970">
      <w:pPr>
        <w:widowControl/>
        <w:spacing w:before="120" w:beforeLines="50" w:after="120" w:afterLines="50" w:line="500" w:lineRule="exact"/>
        <w:jc w:val="center"/>
        <w:rPr>
          <w:rFonts w:ascii="Times New Roman" w:hAnsi="Times New Roman" w:eastAsia="黑体"/>
          <w:sz w:val="24"/>
          <w:szCs w:val="24"/>
        </w:rPr>
      </w:pPr>
      <w:r>
        <w:rPr>
          <w:rFonts w:ascii="Times New Roman" w:hAnsi="Times New Roman"/>
          <w:sz w:val="24"/>
          <w:szCs w:val="24"/>
        </w:rPr>
        <w:br w:type="page"/>
      </w:r>
      <w:bookmarkStart w:id="460" w:name="_Toc535241135"/>
      <w:bookmarkStart w:id="461" w:name="_Toc535241232"/>
      <w:bookmarkStart w:id="462" w:name="_Toc535241089"/>
      <w:r>
        <w:rPr>
          <w:rFonts w:ascii="Times New Roman" w:hAnsi="Times New Roman" w:eastAsia="黑体"/>
          <w:sz w:val="24"/>
          <w:szCs w:val="24"/>
        </w:rPr>
        <w:t>六、拟委任的主要人员汇总表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14:paraId="0E79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vMerge w:val="restart"/>
            <w:noWrap w:val="0"/>
            <w:vAlign w:val="center"/>
          </w:tcPr>
          <w:p w14:paraId="5C61A5D7">
            <w:pPr>
              <w:spacing w:line="440" w:lineRule="exact"/>
              <w:jc w:val="center"/>
              <w:rPr>
                <w:rFonts w:ascii="Times New Roman" w:hAnsi="Times New Roman"/>
              </w:rPr>
            </w:pPr>
            <w:r>
              <w:rPr>
                <w:rFonts w:ascii="Times New Roman" w:hAnsi="Times New Roman"/>
              </w:rPr>
              <w:t>序号</w:t>
            </w:r>
          </w:p>
        </w:tc>
        <w:tc>
          <w:tcPr>
            <w:tcW w:w="1275" w:type="dxa"/>
            <w:vMerge w:val="restart"/>
            <w:noWrap w:val="0"/>
            <w:vAlign w:val="center"/>
          </w:tcPr>
          <w:p w14:paraId="2B63FB7A">
            <w:pPr>
              <w:spacing w:line="440" w:lineRule="exact"/>
              <w:jc w:val="center"/>
              <w:rPr>
                <w:rFonts w:ascii="Times New Roman" w:hAnsi="Times New Roman"/>
              </w:rPr>
            </w:pPr>
            <w:r>
              <w:rPr>
                <w:rFonts w:ascii="Times New Roman" w:hAnsi="Times New Roman"/>
              </w:rPr>
              <w:t>本项目任职</w:t>
            </w:r>
          </w:p>
        </w:tc>
        <w:tc>
          <w:tcPr>
            <w:tcW w:w="992" w:type="dxa"/>
            <w:vMerge w:val="restart"/>
            <w:noWrap w:val="0"/>
            <w:vAlign w:val="center"/>
          </w:tcPr>
          <w:p w14:paraId="06536DC3">
            <w:pPr>
              <w:spacing w:line="440" w:lineRule="exact"/>
              <w:jc w:val="center"/>
              <w:rPr>
                <w:rFonts w:ascii="Times New Roman" w:hAnsi="Times New Roman"/>
              </w:rPr>
            </w:pPr>
            <w:r>
              <w:rPr>
                <w:rFonts w:ascii="Times New Roman" w:hAnsi="Times New Roman"/>
              </w:rPr>
              <w:t>姓名</w:t>
            </w:r>
          </w:p>
        </w:tc>
        <w:tc>
          <w:tcPr>
            <w:tcW w:w="735" w:type="dxa"/>
            <w:vMerge w:val="restart"/>
            <w:noWrap w:val="0"/>
            <w:vAlign w:val="center"/>
          </w:tcPr>
          <w:p w14:paraId="404B427F">
            <w:pPr>
              <w:spacing w:line="440" w:lineRule="exact"/>
              <w:jc w:val="center"/>
              <w:rPr>
                <w:rFonts w:ascii="Times New Roman" w:hAnsi="Times New Roman"/>
              </w:rPr>
            </w:pPr>
            <w:r>
              <w:rPr>
                <w:rFonts w:ascii="Times New Roman" w:hAnsi="Times New Roman"/>
              </w:rPr>
              <w:t>职称</w:t>
            </w:r>
          </w:p>
        </w:tc>
        <w:tc>
          <w:tcPr>
            <w:tcW w:w="709" w:type="dxa"/>
            <w:vMerge w:val="restart"/>
            <w:noWrap w:val="0"/>
            <w:vAlign w:val="center"/>
          </w:tcPr>
          <w:p w14:paraId="3C401D62">
            <w:pPr>
              <w:spacing w:line="440" w:lineRule="exact"/>
              <w:jc w:val="center"/>
              <w:rPr>
                <w:rFonts w:ascii="Times New Roman" w:hAnsi="Times New Roman"/>
              </w:rPr>
            </w:pPr>
            <w:r>
              <w:rPr>
                <w:rFonts w:ascii="Times New Roman" w:hAnsi="Times New Roman"/>
              </w:rPr>
              <w:t>专业</w:t>
            </w:r>
          </w:p>
        </w:tc>
        <w:tc>
          <w:tcPr>
            <w:tcW w:w="2835" w:type="dxa"/>
            <w:gridSpan w:val="3"/>
            <w:noWrap w:val="0"/>
            <w:vAlign w:val="center"/>
          </w:tcPr>
          <w:p w14:paraId="423D8BD8">
            <w:pPr>
              <w:spacing w:line="440" w:lineRule="exact"/>
              <w:jc w:val="center"/>
              <w:rPr>
                <w:rFonts w:ascii="Times New Roman" w:hAnsi="Times New Roman"/>
              </w:rPr>
            </w:pPr>
            <w:r>
              <w:rPr>
                <w:rFonts w:ascii="Times New Roman" w:hAnsi="Times New Roman"/>
              </w:rPr>
              <w:t>执业或职业资格证明</w:t>
            </w:r>
          </w:p>
        </w:tc>
        <w:tc>
          <w:tcPr>
            <w:tcW w:w="976" w:type="dxa"/>
            <w:noWrap w:val="0"/>
            <w:vAlign w:val="center"/>
          </w:tcPr>
          <w:p w14:paraId="5ECA7475">
            <w:pPr>
              <w:spacing w:line="440" w:lineRule="exact"/>
              <w:jc w:val="center"/>
              <w:rPr>
                <w:rFonts w:ascii="Times New Roman" w:hAnsi="Times New Roman"/>
              </w:rPr>
            </w:pPr>
            <w:r>
              <w:rPr>
                <w:rFonts w:ascii="Times New Roman" w:hAnsi="Times New Roman"/>
              </w:rPr>
              <w:t>备注</w:t>
            </w:r>
          </w:p>
        </w:tc>
      </w:tr>
      <w:tr w14:paraId="17CA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vMerge w:val="continue"/>
            <w:noWrap w:val="0"/>
            <w:vAlign w:val="center"/>
          </w:tcPr>
          <w:p w14:paraId="2CABD54F">
            <w:pPr>
              <w:rPr>
                <w:rFonts w:ascii="Times New Roman" w:hAnsi="Times New Roman"/>
              </w:rPr>
            </w:pPr>
          </w:p>
        </w:tc>
        <w:tc>
          <w:tcPr>
            <w:tcW w:w="1275" w:type="dxa"/>
            <w:vMerge w:val="continue"/>
            <w:noWrap w:val="0"/>
            <w:vAlign w:val="top"/>
          </w:tcPr>
          <w:p w14:paraId="28693A60">
            <w:pPr>
              <w:rPr>
                <w:rFonts w:ascii="Times New Roman" w:hAnsi="Times New Roman"/>
              </w:rPr>
            </w:pPr>
          </w:p>
        </w:tc>
        <w:tc>
          <w:tcPr>
            <w:tcW w:w="992" w:type="dxa"/>
            <w:vMerge w:val="continue"/>
            <w:noWrap w:val="0"/>
            <w:vAlign w:val="center"/>
          </w:tcPr>
          <w:p w14:paraId="53AFBD6A">
            <w:pPr>
              <w:rPr>
                <w:rFonts w:ascii="Times New Roman" w:hAnsi="Times New Roman"/>
              </w:rPr>
            </w:pPr>
          </w:p>
        </w:tc>
        <w:tc>
          <w:tcPr>
            <w:tcW w:w="735" w:type="dxa"/>
            <w:vMerge w:val="continue"/>
            <w:noWrap w:val="0"/>
            <w:vAlign w:val="center"/>
          </w:tcPr>
          <w:p w14:paraId="6AF5CC32">
            <w:pPr>
              <w:rPr>
                <w:rFonts w:ascii="Times New Roman" w:hAnsi="Times New Roman"/>
              </w:rPr>
            </w:pPr>
          </w:p>
        </w:tc>
        <w:tc>
          <w:tcPr>
            <w:tcW w:w="709" w:type="dxa"/>
            <w:vMerge w:val="continue"/>
            <w:noWrap w:val="0"/>
            <w:vAlign w:val="center"/>
          </w:tcPr>
          <w:p w14:paraId="3C1C2441">
            <w:pPr>
              <w:spacing w:line="440" w:lineRule="exact"/>
              <w:jc w:val="center"/>
              <w:rPr>
                <w:rFonts w:ascii="Times New Roman" w:hAnsi="Times New Roman"/>
              </w:rPr>
            </w:pPr>
          </w:p>
        </w:tc>
        <w:tc>
          <w:tcPr>
            <w:tcW w:w="1134" w:type="dxa"/>
            <w:noWrap w:val="0"/>
            <w:vAlign w:val="center"/>
          </w:tcPr>
          <w:p w14:paraId="3CF12349">
            <w:pPr>
              <w:spacing w:before="100" w:beforeAutospacing="1" w:after="100" w:afterAutospacing="1" w:line="440" w:lineRule="exact"/>
              <w:jc w:val="center"/>
              <w:rPr>
                <w:rFonts w:ascii="Times New Roman" w:hAnsi="Times New Roman"/>
              </w:rPr>
            </w:pPr>
            <w:r>
              <w:rPr>
                <w:rFonts w:ascii="Times New Roman" w:hAnsi="Times New Roman"/>
              </w:rPr>
              <w:t>证书名称</w:t>
            </w:r>
          </w:p>
        </w:tc>
        <w:tc>
          <w:tcPr>
            <w:tcW w:w="992" w:type="dxa"/>
            <w:noWrap w:val="0"/>
            <w:vAlign w:val="center"/>
          </w:tcPr>
          <w:p w14:paraId="3D3E28A9">
            <w:pPr>
              <w:spacing w:before="100" w:beforeAutospacing="1" w:after="100" w:afterAutospacing="1" w:line="440" w:lineRule="exact"/>
              <w:jc w:val="center"/>
              <w:rPr>
                <w:rFonts w:ascii="Times New Roman" w:hAnsi="Times New Roman"/>
              </w:rPr>
            </w:pPr>
            <w:r>
              <w:rPr>
                <w:rFonts w:ascii="Times New Roman" w:hAnsi="Times New Roman"/>
              </w:rPr>
              <w:t>级别</w:t>
            </w:r>
          </w:p>
        </w:tc>
        <w:tc>
          <w:tcPr>
            <w:tcW w:w="709" w:type="dxa"/>
            <w:noWrap w:val="0"/>
            <w:vAlign w:val="center"/>
          </w:tcPr>
          <w:p w14:paraId="2C5CC27D">
            <w:pPr>
              <w:spacing w:before="100" w:beforeAutospacing="1" w:after="100" w:afterAutospacing="1" w:line="440" w:lineRule="exact"/>
              <w:jc w:val="center"/>
              <w:rPr>
                <w:rFonts w:ascii="Times New Roman" w:hAnsi="Times New Roman"/>
              </w:rPr>
            </w:pPr>
            <w:r>
              <w:rPr>
                <w:rFonts w:ascii="Times New Roman" w:hAnsi="Times New Roman"/>
              </w:rPr>
              <w:t>证号</w:t>
            </w:r>
          </w:p>
        </w:tc>
        <w:tc>
          <w:tcPr>
            <w:tcW w:w="976" w:type="dxa"/>
            <w:noWrap w:val="0"/>
            <w:vAlign w:val="center"/>
          </w:tcPr>
          <w:p w14:paraId="3A5BB7EF">
            <w:pPr>
              <w:spacing w:line="440" w:lineRule="exact"/>
              <w:jc w:val="center"/>
              <w:rPr>
                <w:rFonts w:ascii="Times New Roman" w:hAnsi="Times New Roman"/>
              </w:rPr>
            </w:pPr>
          </w:p>
        </w:tc>
      </w:tr>
      <w:tr w14:paraId="7D0B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center"/>
          </w:tcPr>
          <w:p w14:paraId="31456B06">
            <w:pPr>
              <w:spacing w:line="440" w:lineRule="exact"/>
              <w:jc w:val="center"/>
              <w:rPr>
                <w:rFonts w:ascii="Times New Roman" w:hAnsi="Times New Roman"/>
              </w:rPr>
            </w:pPr>
          </w:p>
        </w:tc>
        <w:tc>
          <w:tcPr>
            <w:tcW w:w="1275" w:type="dxa"/>
            <w:noWrap w:val="0"/>
            <w:vAlign w:val="top"/>
          </w:tcPr>
          <w:p w14:paraId="69B61ACA">
            <w:pPr>
              <w:spacing w:line="440" w:lineRule="exact"/>
              <w:jc w:val="center"/>
              <w:rPr>
                <w:rFonts w:ascii="Times New Roman" w:hAnsi="Times New Roman"/>
              </w:rPr>
            </w:pPr>
          </w:p>
        </w:tc>
        <w:tc>
          <w:tcPr>
            <w:tcW w:w="992" w:type="dxa"/>
            <w:noWrap w:val="0"/>
            <w:vAlign w:val="center"/>
          </w:tcPr>
          <w:p w14:paraId="2049E608">
            <w:pPr>
              <w:spacing w:line="440" w:lineRule="exact"/>
              <w:jc w:val="center"/>
              <w:rPr>
                <w:rFonts w:ascii="Times New Roman" w:hAnsi="Times New Roman"/>
              </w:rPr>
            </w:pPr>
          </w:p>
        </w:tc>
        <w:tc>
          <w:tcPr>
            <w:tcW w:w="735" w:type="dxa"/>
            <w:noWrap w:val="0"/>
            <w:vAlign w:val="center"/>
          </w:tcPr>
          <w:p w14:paraId="1A96AECD">
            <w:pPr>
              <w:spacing w:line="440" w:lineRule="exact"/>
              <w:jc w:val="center"/>
              <w:rPr>
                <w:rFonts w:ascii="Times New Roman" w:hAnsi="Times New Roman"/>
              </w:rPr>
            </w:pPr>
          </w:p>
        </w:tc>
        <w:tc>
          <w:tcPr>
            <w:tcW w:w="709" w:type="dxa"/>
            <w:noWrap w:val="0"/>
            <w:vAlign w:val="center"/>
          </w:tcPr>
          <w:p w14:paraId="392A09AE">
            <w:pPr>
              <w:spacing w:line="440" w:lineRule="exact"/>
              <w:jc w:val="center"/>
              <w:rPr>
                <w:rFonts w:ascii="Times New Roman" w:hAnsi="Times New Roman"/>
              </w:rPr>
            </w:pPr>
          </w:p>
        </w:tc>
        <w:tc>
          <w:tcPr>
            <w:tcW w:w="1134" w:type="dxa"/>
            <w:noWrap w:val="0"/>
            <w:vAlign w:val="center"/>
          </w:tcPr>
          <w:p w14:paraId="4808CD8C">
            <w:pPr>
              <w:spacing w:line="440" w:lineRule="exact"/>
              <w:jc w:val="center"/>
              <w:rPr>
                <w:rFonts w:ascii="Times New Roman" w:hAnsi="Times New Roman"/>
              </w:rPr>
            </w:pPr>
          </w:p>
        </w:tc>
        <w:tc>
          <w:tcPr>
            <w:tcW w:w="992" w:type="dxa"/>
            <w:noWrap w:val="0"/>
            <w:vAlign w:val="center"/>
          </w:tcPr>
          <w:p w14:paraId="33E08049">
            <w:pPr>
              <w:spacing w:line="440" w:lineRule="exact"/>
              <w:jc w:val="center"/>
              <w:rPr>
                <w:rFonts w:ascii="Times New Roman" w:hAnsi="Times New Roman"/>
              </w:rPr>
            </w:pPr>
          </w:p>
        </w:tc>
        <w:tc>
          <w:tcPr>
            <w:tcW w:w="709" w:type="dxa"/>
            <w:noWrap w:val="0"/>
            <w:vAlign w:val="center"/>
          </w:tcPr>
          <w:p w14:paraId="3636FEB4">
            <w:pPr>
              <w:spacing w:line="440" w:lineRule="exact"/>
              <w:jc w:val="center"/>
              <w:rPr>
                <w:rFonts w:ascii="Times New Roman" w:hAnsi="Times New Roman"/>
              </w:rPr>
            </w:pPr>
          </w:p>
        </w:tc>
        <w:tc>
          <w:tcPr>
            <w:tcW w:w="976" w:type="dxa"/>
            <w:noWrap w:val="0"/>
            <w:vAlign w:val="center"/>
          </w:tcPr>
          <w:p w14:paraId="081EAD6B">
            <w:pPr>
              <w:spacing w:line="440" w:lineRule="exact"/>
              <w:jc w:val="center"/>
              <w:rPr>
                <w:rFonts w:ascii="Times New Roman" w:hAnsi="Times New Roman"/>
              </w:rPr>
            </w:pPr>
          </w:p>
        </w:tc>
      </w:tr>
      <w:tr w14:paraId="0D0F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46E2ADC0">
            <w:pPr>
              <w:spacing w:line="440" w:lineRule="exact"/>
              <w:jc w:val="center"/>
              <w:rPr>
                <w:rFonts w:ascii="Times New Roman" w:hAnsi="Times New Roman"/>
              </w:rPr>
            </w:pPr>
          </w:p>
        </w:tc>
        <w:tc>
          <w:tcPr>
            <w:tcW w:w="1275" w:type="dxa"/>
            <w:noWrap w:val="0"/>
            <w:vAlign w:val="top"/>
          </w:tcPr>
          <w:p w14:paraId="1C45D742">
            <w:pPr>
              <w:spacing w:line="440" w:lineRule="exact"/>
              <w:jc w:val="center"/>
              <w:rPr>
                <w:rFonts w:ascii="Times New Roman" w:hAnsi="Times New Roman"/>
              </w:rPr>
            </w:pPr>
          </w:p>
        </w:tc>
        <w:tc>
          <w:tcPr>
            <w:tcW w:w="992" w:type="dxa"/>
            <w:noWrap w:val="0"/>
            <w:vAlign w:val="top"/>
          </w:tcPr>
          <w:p w14:paraId="2F867E44">
            <w:pPr>
              <w:spacing w:line="440" w:lineRule="exact"/>
              <w:jc w:val="center"/>
              <w:rPr>
                <w:rFonts w:ascii="Times New Roman" w:hAnsi="Times New Roman"/>
              </w:rPr>
            </w:pPr>
          </w:p>
        </w:tc>
        <w:tc>
          <w:tcPr>
            <w:tcW w:w="735" w:type="dxa"/>
            <w:noWrap w:val="0"/>
            <w:vAlign w:val="top"/>
          </w:tcPr>
          <w:p w14:paraId="7B3F6A1B">
            <w:pPr>
              <w:spacing w:line="440" w:lineRule="exact"/>
              <w:jc w:val="center"/>
              <w:rPr>
                <w:rFonts w:ascii="Times New Roman" w:hAnsi="Times New Roman"/>
              </w:rPr>
            </w:pPr>
          </w:p>
        </w:tc>
        <w:tc>
          <w:tcPr>
            <w:tcW w:w="709" w:type="dxa"/>
            <w:noWrap w:val="0"/>
            <w:vAlign w:val="top"/>
          </w:tcPr>
          <w:p w14:paraId="69FAFABF">
            <w:pPr>
              <w:spacing w:line="440" w:lineRule="exact"/>
              <w:jc w:val="center"/>
              <w:rPr>
                <w:rFonts w:ascii="Times New Roman" w:hAnsi="Times New Roman"/>
              </w:rPr>
            </w:pPr>
          </w:p>
        </w:tc>
        <w:tc>
          <w:tcPr>
            <w:tcW w:w="1134" w:type="dxa"/>
            <w:noWrap w:val="0"/>
            <w:vAlign w:val="top"/>
          </w:tcPr>
          <w:p w14:paraId="5CE6AF61">
            <w:pPr>
              <w:spacing w:line="440" w:lineRule="exact"/>
              <w:jc w:val="center"/>
              <w:rPr>
                <w:rFonts w:ascii="Times New Roman" w:hAnsi="Times New Roman"/>
              </w:rPr>
            </w:pPr>
          </w:p>
        </w:tc>
        <w:tc>
          <w:tcPr>
            <w:tcW w:w="992" w:type="dxa"/>
            <w:noWrap w:val="0"/>
            <w:vAlign w:val="top"/>
          </w:tcPr>
          <w:p w14:paraId="727FBF11">
            <w:pPr>
              <w:spacing w:line="440" w:lineRule="exact"/>
              <w:jc w:val="center"/>
              <w:rPr>
                <w:rFonts w:ascii="Times New Roman" w:hAnsi="Times New Roman"/>
              </w:rPr>
            </w:pPr>
          </w:p>
        </w:tc>
        <w:tc>
          <w:tcPr>
            <w:tcW w:w="709" w:type="dxa"/>
            <w:noWrap w:val="0"/>
            <w:vAlign w:val="top"/>
          </w:tcPr>
          <w:p w14:paraId="19DE8E21">
            <w:pPr>
              <w:spacing w:line="440" w:lineRule="exact"/>
              <w:jc w:val="center"/>
              <w:rPr>
                <w:rFonts w:ascii="Times New Roman" w:hAnsi="Times New Roman"/>
              </w:rPr>
            </w:pPr>
          </w:p>
        </w:tc>
        <w:tc>
          <w:tcPr>
            <w:tcW w:w="976" w:type="dxa"/>
            <w:noWrap w:val="0"/>
            <w:vAlign w:val="top"/>
          </w:tcPr>
          <w:p w14:paraId="4BC31C1F">
            <w:pPr>
              <w:spacing w:line="440" w:lineRule="exact"/>
              <w:jc w:val="center"/>
              <w:rPr>
                <w:rFonts w:ascii="Times New Roman" w:hAnsi="Times New Roman"/>
              </w:rPr>
            </w:pPr>
          </w:p>
        </w:tc>
      </w:tr>
      <w:tr w14:paraId="0E01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E76710B">
            <w:pPr>
              <w:spacing w:line="440" w:lineRule="exact"/>
              <w:jc w:val="center"/>
              <w:rPr>
                <w:rFonts w:ascii="Times New Roman" w:hAnsi="Times New Roman"/>
              </w:rPr>
            </w:pPr>
          </w:p>
        </w:tc>
        <w:tc>
          <w:tcPr>
            <w:tcW w:w="1275" w:type="dxa"/>
            <w:noWrap w:val="0"/>
            <w:vAlign w:val="top"/>
          </w:tcPr>
          <w:p w14:paraId="4BE36999">
            <w:pPr>
              <w:spacing w:line="440" w:lineRule="exact"/>
              <w:jc w:val="center"/>
              <w:rPr>
                <w:rFonts w:ascii="Times New Roman" w:hAnsi="Times New Roman"/>
              </w:rPr>
            </w:pPr>
          </w:p>
        </w:tc>
        <w:tc>
          <w:tcPr>
            <w:tcW w:w="992" w:type="dxa"/>
            <w:noWrap w:val="0"/>
            <w:vAlign w:val="top"/>
          </w:tcPr>
          <w:p w14:paraId="766416CD">
            <w:pPr>
              <w:spacing w:line="440" w:lineRule="exact"/>
              <w:jc w:val="center"/>
              <w:rPr>
                <w:rFonts w:ascii="Times New Roman" w:hAnsi="Times New Roman"/>
              </w:rPr>
            </w:pPr>
          </w:p>
        </w:tc>
        <w:tc>
          <w:tcPr>
            <w:tcW w:w="735" w:type="dxa"/>
            <w:noWrap w:val="0"/>
            <w:vAlign w:val="top"/>
          </w:tcPr>
          <w:p w14:paraId="21DD1468">
            <w:pPr>
              <w:spacing w:line="440" w:lineRule="exact"/>
              <w:jc w:val="center"/>
              <w:rPr>
                <w:rFonts w:ascii="Times New Roman" w:hAnsi="Times New Roman"/>
              </w:rPr>
            </w:pPr>
          </w:p>
        </w:tc>
        <w:tc>
          <w:tcPr>
            <w:tcW w:w="709" w:type="dxa"/>
            <w:noWrap w:val="0"/>
            <w:vAlign w:val="top"/>
          </w:tcPr>
          <w:p w14:paraId="03555E31">
            <w:pPr>
              <w:spacing w:line="440" w:lineRule="exact"/>
              <w:jc w:val="center"/>
              <w:rPr>
                <w:rFonts w:ascii="Times New Roman" w:hAnsi="Times New Roman"/>
              </w:rPr>
            </w:pPr>
          </w:p>
        </w:tc>
        <w:tc>
          <w:tcPr>
            <w:tcW w:w="1134" w:type="dxa"/>
            <w:noWrap w:val="0"/>
            <w:vAlign w:val="top"/>
          </w:tcPr>
          <w:p w14:paraId="7D7E6479">
            <w:pPr>
              <w:spacing w:line="440" w:lineRule="exact"/>
              <w:jc w:val="center"/>
              <w:rPr>
                <w:rFonts w:ascii="Times New Roman" w:hAnsi="Times New Roman"/>
              </w:rPr>
            </w:pPr>
          </w:p>
        </w:tc>
        <w:tc>
          <w:tcPr>
            <w:tcW w:w="992" w:type="dxa"/>
            <w:noWrap w:val="0"/>
            <w:vAlign w:val="top"/>
          </w:tcPr>
          <w:p w14:paraId="3A551ED2">
            <w:pPr>
              <w:spacing w:line="440" w:lineRule="exact"/>
              <w:jc w:val="center"/>
              <w:rPr>
                <w:rFonts w:ascii="Times New Roman" w:hAnsi="Times New Roman"/>
              </w:rPr>
            </w:pPr>
          </w:p>
        </w:tc>
        <w:tc>
          <w:tcPr>
            <w:tcW w:w="709" w:type="dxa"/>
            <w:noWrap w:val="0"/>
            <w:vAlign w:val="top"/>
          </w:tcPr>
          <w:p w14:paraId="736618D9">
            <w:pPr>
              <w:spacing w:line="440" w:lineRule="exact"/>
              <w:jc w:val="center"/>
              <w:rPr>
                <w:rFonts w:ascii="Times New Roman" w:hAnsi="Times New Roman"/>
              </w:rPr>
            </w:pPr>
          </w:p>
        </w:tc>
        <w:tc>
          <w:tcPr>
            <w:tcW w:w="976" w:type="dxa"/>
            <w:noWrap w:val="0"/>
            <w:vAlign w:val="top"/>
          </w:tcPr>
          <w:p w14:paraId="7D962B8B">
            <w:pPr>
              <w:spacing w:line="440" w:lineRule="exact"/>
              <w:jc w:val="center"/>
              <w:rPr>
                <w:rFonts w:ascii="Times New Roman" w:hAnsi="Times New Roman"/>
              </w:rPr>
            </w:pPr>
          </w:p>
        </w:tc>
      </w:tr>
      <w:tr w14:paraId="0D46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362322C8">
            <w:pPr>
              <w:spacing w:line="440" w:lineRule="exact"/>
              <w:jc w:val="center"/>
              <w:rPr>
                <w:rFonts w:ascii="Times New Roman" w:hAnsi="Times New Roman"/>
              </w:rPr>
            </w:pPr>
          </w:p>
        </w:tc>
        <w:tc>
          <w:tcPr>
            <w:tcW w:w="1275" w:type="dxa"/>
            <w:noWrap w:val="0"/>
            <w:vAlign w:val="top"/>
          </w:tcPr>
          <w:p w14:paraId="1FAD81E1">
            <w:pPr>
              <w:spacing w:line="440" w:lineRule="exact"/>
              <w:jc w:val="center"/>
              <w:rPr>
                <w:rFonts w:ascii="Times New Roman" w:hAnsi="Times New Roman"/>
              </w:rPr>
            </w:pPr>
          </w:p>
        </w:tc>
        <w:tc>
          <w:tcPr>
            <w:tcW w:w="992" w:type="dxa"/>
            <w:noWrap w:val="0"/>
            <w:vAlign w:val="top"/>
          </w:tcPr>
          <w:p w14:paraId="0091480A">
            <w:pPr>
              <w:spacing w:line="440" w:lineRule="exact"/>
              <w:jc w:val="center"/>
              <w:rPr>
                <w:rFonts w:ascii="Times New Roman" w:hAnsi="Times New Roman"/>
              </w:rPr>
            </w:pPr>
          </w:p>
        </w:tc>
        <w:tc>
          <w:tcPr>
            <w:tcW w:w="735" w:type="dxa"/>
            <w:noWrap w:val="0"/>
            <w:vAlign w:val="top"/>
          </w:tcPr>
          <w:p w14:paraId="07927A9C">
            <w:pPr>
              <w:spacing w:line="440" w:lineRule="exact"/>
              <w:jc w:val="center"/>
              <w:rPr>
                <w:rFonts w:ascii="Times New Roman" w:hAnsi="Times New Roman"/>
              </w:rPr>
            </w:pPr>
          </w:p>
        </w:tc>
        <w:tc>
          <w:tcPr>
            <w:tcW w:w="709" w:type="dxa"/>
            <w:noWrap w:val="0"/>
            <w:vAlign w:val="top"/>
          </w:tcPr>
          <w:p w14:paraId="29CC77CB">
            <w:pPr>
              <w:spacing w:line="440" w:lineRule="exact"/>
              <w:jc w:val="center"/>
              <w:rPr>
                <w:rFonts w:ascii="Times New Roman" w:hAnsi="Times New Roman"/>
              </w:rPr>
            </w:pPr>
          </w:p>
        </w:tc>
        <w:tc>
          <w:tcPr>
            <w:tcW w:w="1134" w:type="dxa"/>
            <w:noWrap w:val="0"/>
            <w:vAlign w:val="top"/>
          </w:tcPr>
          <w:p w14:paraId="4E376F91">
            <w:pPr>
              <w:spacing w:line="440" w:lineRule="exact"/>
              <w:jc w:val="center"/>
              <w:rPr>
                <w:rFonts w:ascii="Times New Roman" w:hAnsi="Times New Roman"/>
              </w:rPr>
            </w:pPr>
          </w:p>
        </w:tc>
        <w:tc>
          <w:tcPr>
            <w:tcW w:w="992" w:type="dxa"/>
            <w:noWrap w:val="0"/>
            <w:vAlign w:val="top"/>
          </w:tcPr>
          <w:p w14:paraId="1FD65698">
            <w:pPr>
              <w:spacing w:line="440" w:lineRule="exact"/>
              <w:jc w:val="center"/>
              <w:rPr>
                <w:rFonts w:ascii="Times New Roman" w:hAnsi="Times New Roman"/>
              </w:rPr>
            </w:pPr>
          </w:p>
        </w:tc>
        <w:tc>
          <w:tcPr>
            <w:tcW w:w="709" w:type="dxa"/>
            <w:noWrap w:val="0"/>
            <w:vAlign w:val="top"/>
          </w:tcPr>
          <w:p w14:paraId="7BC877F3">
            <w:pPr>
              <w:spacing w:line="440" w:lineRule="exact"/>
              <w:jc w:val="center"/>
              <w:rPr>
                <w:rFonts w:ascii="Times New Roman" w:hAnsi="Times New Roman"/>
              </w:rPr>
            </w:pPr>
          </w:p>
        </w:tc>
        <w:tc>
          <w:tcPr>
            <w:tcW w:w="976" w:type="dxa"/>
            <w:noWrap w:val="0"/>
            <w:vAlign w:val="top"/>
          </w:tcPr>
          <w:p w14:paraId="6D62AB3B">
            <w:pPr>
              <w:spacing w:line="440" w:lineRule="exact"/>
              <w:jc w:val="center"/>
              <w:rPr>
                <w:rFonts w:ascii="Times New Roman" w:hAnsi="Times New Roman"/>
              </w:rPr>
            </w:pPr>
          </w:p>
        </w:tc>
      </w:tr>
      <w:tr w14:paraId="6B18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72EF90AE">
            <w:pPr>
              <w:spacing w:line="440" w:lineRule="exact"/>
              <w:jc w:val="center"/>
              <w:rPr>
                <w:rFonts w:ascii="Times New Roman" w:hAnsi="Times New Roman"/>
              </w:rPr>
            </w:pPr>
          </w:p>
        </w:tc>
        <w:tc>
          <w:tcPr>
            <w:tcW w:w="1275" w:type="dxa"/>
            <w:noWrap w:val="0"/>
            <w:vAlign w:val="top"/>
          </w:tcPr>
          <w:p w14:paraId="110047B6">
            <w:pPr>
              <w:spacing w:line="440" w:lineRule="exact"/>
              <w:jc w:val="center"/>
              <w:rPr>
                <w:rFonts w:ascii="Times New Roman" w:hAnsi="Times New Roman"/>
              </w:rPr>
            </w:pPr>
          </w:p>
        </w:tc>
        <w:tc>
          <w:tcPr>
            <w:tcW w:w="992" w:type="dxa"/>
            <w:noWrap w:val="0"/>
            <w:vAlign w:val="top"/>
          </w:tcPr>
          <w:p w14:paraId="1E6383F2">
            <w:pPr>
              <w:spacing w:line="440" w:lineRule="exact"/>
              <w:jc w:val="center"/>
              <w:rPr>
                <w:rFonts w:ascii="Times New Roman" w:hAnsi="Times New Roman"/>
              </w:rPr>
            </w:pPr>
          </w:p>
        </w:tc>
        <w:tc>
          <w:tcPr>
            <w:tcW w:w="735" w:type="dxa"/>
            <w:noWrap w:val="0"/>
            <w:vAlign w:val="top"/>
          </w:tcPr>
          <w:p w14:paraId="30441EC1">
            <w:pPr>
              <w:spacing w:line="440" w:lineRule="exact"/>
              <w:jc w:val="center"/>
              <w:rPr>
                <w:rFonts w:ascii="Times New Roman" w:hAnsi="Times New Roman"/>
              </w:rPr>
            </w:pPr>
          </w:p>
        </w:tc>
        <w:tc>
          <w:tcPr>
            <w:tcW w:w="709" w:type="dxa"/>
            <w:noWrap w:val="0"/>
            <w:vAlign w:val="top"/>
          </w:tcPr>
          <w:p w14:paraId="12D8B7EA">
            <w:pPr>
              <w:spacing w:line="440" w:lineRule="exact"/>
              <w:jc w:val="center"/>
              <w:rPr>
                <w:rFonts w:ascii="Times New Roman" w:hAnsi="Times New Roman"/>
              </w:rPr>
            </w:pPr>
          </w:p>
        </w:tc>
        <w:tc>
          <w:tcPr>
            <w:tcW w:w="1134" w:type="dxa"/>
            <w:noWrap w:val="0"/>
            <w:vAlign w:val="top"/>
          </w:tcPr>
          <w:p w14:paraId="188D979F">
            <w:pPr>
              <w:spacing w:line="440" w:lineRule="exact"/>
              <w:jc w:val="center"/>
              <w:rPr>
                <w:rFonts w:ascii="Times New Roman" w:hAnsi="Times New Roman"/>
              </w:rPr>
            </w:pPr>
          </w:p>
        </w:tc>
        <w:tc>
          <w:tcPr>
            <w:tcW w:w="992" w:type="dxa"/>
            <w:noWrap w:val="0"/>
            <w:vAlign w:val="top"/>
          </w:tcPr>
          <w:p w14:paraId="546BE9C2">
            <w:pPr>
              <w:spacing w:line="440" w:lineRule="exact"/>
              <w:jc w:val="center"/>
              <w:rPr>
                <w:rFonts w:ascii="Times New Roman" w:hAnsi="Times New Roman"/>
              </w:rPr>
            </w:pPr>
          </w:p>
        </w:tc>
        <w:tc>
          <w:tcPr>
            <w:tcW w:w="709" w:type="dxa"/>
            <w:noWrap w:val="0"/>
            <w:vAlign w:val="top"/>
          </w:tcPr>
          <w:p w14:paraId="566224E4">
            <w:pPr>
              <w:spacing w:line="440" w:lineRule="exact"/>
              <w:jc w:val="center"/>
              <w:rPr>
                <w:rFonts w:ascii="Times New Roman" w:hAnsi="Times New Roman"/>
              </w:rPr>
            </w:pPr>
          </w:p>
        </w:tc>
        <w:tc>
          <w:tcPr>
            <w:tcW w:w="976" w:type="dxa"/>
            <w:noWrap w:val="0"/>
            <w:vAlign w:val="top"/>
          </w:tcPr>
          <w:p w14:paraId="72444E67">
            <w:pPr>
              <w:spacing w:line="440" w:lineRule="exact"/>
              <w:jc w:val="center"/>
              <w:rPr>
                <w:rFonts w:ascii="Times New Roman" w:hAnsi="Times New Roman"/>
              </w:rPr>
            </w:pPr>
          </w:p>
        </w:tc>
      </w:tr>
      <w:tr w14:paraId="1B46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79201BD4">
            <w:pPr>
              <w:spacing w:line="440" w:lineRule="exact"/>
              <w:jc w:val="center"/>
              <w:rPr>
                <w:rFonts w:ascii="Times New Roman" w:hAnsi="Times New Roman"/>
              </w:rPr>
            </w:pPr>
          </w:p>
        </w:tc>
        <w:tc>
          <w:tcPr>
            <w:tcW w:w="1275" w:type="dxa"/>
            <w:noWrap w:val="0"/>
            <w:vAlign w:val="top"/>
          </w:tcPr>
          <w:p w14:paraId="6700AD35">
            <w:pPr>
              <w:spacing w:line="440" w:lineRule="exact"/>
              <w:jc w:val="center"/>
              <w:rPr>
                <w:rFonts w:ascii="Times New Roman" w:hAnsi="Times New Roman"/>
              </w:rPr>
            </w:pPr>
          </w:p>
        </w:tc>
        <w:tc>
          <w:tcPr>
            <w:tcW w:w="992" w:type="dxa"/>
            <w:noWrap w:val="0"/>
            <w:vAlign w:val="top"/>
          </w:tcPr>
          <w:p w14:paraId="70972DBD">
            <w:pPr>
              <w:spacing w:line="440" w:lineRule="exact"/>
              <w:jc w:val="center"/>
              <w:rPr>
                <w:rFonts w:ascii="Times New Roman" w:hAnsi="Times New Roman"/>
              </w:rPr>
            </w:pPr>
          </w:p>
        </w:tc>
        <w:tc>
          <w:tcPr>
            <w:tcW w:w="735" w:type="dxa"/>
            <w:noWrap w:val="0"/>
            <w:vAlign w:val="top"/>
          </w:tcPr>
          <w:p w14:paraId="6A1CBA42">
            <w:pPr>
              <w:spacing w:line="440" w:lineRule="exact"/>
              <w:jc w:val="center"/>
              <w:rPr>
                <w:rFonts w:ascii="Times New Roman" w:hAnsi="Times New Roman"/>
              </w:rPr>
            </w:pPr>
          </w:p>
        </w:tc>
        <w:tc>
          <w:tcPr>
            <w:tcW w:w="709" w:type="dxa"/>
            <w:noWrap w:val="0"/>
            <w:vAlign w:val="top"/>
          </w:tcPr>
          <w:p w14:paraId="4F58A1E0">
            <w:pPr>
              <w:spacing w:line="440" w:lineRule="exact"/>
              <w:jc w:val="center"/>
              <w:rPr>
                <w:rFonts w:ascii="Times New Roman" w:hAnsi="Times New Roman"/>
              </w:rPr>
            </w:pPr>
          </w:p>
        </w:tc>
        <w:tc>
          <w:tcPr>
            <w:tcW w:w="1134" w:type="dxa"/>
            <w:noWrap w:val="0"/>
            <w:vAlign w:val="top"/>
          </w:tcPr>
          <w:p w14:paraId="3AE97929">
            <w:pPr>
              <w:spacing w:line="440" w:lineRule="exact"/>
              <w:jc w:val="center"/>
              <w:rPr>
                <w:rFonts w:ascii="Times New Roman" w:hAnsi="Times New Roman"/>
              </w:rPr>
            </w:pPr>
          </w:p>
        </w:tc>
        <w:tc>
          <w:tcPr>
            <w:tcW w:w="992" w:type="dxa"/>
            <w:noWrap w:val="0"/>
            <w:vAlign w:val="top"/>
          </w:tcPr>
          <w:p w14:paraId="33C4CF67">
            <w:pPr>
              <w:spacing w:line="440" w:lineRule="exact"/>
              <w:jc w:val="center"/>
              <w:rPr>
                <w:rFonts w:ascii="Times New Roman" w:hAnsi="Times New Roman"/>
              </w:rPr>
            </w:pPr>
          </w:p>
        </w:tc>
        <w:tc>
          <w:tcPr>
            <w:tcW w:w="709" w:type="dxa"/>
            <w:noWrap w:val="0"/>
            <w:vAlign w:val="top"/>
          </w:tcPr>
          <w:p w14:paraId="5F8C311C">
            <w:pPr>
              <w:spacing w:line="440" w:lineRule="exact"/>
              <w:jc w:val="center"/>
              <w:rPr>
                <w:rFonts w:ascii="Times New Roman" w:hAnsi="Times New Roman"/>
              </w:rPr>
            </w:pPr>
          </w:p>
        </w:tc>
        <w:tc>
          <w:tcPr>
            <w:tcW w:w="976" w:type="dxa"/>
            <w:noWrap w:val="0"/>
            <w:vAlign w:val="top"/>
          </w:tcPr>
          <w:p w14:paraId="50BE102C">
            <w:pPr>
              <w:spacing w:line="440" w:lineRule="exact"/>
              <w:jc w:val="center"/>
              <w:rPr>
                <w:rFonts w:ascii="Times New Roman" w:hAnsi="Times New Roman"/>
              </w:rPr>
            </w:pPr>
          </w:p>
        </w:tc>
      </w:tr>
      <w:tr w14:paraId="6917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39A7911D">
            <w:pPr>
              <w:spacing w:line="440" w:lineRule="exact"/>
              <w:jc w:val="center"/>
              <w:rPr>
                <w:rFonts w:ascii="Times New Roman" w:hAnsi="Times New Roman"/>
              </w:rPr>
            </w:pPr>
          </w:p>
        </w:tc>
        <w:tc>
          <w:tcPr>
            <w:tcW w:w="1275" w:type="dxa"/>
            <w:noWrap w:val="0"/>
            <w:vAlign w:val="top"/>
          </w:tcPr>
          <w:p w14:paraId="6002AFFB">
            <w:pPr>
              <w:spacing w:line="440" w:lineRule="exact"/>
              <w:jc w:val="center"/>
              <w:rPr>
                <w:rFonts w:ascii="Times New Roman" w:hAnsi="Times New Roman"/>
              </w:rPr>
            </w:pPr>
          </w:p>
        </w:tc>
        <w:tc>
          <w:tcPr>
            <w:tcW w:w="992" w:type="dxa"/>
            <w:noWrap w:val="0"/>
            <w:vAlign w:val="top"/>
          </w:tcPr>
          <w:p w14:paraId="700D0A7E">
            <w:pPr>
              <w:spacing w:line="440" w:lineRule="exact"/>
              <w:jc w:val="center"/>
              <w:rPr>
                <w:rFonts w:ascii="Times New Roman" w:hAnsi="Times New Roman"/>
              </w:rPr>
            </w:pPr>
          </w:p>
        </w:tc>
        <w:tc>
          <w:tcPr>
            <w:tcW w:w="735" w:type="dxa"/>
            <w:noWrap w:val="0"/>
            <w:vAlign w:val="top"/>
          </w:tcPr>
          <w:p w14:paraId="43C732F9">
            <w:pPr>
              <w:spacing w:line="440" w:lineRule="exact"/>
              <w:jc w:val="center"/>
              <w:rPr>
                <w:rFonts w:ascii="Times New Roman" w:hAnsi="Times New Roman"/>
              </w:rPr>
            </w:pPr>
          </w:p>
        </w:tc>
        <w:tc>
          <w:tcPr>
            <w:tcW w:w="709" w:type="dxa"/>
            <w:noWrap w:val="0"/>
            <w:vAlign w:val="top"/>
          </w:tcPr>
          <w:p w14:paraId="3F9C2055">
            <w:pPr>
              <w:spacing w:line="440" w:lineRule="exact"/>
              <w:jc w:val="center"/>
              <w:rPr>
                <w:rFonts w:ascii="Times New Roman" w:hAnsi="Times New Roman"/>
              </w:rPr>
            </w:pPr>
          </w:p>
        </w:tc>
        <w:tc>
          <w:tcPr>
            <w:tcW w:w="1134" w:type="dxa"/>
            <w:noWrap w:val="0"/>
            <w:vAlign w:val="top"/>
          </w:tcPr>
          <w:p w14:paraId="66021F2D">
            <w:pPr>
              <w:spacing w:line="440" w:lineRule="exact"/>
              <w:jc w:val="center"/>
              <w:rPr>
                <w:rFonts w:ascii="Times New Roman" w:hAnsi="Times New Roman"/>
              </w:rPr>
            </w:pPr>
          </w:p>
        </w:tc>
        <w:tc>
          <w:tcPr>
            <w:tcW w:w="992" w:type="dxa"/>
            <w:noWrap w:val="0"/>
            <w:vAlign w:val="top"/>
          </w:tcPr>
          <w:p w14:paraId="66D01BB1">
            <w:pPr>
              <w:spacing w:line="440" w:lineRule="exact"/>
              <w:jc w:val="center"/>
              <w:rPr>
                <w:rFonts w:ascii="Times New Roman" w:hAnsi="Times New Roman"/>
              </w:rPr>
            </w:pPr>
          </w:p>
        </w:tc>
        <w:tc>
          <w:tcPr>
            <w:tcW w:w="709" w:type="dxa"/>
            <w:noWrap w:val="0"/>
            <w:vAlign w:val="top"/>
          </w:tcPr>
          <w:p w14:paraId="00C80165">
            <w:pPr>
              <w:spacing w:line="440" w:lineRule="exact"/>
              <w:jc w:val="center"/>
              <w:rPr>
                <w:rFonts w:ascii="Times New Roman" w:hAnsi="Times New Roman"/>
              </w:rPr>
            </w:pPr>
          </w:p>
        </w:tc>
        <w:tc>
          <w:tcPr>
            <w:tcW w:w="976" w:type="dxa"/>
            <w:noWrap w:val="0"/>
            <w:vAlign w:val="top"/>
          </w:tcPr>
          <w:p w14:paraId="24A84455">
            <w:pPr>
              <w:spacing w:line="440" w:lineRule="exact"/>
              <w:jc w:val="center"/>
              <w:rPr>
                <w:rFonts w:ascii="Times New Roman" w:hAnsi="Times New Roman"/>
              </w:rPr>
            </w:pPr>
          </w:p>
        </w:tc>
      </w:tr>
      <w:tr w14:paraId="1B41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0A65F149">
            <w:pPr>
              <w:spacing w:line="440" w:lineRule="exact"/>
              <w:jc w:val="center"/>
              <w:rPr>
                <w:rFonts w:ascii="Times New Roman" w:hAnsi="Times New Roman"/>
              </w:rPr>
            </w:pPr>
          </w:p>
        </w:tc>
        <w:tc>
          <w:tcPr>
            <w:tcW w:w="1275" w:type="dxa"/>
            <w:noWrap w:val="0"/>
            <w:vAlign w:val="top"/>
          </w:tcPr>
          <w:p w14:paraId="098454A6">
            <w:pPr>
              <w:spacing w:line="440" w:lineRule="exact"/>
              <w:jc w:val="center"/>
              <w:rPr>
                <w:rFonts w:ascii="Times New Roman" w:hAnsi="Times New Roman"/>
              </w:rPr>
            </w:pPr>
          </w:p>
        </w:tc>
        <w:tc>
          <w:tcPr>
            <w:tcW w:w="992" w:type="dxa"/>
            <w:noWrap w:val="0"/>
            <w:vAlign w:val="top"/>
          </w:tcPr>
          <w:p w14:paraId="04791D31">
            <w:pPr>
              <w:spacing w:line="440" w:lineRule="exact"/>
              <w:jc w:val="center"/>
              <w:rPr>
                <w:rFonts w:ascii="Times New Roman" w:hAnsi="Times New Roman"/>
              </w:rPr>
            </w:pPr>
          </w:p>
        </w:tc>
        <w:tc>
          <w:tcPr>
            <w:tcW w:w="735" w:type="dxa"/>
            <w:noWrap w:val="0"/>
            <w:vAlign w:val="top"/>
          </w:tcPr>
          <w:p w14:paraId="6861D9E0">
            <w:pPr>
              <w:spacing w:line="440" w:lineRule="exact"/>
              <w:jc w:val="center"/>
              <w:rPr>
                <w:rFonts w:ascii="Times New Roman" w:hAnsi="Times New Roman"/>
              </w:rPr>
            </w:pPr>
          </w:p>
        </w:tc>
        <w:tc>
          <w:tcPr>
            <w:tcW w:w="709" w:type="dxa"/>
            <w:noWrap w:val="0"/>
            <w:vAlign w:val="top"/>
          </w:tcPr>
          <w:p w14:paraId="4032EF5F">
            <w:pPr>
              <w:spacing w:line="440" w:lineRule="exact"/>
              <w:jc w:val="center"/>
              <w:rPr>
                <w:rFonts w:ascii="Times New Roman" w:hAnsi="Times New Roman"/>
              </w:rPr>
            </w:pPr>
          </w:p>
        </w:tc>
        <w:tc>
          <w:tcPr>
            <w:tcW w:w="1134" w:type="dxa"/>
            <w:noWrap w:val="0"/>
            <w:vAlign w:val="top"/>
          </w:tcPr>
          <w:p w14:paraId="05AF9D76">
            <w:pPr>
              <w:spacing w:line="440" w:lineRule="exact"/>
              <w:jc w:val="center"/>
              <w:rPr>
                <w:rFonts w:ascii="Times New Roman" w:hAnsi="Times New Roman"/>
              </w:rPr>
            </w:pPr>
          </w:p>
        </w:tc>
        <w:tc>
          <w:tcPr>
            <w:tcW w:w="992" w:type="dxa"/>
            <w:noWrap w:val="0"/>
            <w:vAlign w:val="top"/>
          </w:tcPr>
          <w:p w14:paraId="11068BB3">
            <w:pPr>
              <w:spacing w:line="440" w:lineRule="exact"/>
              <w:jc w:val="center"/>
              <w:rPr>
                <w:rFonts w:ascii="Times New Roman" w:hAnsi="Times New Roman"/>
              </w:rPr>
            </w:pPr>
          </w:p>
        </w:tc>
        <w:tc>
          <w:tcPr>
            <w:tcW w:w="709" w:type="dxa"/>
            <w:noWrap w:val="0"/>
            <w:vAlign w:val="top"/>
          </w:tcPr>
          <w:p w14:paraId="74CF10D9">
            <w:pPr>
              <w:spacing w:line="440" w:lineRule="exact"/>
              <w:jc w:val="center"/>
              <w:rPr>
                <w:rFonts w:ascii="Times New Roman" w:hAnsi="Times New Roman"/>
              </w:rPr>
            </w:pPr>
          </w:p>
        </w:tc>
        <w:tc>
          <w:tcPr>
            <w:tcW w:w="976" w:type="dxa"/>
            <w:noWrap w:val="0"/>
            <w:vAlign w:val="top"/>
          </w:tcPr>
          <w:p w14:paraId="5373E3DD">
            <w:pPr>
              <w:spacing w:line="440" w:lineRule="exact"/>
              <w:jc w:val="center"/>
              <w:rPr>
                <w:rFonts w:ascii="Times New Roman" w:hAnsi="Times New Roman"/>
              </w:rPr>
            </w:pPr>
          </w:p>
        </w:tc>
      </w:tr>
      <w:tr w14:paraId="4D9F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3FDA099">
            <w:pPr>
              <w:spacing w:line="440" w:lineRule="exact"/>
              <w:jc w:val="center"/>
              <w:rPr>
                <w:rFonts w:ascii="Times New Roman" w:hAnsi="Times New Roman"/>
              </w:rPr>
            </w:pPr>
          </w:p>
        </w:tc>
        <w:tc>
          <w:tcPr>
            <w:tcW w:w="1275" w:type="dxa"/>
            <w:noWrap w:val="0"/>
            <w:vAlign w:val="top"/>
          </w:tcPr>
          <w:p w14:paraId="0729B468">
            <w:pPr>
              <w:spacing w:line="440" w:lineRule="exact"/>
              <w:jc w:val="center"/>
              <w:rPr>
                <w:rFonts w:ascii="Times New Roman" w:hAnsi="Times New Roman"/>
              </w:rPr>
            </w:pPr>
          </w:p>
        </w:tc>
        <w:tc>
          <w:tcPr>
            <w:tcW w:w="992" w:type="dxa"/>
            <w:noWrap w:val="0"/>
            <w:vAlign w:val="top"/>
          </w:tcPr>
          <w:p w14:paraId="35E9E7FD">
            <w:pPr>
              <w:spacing w:line="440" w:lineRule="exact"/>
              <w:jc w:val="center"/>
              <w:rPr>
                <w:rFonts w:ascii="Times New Roman" w:hAnsi="Times New Roman"/>
              </w:rPr>
            </w:pPr>
          </w:p>
        </w:tc>
        <w:tc>
          <w:tcPr>
            <w:tcW w:w="735" w:type="dxa"/>
            <w:noWrap w:val="0"/>
            <w:vAlign w:val="top"/>
          </w:tcPr>
          <w:p w14:paraId="268B267C">
            <w:pPr>
              <w:spacing w:line="440" w:lineRule="exact"/>
              <w:jc w:val="center"/>
              <w:rPr>
                <w:rFonts w:ascii="Times New Roman" w:hAnsi="Times New Roman"/>
              </w:rPr>
            </w:pPr>
          </w:p>
        </w:tc>
        <w:tc>
          <w:tcPr>
            <w:tcW w:w="709" w:type="dxa"/>
            <w:noWrap w:val="0"/>
            <w:vAlign w:val="top"/>
          </w:tcPr>
          <w:p w14:paraId="02FCB026">
            <w:pPr>
              <w:spacing w:line="440" w:lineRule="exact"/>
              <w:jc w:val="center"/>
              <w:rPr>
                <w:rFonts w:ascii="Times New Roman" w:hAnsi="Times New Roman"/>
              </w:rPr>
            </w:pPr>
          </w:p>
        </w:tc>
        <w:tc>
          <w:tcPr>
            <w:tcW w:w="1134" w:type="dxa"/>
            <w:noWrap w:val="0"/>
            <w:vAlign w:val="top"/>
          </w:tcPr>
          <w:p w14:paraId="743523C5">
            <w:pPr>
              <w:spacing w:line="440" w:lineRule="exact"/>
              <w:jc w:val="center"/>
              <w:rPr>
                <w:rFonts w:ascii="Times New Roman" w:hAnsi="Times New Roman"/>
              </w:rPr>
            </w:pPr>
          </w:p>
        </w:tc>
        <w:tc>
          <w:tcPr>
            <w:tcW w:w="992" w:type="dxa"/>
            <w:noWrap w:val="0"/>
            <w:vAlign w:val="top"/>
          </w:tcPr>
          <w:p w14:paraId="30D77251">
            <w:pPr>
              <w:spacing w:line="440" w:lineRule="exact"/>
              <w:jc w:val="center"/>
              <w:rPr>
                <w:rFonts w:ascii="Times New Roman" w:hAnsi="Times New Roman"/>
              </w:rPr>
            </w:pPr>
          </w:p>
        </w:tc>
        <w:tc>
          <w:tcPr>
            <w:tcW w:w="709" w:type="dxa"/>
            <w:noWrap w:val="0"/>
            <w:vAlign w:val="top"/>
          </w:tcPr>
          <w:p w14:paraId="256AFEA4">
            <w:pPr>
              <w:spacing w:line="440" w:lineRule="exact"/>
              <w:jc w:val="center"/>
              <w:rPr>
                <w:rFonts w:ascii="Times New Roman" w:hAnsi="Times New Roman"/>
              </w:rPr>
            </w:pPr>
          </w:p>
        </w:tc>
        <w:tc>
          <w:tcPr>
            <w:tcW w:w="976" w:type="dxa"/>
            <w:noWrap w:val="0"/>
            <w:vAlign w:val="top"/>
          </w:tcPr>
          <w:p w14:paraId="35E7BCD6">
            <w:pPr>
              <w:spacing w:line="440" w:lineRule="exact"/>
              <w:jc w:val="center"/>
              <w:rPr>
                <w:rFonts w:ascii="Times New Roman" w:hAnsi="Times New Roman"/>
              </w:rPr>
            </w:pPr>
          </w:p>
        </w:tc>
      </w:tr>
      <w:tr w14:paraId="49DE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2C425035">
            <w:pPr>
              <w:spacing w:line="440" w:lineRule="exact"/>
              <w:jc w:val="center"/>
              <w:rPr>
                <w:rFonts w:ascii="Times New Roman" w:hAnsi="Times New Roman"/>
              </w:rPr>
            </w:pPr>
          </w:p>
        </w:tc>
        <w:tc>
          <w:tcPr>
            <w:tcW w:w="1275" w:type="dxa"/>
            <w:noWrap w:val="0"/>
            <w:vAlign w:val="top"/>
          </w:tcPr>
          <w:p w14:paraId="371F35CE">
            <w:pPr>
              <w:spacing w:line="440" w:lineRule="exact"/>
              <w:jc w:val="center"/>
              <w:rPr>
                <w:rFonts w:ascii="Times New Roman" w:hAnsi="Times New Roman"/>
              </w:rPr>
            </w:pPr>
          </w:p>
        </w:tc>
        <w:tc>
          <w:tcPr>
            <w:tcW w:w="992" w:type="dxa"/>
            <w:noWrap w:val="0"/>
            <w:vAlign w:val="top"/>
          </w:tcPr>
          <w:p w14:paraId="1FA4AB90">
            <w:pPr>
              <w:spacing w:line="440" w:lineRule="exact"/>
              <w:jc w:val="center"/>
              <w:rPr>
                <w:rFonts w:ascii="Times New Roman" w:hAnsi="Times New Roman"/>
              </w:rPr>
            </w:pPr>
          </w:p>
        </w:tc>
        <w:tc>
          <w:tcPr>
            <w:tcW w:w="735" w:type="dxa"/>
            <w:noWrap w:val="0"/>
            <w:vAlign w:val="top"/>
          </w:tcPr>
          <w:p w14:paraId="16DCDD2B">
            <w:pPr>
              <w:spacing w:line="440" w:lineRule="exact"/>
              <w:jc w:val="center"/>
              <w:rPr>
                <w:rFonts w:ascii="Times New Roman" w:hAnsi="Times New Roman"/>
              </w:rPr>
            </w:pPr>
          </w:p>
        </w:tc>
        <w:tc>
          <w:tcPr>
            <w:tcW w:w="709" w:type="dxa"/>
            <w:noWrap w:val="0"/>
            <w:vAlign w:val="top"/>
          </w:tcPr>
          <w:p w14:paraId="26B5B11F">
            <w:pPr>
              <w:spacing w:line="440" w:lineRule="exact"/>
              <w:jc w:val="center"/>
              <w:rPr>
                <w:rFonts w:ascii="Times New Roman" w:hAnsi="Times New Roman"/>
              </w:rPr>
            </w:pPr>
          </w:p>
        </w:tc>
        <w:tc>
          <w:tcPr>
            <w:tcW w:w="1134" w:type="dxa"/>
            <w:noWrap w:val="0"/>
            <w:vAlign w:val="top"/>
          </w:tcPr>
          <w:p w14:paraId="6C2A068F">
            <w:pPr>
              <w:spacing w:line="440" w:lineRule="exact"/>
              <w:jc w:val="center"/>
              <w:rPr>
                <w:rFonts w:ascii="Times New Roman" w:hAnsi="Times New Roman"/>
              </w:rPr>
            </w:pPr>
          </w:p>
        </w:tc>
        <w:tc>
          <w:tcPr>
            <w:tcW w:w="992" w:type="dxa"/>
            <w:noWrap w:val="0"/>
            <w:vAlign w:val="top"/>
          </w:tcPr>
          <w:p w14:paraId="4BAF7710">
            <w:pPr>
              <w:spacing w:line="440" w:lineRule="exact"/>
              <w:jc w:val="center"/>
              <w:rPr>
                <w:rFonts w:ascii="Times New Roman" w:hAnsi="Times New Roman"/>
              </w:rPr>
            </w:pPr>
          </w:p>
        </w:tc>
        <w:tc>
          <w:tcPr>
            <w:tcW w:w="709" w:type="dxa"/>
            <w:noWrap w:val="0"/>
            <w:vAlign w:val="top"/>
          </w:tcPr>
          <w:p w14:paraId="57641509">
            <w:pPr>
              <w:spacing w:line="440" w:lineRule="exact"/>
              <w:jc w:val="center"/>
              <w:rPr>
                <w:rFonts w:ascii="Times New Roman" w:hAnsi="Times New Roman"/>
              </w:rPr>
            </w:pPr>
          </w:p>
        </w:tc>
        <w:tc>
          <w:tcPr>
            <w:tcW w:w="976" w:type="dxa"/>
            <w:noWrap w:val="0"/>
            <w:vAlign w:val="top"/>
          </w:tcPr>
          <w:p w14:paraId="35A192D8">
            <w:pPr>
              <w:spacing w:line="440" w:lineRule="exact"/>
              <w:jc w:val="center"/>
              <w:rPr>
                <w:rFonts w:ascii="Times New Roman" w:hAnsi="Times New Roman"/>
              </w:rPr>
            </w:pPr>
          </w:p>
        </w:tc>
      </w:tr>
      <w:tr w14:paraId="17E7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6E8270E5">
            <w:pPr>
              <w:spacing w:line="440" w:lineRule="exact"/>
              <w:jc w:val="center"/>
              <w:rPr>
                <w:rFonts w:ascii="Times New Roman" w:hAnsi="Times New Roman"/>
              </w:rPr>
            </w:pPr>
          </w:p>
        </w:tc>
        <w:tc>
          <w:tcPr>
            <w:tcW w:w="1275" w:type="dxa"/>
            <w:noWrap w:val="0"/>
            <w:vAlign w:val="top"/>
          </w:tcPr>
          <w:p w14:paraId="61B76751">
            <w:pPr>
              <w:spacing w:line="440" w:lineRule="exact"/>
              <w:jc w:val="center"/>
              <w:rPr>
                <w:rFonts w:ascii="Times New Roman" w:hAnsi="Times New Roman"/>
              </w:rPr>
            </w:pPr>
          </w:p>
        </w:tc>
        <w:tc>
          <w:tcPr>
            <w:tcW w:w="992" w:type="dxa"/>
            <w:noWrap w:val="0"/>
            <w:vAlign w:val="top"/>
          </w:tcPr>
          <w:p w14:paraId="66D37B0D">
            <w:pPr>
              <w:spacing w:line="440" w:lineRule="exact"/>
              <w:jc w:val="center"/>
              <w:rPr>
                <w:rFonts w:ascii="Times New Roman" w:hAnsi="Times New Roman"/>
              </w:rPr>
            </w:pPr>
          </w:p>
        </w:tc>
        <w:tc>
          <w:tcPr>
            <w:tcW w:w="735" w:type="dxa"/>
            <w:noWrap w:val="0"/>
            <w:vAlign w:val="top"/>
          </w:tcPr>
          <w:p w14:paraId="3C3DA97F">
            <w:pPr>
              <w:spacing w:line="440" w:lineRule="exact"/>
              <w:jc w:val="center"/>
              <w:rPr>
                <w:rFonts w:ascii="Times New Roman" w:hAnsi="Times New Roman"/>
              </w:rPr>
            </w:pPr>
          </w:p>
        </w:tc>
        <w:tc>
          <w:tcPr>
            <w:tcW w:w="709" w:type="dxa"/>
            <w:noWrap w:val="0"/>
            <w:vAlign w:val="top"/>
          </w:tcPr>
          <w:p w14:paraId="58096C86">
            <w:pPr>
              <w:spacing w:line="440" w:lineRule="exact"/>
              <w:jc w:val="center"/>
              <w:rPr>
                <w:rFonts w:ascii="Times New Roman" w:hAnsi="Times New Roman"/>
              </w:rPr>
            </w:pPr>
          </w:p>
        </w:tc>
        <w:tc>
          <w:tcPr>
            <w:tcW w:w="1134" w:type="dxa"/>
            <w:noWrap w:val="0"/>
            <w:vAlign w:val="top"/>
          </w:tcPr>
          <w:p w14:paraId="78B18FB9">
            <w:pPr>
              <w:spacing w:line="440" w:lineRule="exact"/>
              <w:jc w:val="center"/>
              <w:rPr>
                <w:rFonts w:ascii="Times New Roman" w:hAnsi="Times New Roman"/>
              </w:rPr>
            </w:pPr>
          </w:p>
        </w:tc>
        <w:tc>
          <w:tcPr>
            <w:tcW w:w="992" w:type="dxa"/>
            <w:noWrap w:val="0"/>
            <w:vAlign w:val="top"/>
          </w:tcPr>
          <w:p w14:paraId="3231EC3B">
            <w:pPr>
              <w:spacing w:line="440" w:lineRule="exact"/>
              <w:jc w:val="center"/>
              <w:rPr>
                <w:rFonts w:ascii="Times New Roman" w:hAnsi="Times New Roman"/>
              </w:rPr>
            </w:pPr>
          </w:p>
        </w:tc>
        <w:tc>
          <w:tcPr>
            <w:tcW w:w="709" w:type="dxa"/>
            <w:noWrap w:val="0"/>
            <w:vAlign w:val="top"/>
          </w:tcPr>
          <w:p w14:paraId="6EE9D31B">
            <w:pPr>
              <w:spacing w:line="440" w:lineRule="exact"/>
              <w:jc w:val="center"/>
              <w:rPr>
                <w:rFonts w:ascii="Times New Roman" w:hAnsi="Times New Roman"/>
              </w:rPr>
            </w:pPr>
          </w:p>
        </w:tc>
        <w:tc>
          <w:tcPr>
            <w:tcW w:w="976" w:type="dxa"/>
            <w:noWrap w:val="0"/>
            <w:vAlign w:val="top"/>
          </w:tcPr>
          <w:p w14:paraId="2EA62287">
            <w:pPr>
              <w:spacing w:line="440" w:lineRule="exact"/>
              <w:jc w:val="center"/>
              <w:rPr>
                <w:rFonts w:ascii="Times New Roman" w:hAnsi="Times New Roman"/>
              </w:rPr>
            </w:pPr>
          </w:p>
        </w:tc>
      </w:tr>
      <w:tr w14:paraId="5A76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4D4E1C92">
            <w:pPr>
              <w:spacing w:line="440" w:lineRule="exact"/>
              <w:jc w:val="center"/>
              <w:rPr>
                <w:rFonts w:ascii="Times New Roman" w:hAnsi="Times New Roman"/>
              </w:rPr>
            </w:pPr>
          </w:p>
        </w:tc>
        <w:tc>
          <w:tcPr>
            <w:tcW w:w="1275" w:type="dxa"/>
            <w:noWrap w:val="0"/>
            <w:vAlign w:val="top"/>
          </w:tcPr>
          <w:p w14:paraId="26E8A750">
            <w:pPr>
              <w:spacing w:line="440" w:lineRule="exact"/>
              <w:jc w:val="center"/>
              <w:rPr>
                <w:rFonts w:ascii="Times New Roman" w:hAnsi="Times New Roman"/>
              </w:rPr>
            </w:pPr>
          </w:p>
        </w:tc>
        <w:tc>
          <w:tcPr>
            <w:tcW w:w="992" w:type="dxa"/>
            <w:noWrap w:val="0"/>
            <w:vAlign w:val="top"/>
          </w:tcPr>
          <w:p w14:paraId="4E3BDDEF">
            <w:pPr>
              <w:spacing w:line="440" w:lineRule="exact"/>
              <w:jc w:val="center"/>
              <w:rPr>
                <w:rFonts w:ascii="Times New Roman" w:hAnsi="Times New Roman"/>
              </w:rPr>
            </w:pPr>
          </w:p>
        </w:tc>
        <w:tc>
          <w:tcPr>
            <w:tcW w:w="735" w:type="dxa"/>
            <w:noWrap w:val="0"/>
            <w:vAlign w:val="top"/>
          </w:tcPr>
          <w:p w14:paraId="019791E1">
            <w:pPr>
              <w:spacing w:line="440" w:lineRule="exact"/>
              <w:jc w:val="center"/>
              <w:rPr>
                <w:rFonts w:ascii="Times New Roman" w:hAnsi="Times New Roman"/>
              </w:rPr>
            </w:pPr>
          </w:p>
        </w:tc>
        <w:tc>
          <w:tcPr>
            <w:tcW w:w="709" w:type="dxa"/>
            <w:noWrap w:val="0"/>
            <w:vAlign w:val="top"/>
          </w:tcPr>
          <w:p w14:paraId="1A6E85AE">
            <w:pPr>
              <w:spacing w:line="440" w:lineRule="exact"/>
              <w:jc w:val="center"/>
              <w:rPr>
                <w:rFonts w:ascii="Times New Roman" w:hAnsi="Times New Roman"/>
              </w:rPr>
            </w:pPr>
          </w:p>
        </w:tc>
        <w:tc>
          <w:tcPr>
            <w:tcW w:w="1134" w:type="dxa"/>
            <w:noWrap w:val="0"/>
            <w:vAlign w:val="top"/>
          </w:tcPr>
          <w:p w14:paraId="7FE22175">
            <w:pPr>
              <w:spacing w:line="440" w:lineRule="exact"/>
              <w:jc w:val="center"/>
              <w:rPr>
                <w:rFonts w:ascii="Times New Roman" w:hAnsi="Times New Roman"/>
              </w:rPr>
            </w:pPr>
          </w:p>
        </w:tc>
        <w:tc>
          <w:tcPr>
            <w:tcW w:w="992" w:type="dxa"/>
            <w:noWrap w:val="0"/>
            <w:vAlign w:val="top"/>
          </w:tcPr>
          <w:p w14:paraId="2D04207F">
            <w:pPr>
              <w:spacing w:line="440" w:lineRule="exact"/>
              <w:jc w:val="center"/>
              <w:rPr>
                <w:rFonts w:ascii="Times New Roman" w:hAnsi="Times New Roman"/>
              </w:rPr>
            </w:pPr>
          </w:p>
        </w:tc>
        <w:tc>
          <w:tcPr>
            <w:tcW w:w="709" w:type="dxa"/>
            <w:noWrap w:val="0"/>
            <w:vAlign w:val="top"/>
          </w:tcPr>
          <w:p w14:paraId="5F8B7188">
            <w:pPr>
              <w:spacing w:line="440" w:lineRule="exact"/>
              <w:jc w:val="center"/>
              <w:rPr>
                <w:rFonts w:ascii="Times New Roman" w:hAnsi="Times New Roman"/>
              </w:rPr>
            </w:pPr>
          </w:p>
        </w:tc>
        <w:tc>
          <w:tcPr>
            <w:tcW w:w="976" w:type="dxa"/>
            <w:noWrap w:val="0"/>
            <w:vAlign w:val="top"/>
          </w:tcPr>
          <w:p w14:paraId="2F801068">
            <w:pPr>
              <w:spacing w:line="440" w:lineRule="exact"/>
              <w:jc w:val="center"/>
              <w:rPr>
                <w:rFonts w:ascii="Times New Roman" w:hAnsi="Times New Roman"/>
              </w:rPr>
            </w:pPr>
          </w:p>
        </w:tc>
      </w:tr>
      <w:tr w14:paraId="0EC7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44BE75B9">
            <w:pPr>
              <w:spacing w:line="440" w:lineRule="exact"/>
              <w:jc w:val="center"/>
              <w:rPr>
                <w:rFonts w:ascii="Times New Roman" w:hAnsi="Times New Roman"/>
              </w:rPr>
            </w:pPr>
          </w:p>
        </w:tc>
        <w:tc>
          <w:tcPr>
            <w:tcW w:w="1275" w:type="dxa"/>
            <w:noWrap w:val="0"/>
            <w:vAlign w:val="top"/>
          </w:tcPr>
          <w:p w14:paraId="73869D4F">
            <w:pPr>
              <w:spacing w:line="440" w:lineRule="exact"/>
              <w:jc w:val="center"/>
              <w:rPr>
                <w:rFonts w:ascii="Times New Roman" w:hAnsi="Times New Roman"/>
              </w:rPr>
            </w:pPr>
          </w:p>
        </w:tc>
        <w:tc>
          <w:tcPr>
            <w:tcW w:w="992" w:type="dxa"/>
            <w:noWrap w:val="0"/>
            <w:vAlign w:val="top"/>
          </w:tcPr>
          <w:p w14:paraId="4FA204F9">
            <w:pPr>
              <w:spacing w:line="440" w:lineRule="exact"/>
              <w:jc w:val="center"/>
              <w:rPr>
                <w:rFonts w:ascii="Times New Roman" w:hAnsi="Times New Roman"/>
              </w:rPr>
            </w:pPr>
          </w:p>
        </w:tc>
        <w:tc>
          <w:tcPr>
            <w:tcW w:w="735" w:type="dxa"/>
            <w:noWrap w:val="0"/>
            <w:vAlign w:val="top"/>
          </w:tcPr>
          <w:p w14:paraId="2A9F00EB">
            <w:pPr>
              <w:spacing w:line="440" w:lineRule="exact"/>
              <w:jc w:val="center"/>
              <w:rPr>
                <w:rFonts w:ascii="Times New Roman" w:hAnsi="Times New Roman"/>
              </w:rPr>
            </w:pPr>
          </w:p>
        </w:tc>
        <w:tc>
          <w:tcPr>
            <w:tcW w:w="709" w:type="dxa"/>
            <w:noWrap w:val="0"/>
            <w:vAlign w:val="top"/>
          </w:tcPr>
          <w:p w14:paraId="1125EA87">
            <w:pPr>
              <w:spacing w:line="440" w:lineRule="exact"/>
              <w:jc w:val="center"/>
              <w:rPr>
                <w:rFonts w:ascii="Times New Roman" w:hAnsi="Times New Roman"/>
              </w:rPr>
            </w:pPr>
          </w:p>
        </w:tc>
        <w:tc>
          <w:tcPr>
            <w:tcW w:w="1134" w:type="dxa"/>
            <w:noWrap w:val="0"/>
            <w:vAlign w:val="top"/>
          </w:tcPr>
          <w:p w14:paraId="689FFE16">
            <w:pPr>
              <w:spacing w:line="440" w:lineRule="exact"/>
              <w:jc w:val="center"/>
              <w:rPr>
                <w:rFonts w:ascii="Times New Roman" w:hAnsi="Times New Roman"/>
              </w:rPr>
            </w:pPr>
          </w:p>
        </w:tc>
        <w:tc>
          <w:tcPr>
            <w:tcW w:w="992" w:type="dxa"/>
            <w:noWrap w:val="0"/>
            <w:vAlign w:val="top"/>
          </w:tcPr>
          <w:p w14:paraId="7FC43E1E">
            <w:pPr>
              <w:spacing w:line="440" w:lineRule="exact"/>
              <w:jc w:val="center"/>
              <w:rPr>
                <w:rFonts w:ascii="Times New Roman" w:hAnsi="Times New Roman"/>
              </w:rPr>
            </w:pPr>
          </w:p>
        </w:tc>
        <w:tc>
          <w:tcPr>
            <w:tcW w:w="709" w:type="dxa"/>
            <w:noWrap w:val="0"/>
            <w:vAlign w:val="top"/>
          </w:tcPr>
          <w:p w14:paraId="1314B3A2">
            <w:pPr>
              <w:spacing w:line="440" w:lineRule="exact"/>
              <w:jc w:val="center"/>
              <w:rPr>
                <w:rFonts w:ascii="Times New Roman" w:hAnsi="Times New Roman"/>
              </w:rPr>
            </w:pPr>
          </w:p>
        </w:tc>
        <w:tc>
          <w:tcPr>
            <w:tcW w:w="976" w:type="dxa"/>
            <w:noWrap w:val="0"/>
            <w:vAlign w:val="top"/>
          </w:tcPr>
          <w:p w14:paraId="300D50C8">
            <w:pPr>
              <w:spacing w:line="440" w:lineRule="exact"/>
              <w:jc w:val="center"/>
              <w:rPr>
                <w:rFonts w:ascii="Times New Roman" w:hAnsi="Times New Roman"/>
              </w:rPr>
            </w:pPr>
          </w:p>
        </w:tc>
      </w:tr>
      <w:tr w14:paraId="16DD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3663CBD1">
            <w:pPr>
              <w:spacing w:line="440" w:lineRule="exact"/>
              <w:jc w:val="center"/>
              <w:rPr>
                <w:rFonts w:ascii="Times New Roman" w:hAnsi="Times New Roman"/>
              </w:rPr>
            </w:pPr>
          </w:p>
        </w:tc>
        <w:tc>
          <w:tcPr>
            <w:tcW w:w="1275" w:type="dxa"/>
            <w:noWrap w:val="0"/>
            <w:vAlign w:val="top"/>
          </w:tcPr>
          <w:p w14:paraId="3F2C954D">
            <w:pPr>
              <w:spacing w:line="440" w:lineRule="exact"/>
              <w:jc w:val="center"/>
              <w:rPr>
                <w:rFonts w:ascii="Times New Roman" w:hAnsi="Times New Roman"/>
              </w:rPr>
            </w:pPr>
          </w:p>
        </w:tc>
        <w:tc>
          <w:tcPr>
            <w:tcW w:w="992" w:type="dxa"/>
            <w:noWrap w:val="0"/>
            <w:vAlign w:val="top"/>
          </w:tcPr>
          <w:p w14:paraId="62D7778D">
            <w:pPr>
              <w:spacing w:line="440" w:lineRule="exact"/>
              <w:jc w:val="center"/>
              <w:rPr>
                <w:rFonts w:ascii="Times New Roman" w:hAnsi="Times New Roman"/>
              </w:rPr>
            </w:pPr>
          </w:p>
        </w:tc>
        <w:tc>
          <w:tcPr>
            <w:tcW w:w="735" w:type="dxa"/>
            <w:noWrap w:val="0"/>
            <w:vAlign w:val="top"/>
          </w:tcPr>
          <w:p w14:paraId="18995DE1">
            <w:pPr>
              <w:spacing w:line="440" w:lineRule="exact"/>
              <w:jc w:val="center"/>
              <w:rPr>
                <w:rFonts w:ascii="Times New Roman" w:hAnsi="Times New Roman"/>
              </w:rPr>
            </w:pPr>
          </w:p>
        </w:tc>
        <w:tc>
          <w:tcPr>
            <w:tcW w:w="709" w:type="dxa"/>
            <w:noWrap w:val="0"/>
            <w:vAlign w:val="top"/>
          </w:tcPr>
          <w:p w14:paraId="34112C0B">
            <w:pPr>
              <w:spacing w:line="440" w:lineRule="exact"/>
              <w:jc w:val="center"/>
              <w:rPr>
                <w:rFonts w:ascii="Times New Roman" w:hAnsi="Times New Roman"/>
              </w:rPr>
            </w:pPr>
          </w:p>
        </w:tc>
        <w:tc>
          <w:tcPr>
            <w:tcW w:w="1134" w:type="dxa"/>
            <w:noWrap w:val="0"/>
            <w:vAlign w:val="top"/>
          </w:tcPr>
          <w:p w14:paraId="08122AAA">
            <w:pPr>
              <w:spacing w:line="440" w:lineRule="exact"/>
              <w:jc w:val="center"/>
              <w:rPr>
                <w:rFonts w:ascii="Times New Roman" w:hAnsi="Times New Roman"/>
              </w:rPr>
            </w:pPr>
          </w:p>
        </w:tc>
        <w:tc>
          <w:tcPr>
            <w:tcW w:w="992" w:type="dxa"/>
            <w:noWrap w:val="0"/>
            <w:vAlign w:val="top"/>
          </w:tcPr>
          <w:p w14:paraId="37908F21">
            <w:pPr>
              <w:spacing w:line="440" w:lineRule="exact"/>
              <w:jc w:val="center"/>
              <w:rPr>
                <w:rFonts w:ascii="Times New Roman" w:hAnsi="Times New Roman"/>
              </w:rPr>
            </w:pPr>
          </w:p>
        </w:tc>
        <w:tc>
          <w:tcPr>
            <w:tcW w:w="709" w:type="dxa"/>
            <w:noWrap w:val="0"/>
            <w:vAlign w:val="top"/>
          </w:tcPr>
          <w:p w14:paraId="6C97D6F6">
            <w:pPr>
              <w:spacing w:line="440" w:lineRule="exact"/>
              <w:jc w:val="center"/>
              <w:rPr>
                <w:rFonts w:ascii="Times New Roman" w:hAnsi="Times New Roman"/>
              </w:rPr>
            </w:pPr>
          </w:p>
        </w:tc>
        <w:tc>
          <w:tcPr>
            <w:tcW w:w="976" w:type="dxa"/>
            <w:noWrap w:val="0"/>
            <w:vAlign w:val="top"/>
          </w:tcPr>
          <w:p w14:paraId="22B404C4">
            <w:pPr>
              <w:spacing w:line="440" w:lineRule="exact"/>
              <w:jc w:val="center"/>
              <w:rPr>
                <w:rFonts w:ascii="Times New Roman" w:hAnsi="Times New Roman"/>
              </w:rPr>
            </w:pPr>
          </w:p>
        </w:tc>
      </w:tr>
      <w:tr w14:paraId="66DD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60E73859">
            <w:pPr>
              <w:spacing w:line="440" w:lineRule="exact"/>
              <w:jc w:val="center"/>
              <w:rPr>
                <w:rFonts w:ascii="Times New Roman" w:hAnsi="Times New Roman"/>
              </w:rPr>
            </w:pPr>
          </w:p>
        </w:tc>
        <w:tc>
          <w:tcPr>
            <w:tcW w:w="1275" w:type="dxa"/>
            <w:noWrap w:val="0"/>
            <w:vAlign w:val="top"/>
          </w:tcPr>
          <w:p w14:paraId="70178A14">
            <w:pPr>
              <w:spacing w:line="440" w:lineRule="exact"/>
              <w:jc w:val="center"/>
              <w:rPr>
                <w:rFonts w:ascii="Times New Roman" w:hAnsi="Times New Roman"/>
              </w:rPr>
            </w:pPr>
          </w:p>
        </w:tc>
        <w:tc>
          <w:tcPr>
            <w:tcW w:w="992" w:type="dxa"/>
            <w:noWrap w:val="0"/>
            <w:vAlign w:val="top"/>
          </w:tcPr>
          <w:p w14:paraId="34D15D7C">
            <w:pPr>
              <w:spacing w:line="440" w:lineRule="exact"/>
              <w:jc w:val="center"/>
              <w:rPr>
                <w:rFonts w:ascii="Times New Roman" w:hAnsi="Times New Roman"/>
              </w:rPr>
            </w:pPr>
          </w:p>
        </w:tc>
        <w:tc>
          <w:tcPr>
            <w:tcW w:w="735" w:type="dxa"/>
            <w:noWrap w:val="0"/>
            <w:vAlign w:val="top"/>
          </w:tcPr>
          <w:p w14:paraId="5CCB1F05">
            <w:pPr>
              <w:spacing w:line="440" w:lineRule="exact"/>
              <w:jc w:val="center"/>
              <w:rPr>
                <w:rFonts w:ascii="Times New Roman" w:hAnsi="Times New Roman"/>
              </w:rPr>
            </w:pPr>
          </w:p>
        </w:tc>
        <w:tc>
          <w:tcPr>
            <w:tcW w:w="709" w:type="dxa"/>
            <w:noWrap w:val="0"/>
            <w:vAlign w:val="top"/>
          </w:tcPr>
          <w:p w14:paraId="5D49AB42">
            <w:pPr>
              <w:spacing w:line="440" w:lineRule="exact"/>
              <w:jc w:val="center"/>
              <w:rPr>
                <w:rFonts w:ascii="Times New Roman" w:hAnsi="Times New Roman"/>
              </w:rPr>
            </w:pPr>
          </w:p>
        </w:tc>
        <w:tc>
          <w:tcPr>
            <w:tcW w:w="1134" w:type="dxa"/>
            <w:noWrap w:val="0"/>
            <w:vAlign w:val="top"/>
          </w:tcPr>
          <w:p w14:paraId="26264228">
            <w:pPr>
              <w:spacing w:line="440" w:lineRule="exact"/>
              <w:jc w:val="center"/>
              <w:rPr>
                <w:rFonts w:ascii="Times New Roman" w:hAnsi="Times New Roman"/>
              </w:rPr>
            </w:pPr>
          </w:p>
        </w:tc>
        <w:tc>
          <w:tcPr>
            <w:tcW w:w="992" w:type="dxa"/>
            <w:noWrap w:val="0"/>
            <w:vAlign w:val="top"/>
          </w:tcPr>
          <w:p w14:paraId="526161BA">
            <w:pPr>
              <w:spacing w:line="440" w:lineRule="exact"/>
              <w:jc w:val="center"/>
              <w:rPr>
                <w:rFonts w:ascii="Times New Roman" w:hAnsi="Times New Roman"/>
              </w:rPr>
            </w:pPr>
          </w:p>
        </w:tc>
        <w:tc>
          <w:tcPr>
            <w:tcW w:w="709" w:type="dxa"/>
            <w:noWrap w:val="0"/>
            <w:vAlign w:val="top"/>
          </w:tcPr>
          <w:p w14:paraId="6372637F">
            <w:pPr>
              <w:spacing w:line="440" w:lineRule="exact"/>
              <w:jc w:val="center"/>
              <w:rPr>
                <w:rFonts w:ascii="Times New Roman" w:hAnsi="Times New Roman"/>
              </w:rPr>
            </w:pPr>
          </w:p>
        </w:tc>
        <w:tc>
          <w:tcPr>
            <w:tcW w:w="976" w:type="dxa"/>
            <w:noWrap w:val="0"/>
            <w:vAlign w:val="top"/>
          </w:tcPr>
          <w:p w14:paraId="09D11797">
            <w:pPr>
              <w:spacing w:line="440" w:lineRule="exact"/>
              <w:jc w:val="center"/>
              <w:rPr>
                <w:rFonts w:ascii="Times New Roman" w:hAnsi="Times New Roman"/>
              </w:rPr>
            </w:pPr>
          </w:p>
        </w:tc>
      </w:tr>
      <w:tr w14:paraId="2372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F377443">
            <w:pPr>
              <w:spacing w:line="440" w:lineRule="exact"/>
              <w:jc w:val="center"/>
              <w:rPr>
                <w:rFonts w:ascii="Times New Roman" w:hAnsi="Times New Roman"/>
              </w:rPr>
            </w:pPr>
          </w:p>
        </w:tc>
        <w:tc>
          <w:tcPr>
            <w:tcW w:w="1275" w:type="dxa"/>
            <w:noWrap w:val="0"/>
            <w:vAlign w:val="top"/>
          </w:tcPr>
          <w:p w14:paraId="4355DF0E">
            <w:pPr>
              <w:spacing w:line="440" w:lineRule="exact"/>
              <w:jc w:val="center"/>
              <w:rPr>
                <w:rFonts w:ascii="Times New Roman" w:hAnsi="Times New Roman"/>
              </w:rPr>
            </w:pPr>
          </w:p>
        </w:tc>
        <w:tc>
          <w:tcPr>
            <w:tcW w:w="992" w:type="dxa"/>
            <w:noWrap w:val="0"/>
            <w:vAlign w:val="top"/>
          </w:tcPr>
          <w:p w14:paraId="2844A93D">
            <w:pPr>
              <w:spacing w:line="440" w:lineRule="exact"/>
              <w:jc w:val="center"/>
              <w:rPr>
                <w:rFonts w:ascii="Times New Roman" w:hAnsi="Times New Roman"/>
              </w:rPr>
            </w:pPr>
          </w:p>
        </w:tc>
        <w:tc>
          <w:tcPr>
            <w:tcW w:w="735" w:type="dxa"/>
            <w:noWrap w:val="0"/>
            <w:vAlign w:val="top"/>
          </w:tcPr>
          <w:p w14:paraId="4AD0675F">
            <w:pPr>
              <w:spacing w:line="440" w:lineRule="exact"/>
              <w:jc w:val="center"/>
              <w:rPr>
                <w:rFonts w:ascii="Times New Roman" w:hAnsi="Times New Roman"/>
              </w:rPr>
            </w:pPr>
          </w:p>
        </w:tc>
        <w:tc>
          <w:tcPr>
            <w:tcW w:w="709" w:type="dxa"/>
            <w:noWrap w:val="0"/>
            <w:vAlign w:val="top"/>
          </w:tcPr>
          <w:p w14:paraId="7DE210B3">
            <w:pPr>
              <w:spacing w:line="440" w:lineRule="exact"/>
              <w:jc w:val="center"/>
              <w:rPr>
                <w:rFonts w:ascii="Times New Roman" w:hAnsi="Times New Roman"/>
              </w:rPr>
            </w:pPr>
          </w:p>
        </w:tc>
        <w:tc>
          <w:tcPr>
            <w:tcW w:w="1134" w:type="dxa"/>
            <w:noWrap w:val="0"/>
            <w:vAlign w:val="top"/>
          </w:tcPr>
          <w:p w14:paraId="7A63E498">
            <w:pPr>
              <w:spacing w:line="440" w:lineRule="exact"/>
              <w:jc w:val="center"/>
              <w:rPr>
                <w:rFonts w:ascii="Times New Roman" w:hAnsi="Times New Roman"/>
              </w:rPr>
            </w:pPr>
          </w:p>
        </w:tc>
        <w:tc>
          <w:tcPr>
            <w:tcW w:w="992" w:type="dxa"/>
            <w:noWrap w:val="0"/>
            <w:vAlign w:val="top"/>
          </w:tcPr>
          <w:p w14:paraId="6754A9F9">
            <w:pPr>
              <w:spacing w:line="440" w:lineRule="exact"/>
              <w:jc w:val="center"/>
              <w:rPr>
                <w:rFonts w:ascii="Times New Roman" w:hAnsi="Times New Roman"/>
              </w:rPr>
            </w:pPr>
          </w:p>
        </w:tc>
        <w:tc>
          <w:tcPr>
            <w:tcW w:w="709" w:type="dxa"/>
            <w:noWrap w:val="0"/>
            <w:vAlign w:val="top"/>
          </w:tcPr>
          <w:p w14:paraId="4A543DD0">
            <w:pPr>
              <w:spacing w:line="440" w:lineRule="exact"/>
              <w:jc w:val="center"/>
              <w:rPr>
                <w:rFonts w:ascii="Times New Roman" w:hAnsi="Times New Roman"/>
              </w:rPr>
            </w:pPr>
          </w:p>
        </w:tc>
        <w:tc>
          <w:tcPr>
            <w:tcW w:w="976" w:type="dxa"/>
            <w:noWrap w:val="0"/>
            <w:vAlign w:val="top"/>
          </w:tcPr>
          <w:p w14:paraId="5E593A11">
            <w:pPr>
              <w:spacing w:line="440" w:lineRule="exact"/>
              <w:jc w:val="center"/>
              <w:rPr>
                <w:rFonts w:ascii="Times New Roman" w:hAnsi="Times New Roman"/>
              </w:rPr>
            </w:pPr>
          </w:p>
        </w:tc>
      </w:tr>
      <w:tr w14:paraId="7782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6447D697">
            <w:pPr>
              <w:spacing w:line="440" w:lineRule="exact"/>
              <w:jc w:val="center"/>
              <w:rPr>
                <w:rFonts w:ascii="Times New Roman" w:hAnsi="Times New Roman"/>
              </w:rPr>
            </w:pPr>
          </w:p>
        </w:tc>
        <w:tc>
          <w:tcPr>
            <w:tcW w:w="1275" w:type="dxa"/>
            <w:noWrap w:val="0"/>
            <w:vAlign w:val="top"/>
          </w:tcPr>
          <w:p w14:paraId="0EA92FFF">
            <w:pPr>
              <w:spacing w:line="440" w:lineRule="exact"/>
              <w:jc w:val="center"/>
              <w:rPr>
                <w:rFonts w:ascii="Times New Roman" w:hAnsi="Times New Roman"/>
              </w:rPr>
            </w:pPr>
          </w:p>
        </w:tc>
        <w:tc>
          <w:tcPr>
            <w:tcW w:w="992" w:type="dxa"/>
            <w:noWrap w:val="0"/>
            <w:vAlign w:val="top"/>
          </w:tcPr>
          <w:p w14:paraId="409363B0">
            <w:pPr>
              <w:spacing w:line="440" w:lineRule="exact"/>
              <w:jc w:val="center"/>
              <w:rPr>
                <w:rFonts w:ascii="Times New Roman" w:hAnsi="Times New Roman"/>
              </w:rPr>
            </w:pPr>
          </w:p>
        </w:tc>
        <w:tc>
          <w:tcPr>
            <w:tcW w:w="735" w:type="dxa"/>
            <w:noWrap w:val="0"/>
            <w:vAlign w:val="top"/>
          </w:tcPr>
          <w:p w14:paraId="543C5198">
            <w:pPr>
              <w:spacing w:line="440" w:lineRule="exact"/>
              <w:jc w:val="center"/>
              <w:rPr>
                <w:rFonts w:ascii="Times New Roman" w:hAnsi="Times New Roman"/>
              </w:rPr>
            </w:pPr>
          </w:p>
        </w:tc>
        <w:tc>
          <w:tcPr>
            <w:tcW w:w="709" w:type="dxa"/>
            <w:noWrap w:val="0"/>
            <w:vAlign w:val="top"/>
          </w:tcPr>
          <w:p w14:paraId="5D9CAD48">
            <w:pPr>
              <w:spacing w:line="440" w:lineRule="exact"/>
              <w:jc w:val="center"/>
              <w:rPr>
                <w:rFonts w:ascii="Times New Roman" w:hAnsi="Times New Roman"/>
              </w:rPr>
            </w:pPr>
          </w:p>
        </w:tc>
        <w:tc>
          <w:tcPr>
            <w:tcW w:w="1134" w:type="dxa"/>
            <w:noWrap w:val="0"/>
            <w:vAlign w:val="top"/>
          </w:tcPr>
          <w:p w14:paraId="77DA3F8F">
            <w:pPr>
              <w:spacing w:line="440" w:lineRule="exact"/>
              <w:jc w:val="center"/>
              <w:rPr>
                <w:rFonts w:ascii="Times New Roman" w:hAnsi="Times New Roman"/>
              </w:rPr>
            </w:pPr>
          </w:p>
        </w:tc>
        <w:tc>
          <w:tcPr>
            <w:tcW w:w="992" w:type="dxa"/>
            <w:noWrap w:val="0"/>
            <w:vAlign w:val="top"/>
          </w:tcPr>
          <w:p w14:paraId="40CA887D">
            <w:pPr>
              <w:spacing w:line="440" w:lineRule="exact"/>
              <w:jc w:val="center"/>
              <w:rPr>
                <w:rFonts w:ascii="Times New Roman" w:hAnsi="Times New Roman"/>
              </w:rPr>
            </w:pPr>
          </w:p>
        </w:tc>
        <w:tc>
          <w:tcPr>
            <w:tcW w:w="709" w:type="dxa"/>
            <w:noWrap w:val="0"/>
            <w:vAlign w:val="top"/>
          </w:tcPr>
          <w:p w14:paraId="1A78A0B8">
            <w:pPr>
              <w:spacing w:line="440" w:lineRule="exact"/>
              <w:jc w:val="center"/>
              <w:rPr>
                <w:rFonts w:ascii="Times New Roman" w:hAnsi="Times New Roman"/>
              </w:rPr>
            </w:pPr>
          </w:p>
        </w:tc>
        <w:tc>
          <w:tcPr>
            <w:tcW w:w="976" w:type="dxa"/>
            <w:noWrap w:val="0"/>
            <w:vAlign w:val="top"/>
          </w:tcPr>
          <w:p w14:paraId="1422680B">
            <w:pPr>
              <w:spacing w:line="440" w:lineRule="exact"/>
              <w:jc w:val="center"/>
              <w:rPr>
                <w:rFonts w:ascii="Times New Roman" w:hAnsi="Times New Roman"/>
              </w:rPr>
            </w:pPr>
          </w:p>
        </w:tc>
      </w:tr>
      <w:tr w14:paraId="6EAC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31861EC7">
            <w:pPr>
              <w:spacing w:line="440" w:lineRule="exact"/>
              <w:jc w:val="center"/>
              <w:rPr>
                <w:rFonts w:ascii="Times New Roman" w:hAnsi="Times New Roman"/>
              </w:rPr>
            </w:pPr>
          </w:p>
        </w:tc>
        <w:tc>
          <w:tcPr>
            <w:tcW w:w="1275" w:type="dxa"/>
            <w:noWrap w:val="0"/>
            <w:vAlign w:val="top"/>
          </w:tcPr>
          <w:p w14:paraId="1FF92E42">
            <w:pPr>
              <w:spacing w:line="440" w:lineRule="exact"/>
              <w:jc w:val="center"/>
              <w:rPr>
                <w:rFonts w:ascii="Times New Roman" w:hAnsi="Times New Roman"/>
              </w:rPr>
            </w:pPr>
          </w:p>
        </w:tc>
        <w:tc>
          <w:tcPr>
            <w:tcW w:w="992" w:type="dxa"/>
            <w:noWrap w:val="0"/>
            <w:vAlign w:val="top"/>
          </w:tcPr>
          <w:p w14:paraId="35DABA36">
            <w:pPr>
              <w:spacing w:line="440" w:lineRule="exact"/>
              <w:jc w:val="center"/>
              <w:rPr>
                <w:rFonts w:ascii="Times New Roman" w:hAnsi="Times New Roman"/>
              </w:rPr>
            </w:pPr>
          </w:p>
        </w:tc>
        <w:tc>
          <w:tcPr>
            <w:tcW w:w="735" w:type="dxa"/>
            <w:noWrap w:val="0"/>
            <w:vAlign w:val="top"/>
          </w:tcPr>
          <w:p w14:paraId="75E29875">
            <w:pPr>
              <w:spacing w:line="440" w:lineRule="exact"/>
              <w:jc w:val="center"/>
              <w:rPr>
                <w:rFonts w:ascii="Times New Roman" w:hAnsi="Times New Roman"/>
              </w:rPr>
            </w:pPr>
          </w:p>
        </w:tc>
        <w:tc>
          <w:tcPr>
            <w:tcW w:w="709" w:type="dxa"/>
            <w:noWrap w:val="0"/>
            <w:vAlign w:val="top"/>
          </w:tcPr>
          <w:p w14:paraId="7D418827">
            <w:pPr>
              <w:spacing w:line="440" w:lineRule="exact"/>
              <w:jc w:val="center"/>
              <w:rPr>
                <w:rFonts w:ascii="Times New Roman" w:hAnsi="Times New Roman"/>
              </w:rPr>
            </w:pPr>
          </w:p>
        </w:tc>
        <w:tc>
          <w:tcPr>
            <w:tcW w:w="1134" w:type="dxa"/>
            <w:noWrap w:val="0"/>
            <w:vAlign w:val="top"/>
          </w:tcPr>
          <w:p w14:paraId="76EF4C21">
            <w:pPr>
              <w:spacing w:line="440" w:lineRule="exact"/>
              <w:jc w:val="center"/>
              <w:rPr>
                <w:rFonts w:ascii="Times New Roman" w:hAnsi="Times New Roman"/>
              </w:rPr>
            </w:pPr>
          </w:p>
        </w:tc>
        <w:tc>
          <w:tcPr>
            <w:tcW w:w="992" w:type="dxa"/>
            <w:noWrap w:val="0"/>
            <w:vAlign w:val="top"/>
          </w:tcPr>
          <w:p w14:paraId="50909836">
            <w:pPr>
              <w:spacing w:line="440" w:lineRule="exact"/>
              <w:jc w:val="center"/>
              <w:rPr>
                <w:rFonts w:ascii="Times New Roman" w:hAnsi="Times New Roman"/>
              </w:rPr>
            </w:pPr>
          </w:p>
        </w:tc>
        <w:tc>
          <w:tcPr>
            <w:tcW w:w="709" w:type="dxa"/>
            <w:noWrap w:val="0"/>
            <w:vAlign w:val="top"/>
          </w:tcPr>
          <w:p w14:paraId="6E655595">
            <w:pPr>
              <w:spacing w:line="440" w:lineRule="exact"/>
              <w:jc w:val="center"/>
              <w:rPr>
                <w:rFonts w:ascii="Times New Roman" w:hAnsi="Times New Roman"/>
              </w:rPr>
            </w:pPr>
          </w:p>
        </w:tc>
        <w:tc>
          <w:tcPr>
            <w:tcW w:w="976" w:type="dxa"/>
            <w:noWrap w:val="0"/>
            <w:vAlign w:val="top"/>
          </w:tcPr>
          <w:p w14:paraId="336A2613">
            <w:pPr>
              <w:spacing w:line="440" w:lineRule="exact"/>
              <w:jc w:val="center"/>
              <w:rPr>
                <w:rFonts w:ascii="Times New Roman" w:hAnsi="Times New Roman"/>
              </w:rPr>
            </w:pPr>
          </w:p>
        </w:tc>
      </w:tr>
      <w:bookmarkEnd w:id="460"/>
      <w:bookmarkEnd w:id="461"/>
      <w:bookmarkEnd w:id="462"/>
    </w:tbl>
    <w:p w14:paraId="1BF8D7CF">
      <w:pPr>
        <w:widowControl/>
        <w:jc w:val="left"/>
        <w:rPr>
          <w:rFonts w:ascii="Times New Roman" w:hAnsi="Times New Roman" w:eastAsia="黑体"/>
          <w:b/>
          <w:bCs/>
          <w:sz w:val="28"/>
          <w:szCs w:val="20"/>
        </w:rPr>
      </w:pPr>
    </w:p>
    <w:p w14:paraId="3034883B">
      <w:pPr>
        <w:widowControl/>
        <w:jc w:val="left"/>
        <w:rPr>
          <w:rFonts w:ascii="Times New Roman" w:hAnsi="Times New Roman" w:eastAsia="黑体"/>
          <w:b/>
          <w:bCs/>
          <w:sz w:val="28"/>
          <w:szCs w:val="20"/>
        </w:rPr>
      </w:pPr>
    </w:p>
    <w:p w14:paraId="69DD7E30">
      <w:pPr>
        <w:widowControl/>
        <w:jc w:val="left"/>
        <w:rPr>
          <w:rFonts w:ascii="Times New Roman" w:hAnsi="Times New Roman" w:eastAsia="黑体"/>
          <w:b/>
          <w:bCs/>
          <w:sz w:val="28"/>
          <w:szCs w:val="20"/>
        </w:rPr>
      </w:pPr>
    </w:p>
    <w:p w14:paraId="7CAB7040">
      <w:pPr>
        <w:widowControl/>
        <w:jc w:val="left"/>
        <w:rPr>
          <w:rFonts w:ascii="Times New Roman" w:hAnsi="Times New Roman" w:eastAsia="黑体"/>
          <w:b/>
          <w:bCs/>
          <w:sz w:val="28"/>
          <w:szCs w:val="20"/>
        </w:rPr>
      </w:pPr>
    </w:p>
    <w:p w14:paraId="3852C070">
      <w:pPr>
        <w:widowControl/>
        <w:jc w:val="left"/>
        <w:rPr>
          <w:rFonts w:ascii="Times New Roman" w:hAnsi="Times New Roman" w:eastAsia="黑体"/>
          <w:b/>
          <w:bCs/>
          <w:sz w:val="28"/>
          <w:szCs w:val="20"/>
        </w:rPr>
      </w:pPr>
    </w:p>
    <w:p w14:paraId="2376D81B">
      <w:pPr>
        <w:widowControl/>
        <w:jc w:val="left"/>
        <w:rPr>
          <w:rFonts w:ascii="Times New Roman" w:hAnsi="Times New Roman" w:eastAsia="黑体"/>
          <w:b/>
          <w:bCs/>
          <w:sz w:val="28"/>
          <w:szCs w:val="20"/>
        </w:rPr>
      </w:pPr>
    </w:p>
    <w:p w14:paraId="078F612B">
      <w:pPr>
        <w:widowControl/>
        <w:jc w:val="left"/>
        <w:rPr>
          <w:rFonts w:ascii="Times New Roman" w:hAnsi="Times New Roman" w:eastAsia="黑体"/>
          <w:b/>
          <w:bCs/>
          <w:sz w:val="28"/>
          <w:szCs w:val="20"/>
        </w:rPr>
      </w:pPr>
    </w:p>
    <w:p w14:paraId="5D37D309">
      <w:pPr>
        <w:pStyle w:val="4"/>
        <w:spacing w:before="0" w:after="0" w:line="360" w:lineRule="auto"/>
        <w:ind w:firstLine="118"/>
        <w:jc w:val="center"/>
        <w:rPr>
          <w:rFonts w:ascii="Times New Roman" w:hAnsi="Times New Roman"/>
          <w:sz w:val="24"/>
          <w:szCs w:val="24"/>
        </w:rPr>
      </w:pPr>
      <w:r>
        <w:rPr>
          <w:rFonts w:ascii="Times New Roman" w:hAnsi="Times New Roman"/>
          <w:sz w:val="24"/>
          <w:szCs w:val="24"/>
        </w:rPr>
        <w:t>七、资格审查资料</w:t>
      </w:r>
    </w:p>
    <w:p w14:paraId="6163B1C6">
      <w:pPr>
        <w:widowControl/>
        <w:jc w:val="center"/>
        <w:rPr>
          <w:rFonts w:ascii="Times New Roman" w:hAnsi="Times New Roman" w:eastAsia="黑体"/>
          <w:sz w:val="24"/>
          <w:szCs w:val="24"/>
        </w:rPr>
      </w:pPr>
      <w:r>
        <w:rPr>
          <w:rFonts w:ascii="Times New Roman" w:hAnsi="Times New Roman" w:eastAsia="黑体"/>
          <w:sz w:val="24"/>
          <w:szCs w:val="24"/>
        </w:rPr>
        <w:t>（一）投标人基本情况表</w:t>
      </w:r>
    </w:p>
    <w:tbl>
      <w:tblPr>
        <w:tblStyle w:val="43"/>
        <w:tblW w:w="0" w:type="auto"/>
        <w:tblInd w:w="-5"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14:paraId="4AD8BC36">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3F83C76">
            <w:pPr>
              <w:autoSpaceDE w:val="0"/>
              <w:autoSpaceDN w:val="0"/>
              <w:adjustRightInd w:val="0"/>
              <w:snapToGrid w:val="0"/>
              <w:jc w:val="center"/>
              <w:rPr>
                <w:rFonts w:ascii="Times New Roman" w:hAnsi="Times New Roman"/>
                <w:kern w:val="0"/>
              </w:rPr>
            </w:pPr>
            <w:bookmarkStart w:id="463" w:name="_Toc421917003"/>
            <w:bookmarkStart w:id="464" w:name="_Toc390411623"/>
            <w:r>
              <w:rPr>
                <w:rFonts w:ascii="Times New Roman" w:hAnsi="Times New Roman"/>
                <w:kern w:val="0"/>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noWrap w:val="0"/>
            <w:vAlign w:val="center"/>
          </w:tcPr>
          <w:p w14:paraId="1CA507B7">
            <w:pPr>
              <w:autoSpaceDE w:val="0"/>
              <w:autoSpaceDN w:val="0"/>
              <w:adjustRightInd w:val="0"/>
              <w:snapToGrid w:val="0"/>
              <w:jc w:val="center"/>
              <w:rPr>
                <w:rFonts w:ascii="Times New Roman" w:hAnsi="Times New Roman"/>
                <w:kern w:val="0"/>
              </w:rPr>
            </w:pPr>
          </w:p>
        </w:tc>
      </w:tr>
      <w:tr w14:paraId="5F1E115D">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C44BCAB">
            <w:pPr>
              <w:autoSpaceDE w:val="0"/>
              <w:autoSpaceDN w:val="0"/>
              <w:adjustRightInd w:val="0"/>
              <w:snapToGrid w:val="0"/>
              <w:jc w:val="center"/>
              <w:rPr>
                <w:rFonts w:ascii="Times New Roman" w:hAnsi="Times New Roman"/>
                <w:kern w:val="0"/>
              </w:rPr>
            </w:pPr>
            <w:r>
              <w:rPr>
                <w:rFonts w:ascii="Times New Roman" w:hAnsi="Times New Roman"/>
                <w:kern w:val="0"/>
              </w:rPr>
              <w:t>注册地址</w:t>
            </w:r>
          </w:p>
        </w:tc>
        <w:tc>
          <w:tcPr>
            <w:tcW w:w="3205" w:type="dxa"/>
            <w:gridSpan w:val="4"/>
            <w:tcBorders>
              <w:top w:val="single" w:color="000000" w:sz="4" w:space="0"/>
              <w:left w:val="single" w:color="000000" w:sz="4" w:space="0"/>
              <w:bottom w:val="single" w:color="000000" w:sz="4" w:space="0"/>
              <w:right w:val="single" w:color="000000" w:sz="4" w:space="0"/>
            </w:tcBorders>
            <w:noWrap w:val="0"/>
            <w:vAlign w:val="center"/>
          </w:tcPr>
          <w:p w14:paraId="4DEE0CA4">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14:paraId="1022E179">
            <w:pPr>
              <w:autoSpaceDE w:val="0"/>
              <w:autoSpaceDN w:val="0"/>
              <w:adjustRightInd w:val="0"/>
              <w:snapToGrid w:val="0"/>
              <w:jc w:val="center"/>
              <w:rPr>
                <w:rFonts w:ascii="Times New Roman" w:hAnsi="Times New Roman"/>
                <w:kern w:val="0"/>
              </w:rPr>
            </w:pPr>
            <w:r>
              <w:rPr>
                <w:rFonts w:ascii="Times New Roman" w:hAnsi="Times New Roman"/>
                <w:kern w:val="0"/>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0AD9D4B8">
            <w:pPr>
              <w:autoSpaceDE w:val="0"/>
              <w:autoSpaceDN w:val="0"/>
              <w:adjustRightInd w:val="0"/>
              <w:snapToGrid w:val="0"/>
              <w:jc w:val="center"/>
              <w:rPr>
                <w:rFonts w:ascii="Times New Roman" w:hAnsi="Times New Roman"/>
                <w:kern w:val="0"/>
              </w:rPr>
            </w:pPr>
          </w:p>
        </w:tc>
      </w:tr>
      <w:tr w14:paraId="7C45DF8C">
        <w:tblPrEx>
          <w:tblCellMar>
            <w:top w:w="0" w:type="dxa"/>
            <w:left w:w="0" w:type="dxa"/>
            <w:bottom w:w="0" w:type="dxa"/>
            <w:right w:w="0" w:type="dxa"/>
          </w:tblCellMar>
        </w:tblPrEx>
        <w:trPr>
          <w:wBefore w:w="0" w:type="dxa"/>
          <w:wAfter w:w="0" w:type="dxa"/>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noWrap w:val="0"/>
            <w:vAlign w:val="center"/>
          </w:tcPr>
          <w:p w14:paraId="10AAC928">
            <w:pPr>
              <w:autoSpaceDE w:val="0"/>
              <w:autoSpaceDN w:val="0"/>
              <w:adjustRightInd w:val="0"/>
              <w:snapToGrid w:val="0"/>
              <w:jc w:val="center"/>
              <w:rPr>
                <w:rFonts w:ascii="Times New Roman" w:hAnsi="Times New Roman"/>
                <w:kern w:val="0"/>
              </w:rPr>
            </w:pPr>
            <w:r>
              <w:rPr>
                <w:rFonts w:ascii="Times New Roman" w:hAnsi="Times New Roman"/>
                <w:kern w:val="0"/>
              </w:rPr>
              <w:t>联系方式</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1D3FA656">
            <w:pPr>
              <w:autoSpaceDE w:val="0"/>
              <w:autoSpaceDN w:val="0"/>
              <w:adjustRightInd w:val="0"/>
              <w:snapToGrid w:val="0"/>
              <w:jc w:val="center"/>
              <w:rPr>
                <w:rFonts w:ascii="Times New Roman" w:hAnsi="Times New Roman"/>
                <w:kern w:val="0"/>
              </w:rPr>
            </w:pPr>
            <w:r>
              <w:rPr>
                <w:rFonts w:ascii="Times New Roman" w:hAnsi="Times New Roman"/>
                <w:kern w:val="0"/>
              </w:rPr>
              <w:t>联系人</w:t>
            </w:r>
          </w:p>
        </w:tc>
        <w:tc>
          <w:tcPr>
            <w:tcW w:w="2307" w:type="dxa"/>
            <w:gridSpan w:val="3"/>
            <w:tcBorders>
              <w:top w:val="single" w:color="000000" w:sz="4" w:space="0"/>
              <w:left w:val="single" w:color="000000" w:sz="4" w:space="0"/>
              <w:bottom w:val="single" w:color="000000" w:sz="4" w:space="0"/>
              <w:right w:val="single" w:color="000000" w:sz="4" w:space="0"/>
            </w:tcBorders>
            <w:noWrap w:val="0"/>
            <w:vAlign w:val="center"/>
          </w:tcPr>
          <w:p w14:paraId="5C8980AB">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14:paraId="284DED3F">
            <w:pPr>
              <w:autoSpaceDE w:val="0"/>
              <w:autoSpaceDN w:val="0"/>
              <w:adjustRightInd w:val="0"/>
              <w:snapToGrid w:val="0"/>
              <w:jc w:val="center"/>
              <w:rPr>
                <w:rFonts w:ascii="Times New Roman" w:hAnsi="Times New Roman"/>
                <w:kern w:val="0"/>
              </w:rPr>
            </w:pPr>
            <w:r>
              <w:rPr>
                <w:rFonts w:ascii="Times New Roman" w:hAnsi="Times New Roman"/>
                <w:kern w:val="0"/>
              </w:rPr>
              <w:t xml:space="preserve">电 </w:t>
            </w:r>
            <w:r>
              <w:rPr>
                <w:rFonts w:ascii="Times New Roman" w:hAnsi="Times New Roman"/>
                <w:spacing w:val="1"/>
                <w:kern w:val="0"/>
              </w:rPr>
              <w:t xml:space="preserve"> </w:t>
            </w:r>
            <w:r>
              <w:rPr>
                <w:rFonts w:ascii="Times New Roman" w:hAnsi="Times New Roman"/>
                <w:kern w:val="0"/>
              </w:rPr>
              <w:t>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18A9B325">
            <w:pPr>
              <w:autoSpaceDE w:val="0"/>
              <w:autoSpaceDN w:val="0"/>
              <w:adjustRightInd w:val="0"/>
              <w:snapToGrid w:val="0"/>
              <w:jc w:val="center"/>
              <w:rPr>
                <w:rFonts w:ascii="Times New Roman" w:hAnsi="Times New Roman"/>
                <w:kern w:val="0"/>
              </w:rPr>
            </w:pPr>
          </w:p>
        </w:tc>
      </w:tr>
      <w:tr w14:paraId="765572A0">
        <w:tblPrEx>
          <w:tblCellMar>
            <w:top w:w="0" w:type="dxa"/>
            <w:left w:w="0" w:type="dxa"/>
            <w:bottom w:w="0" w:type="dxa"/>
            <w:right w:w="0" w:type="dxa"/>
          </w:tblCellMar>
        </w:tblPrEx>
        <w:trPr>
          <w:wBefore w:w="0" w:type="dxa"/>
          <w:wAfter w:w="0" w:type="dxa"/>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8E2BFD">
            <w:pPr>
              <w:widowControl/>
              <w:adjustRightInd w:val="0"/>
              <w:snapToGrid w:val="0"/>
              <w:jc w:val="left"/>
              <w:rPr>
                <w:rFonts w:ascii="Times New Roman" w:hAnsi="Times New Roman"/>
                <w:kern w:val="0"/>
              </w:rPr>
            </w:pP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0983BD5E">
            <w:pPr>
              <w:tabs>
                <w:tab w:val="left" w:pos="540"/>
              </w:tabs>
              <w:autoSpaceDE w:val="0"/>
              <w:autoSpaceDN w:val="0"/>
              <w:adjustRightInd w:val="0"/>
              <w:snapToGrid w:val="0"/>
              <w:jc w:val="center"/>
              <w:rPr>
                <w:rFonts w:ascii="Times New Roman" w:hAnsi="Times New Roman"/>
                <w:kern w:val="0"/>
              </w:rPr>
            </w:pPr>
            <w:r>
              <w:rPr>
                <w:rFonts w:ascii="Times New Roman" w:hAnsi="Times New Roman"/>
                <w:kern w:val="0"/>
              </w:rPr>
              <w:t>传  真</w:t>
            </w:r>
          </w:p>
        </w:tc>
        <w:tc>
          <w:tcPr>
            <w:tcW w:w="2307" w:type="dxa"/>
            <w:gridSpan w:val="3"/>
            <w:tcBorders>
              <w:top w:val="single" w:color="000000" w:sz="4" w:space="0"/>
              <w:left w:val="single" w:color="000000" w:sz="4" w:space="0"/>
              <w:bottom w:val="single" w:color="000000" w:sz="4" w:space="0"/>
              <w:right w:val="single" w:color="000000" w:sz="4" w:space="0"/>
            </w:tcBorders>
            <w:noWrap w:val="0"/>
            <w:vAlign w:val="center"/>
          </w:tcPr>
          <w:p w14:paraId="75AFFA2B">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14:paraId="40530AFA">
            <w:pPr>
              <w:autoSpaceDE w:val="0"/>
              <w:autoSpaceDN w:val="0"/>
              <w:adjustRightInd w:val="0"/>
              <w:snapToGrid w:val="0"/>
              <w:jc w:val="center"/>
              <w:rPr>
                <w:rFonts w:ascii="Times New Roman" w:hAnsi="Times New Roman"/>
                <w:kern w:val="0"/>
              </w:rPr>
            </w:pPr>
            <w:r>
              <w:rPr>
                <w:rFonts w:ascii="Times New Roman" w:hAnsi="Times New Roman"/>
                <w:kern w:val="0"/>
              </w:rPr>
              <w:t>电子邮件</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70C1E71A">
            <w:pPr>
              <w:autoSpaceDE w:val="0"/>
              <w:autoSpaceDN w:val="0"/>
              <w:adjustRightInd w:val="0"/>
              <w:snapToGrid w:val="0"/>
              <w:jc w:val="center"/>
              <w:rPr>
                <w:rFonts w:ascii="Times New Roman" w:hAnsi="Times New Roman"/>
                <w:kern w:val="0"/>
              </w:rPr>
            </w:pPr>
          </w:p>
        </w:tc>
      </w:tr>
      <w:tr w14:paraId="5D2D458D">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3D6AED4F">
            <w:pPr>
              <w:autoSpaceDE w:val="0"/>
              <w:autoSpaceDN w:val="0"/>
              <w:adjustRightInd w:val="0"/>
              <w:snapToGrid w:val="0"/>
              <w:jc w:val="center"/>
              <w:rPr>
                <w:rFonts w:ascii="Times New Roman" w:hAnsi="Times New Roman"/>
                <w:kern w:val="0"/>
              </w:rPr>
            </w:pPr>
            <w:r>
              <w:rPr>
                <w:rFonts w:ascii="Times New Roman" w:hAnsi="Times New Roman"/>
                <w:kern w:val="0"/>
              </w:rPr>
              <w:t>法定代表人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3A1236D8">
            <w:pPr>
              <w:autoSpaceDE w:val="0"/>
              <w:autoSpaceDN w:val="0"/>
              <w:adjustRightInd w:val="0"/>
              <w:snapToGrid w:val="0"/>
              <w:jc w:val="center"/>
              <w:rPr>
                <w:rFonts w:ascii="Times New Roman" w:hAnsi="Times New Roman"/>
                <w:kern w:val="0"/>
              </w:rPr>
            </w:pPr>
            <w:r>
              <w:rPr>
                <w:rFonts w:ascii="Times New Roman" w:hAnsi="Times New Roman"/>
                <w:kern w:val="0"/>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939A6A4">
            <w:pPr>
              <w:autoSpaceDE w:val="0"/>
              <w:autoSpaceDN w:val="0"/>
              <w:adjustRightInd w:val="0"/>
              <w:snapToGrid w:val="0"/>
              <w:jc w:val="center"/>
              <w:rPr>
                <w:rFonts w:ascii="Times New Roman" w:hAnsi="Times New Roman"/>
                <w:kern w:val="0"/>
              </w:rPr>
            </w:pPr>
          </w:p>
        </w:tc>
        <w:tc>
          <w:tcPr>
            <w:tcW w:w="1390" w:type="dxa"/>
            <w:gridSpan w:val="3"/>
            <w:tcBorders>
              <w:top w:val="single" w:color="000000" w:sz="4" w:space="0"/>
              <w:left w:val="single" w:color="000000" w:sz="4" w:space="0"/>
              <w:bottom w:val="single" w:color="000000" w:sz="4" w:space="0"/>
              <w:right w:val="single" w:color="000000" w:sz="4" w:space="0"/>
            </w:tcBorders>
            <w:noWrap w:val="0"/>
            <w:vAlign w:val="center"/>
          </w:tcPr>
          <w:p w14:paraId="490C35FC">
            <w:pPr>
              <w:autoSpaceDE w:val="0"/>
              <w:autoSpaceDN w:val="0"/>
              <w:adjustRightInd w:val="0"/>
              <w:snapToGrid w:val="0"/>
              <w:jc w:val="center"/>
              <w:rPr>
                <w:rFonts w:ascii="Times New Roman" w:hAnsi="Times New Roman"/>
                <w:kern w:val="0"/>
              </w:rPr>
            </w:pPr>
            <w:r>
              <w:rPr>
                <w:rFonts w:ascii="Times New Roman" w:hAnsi="Times New Roman"/>
                <w:kern w:val="0"/>
              </w:rPr>
              <w:t>技术职称</w:t>
            </w:r>
          </w:p>
        </w:tc>
        <w:tc>
          <w:tcPr>
            <w:tcW w:w="1750" w:type="dxa"/>
            <w:gridSpan w:val="2"/>
            <w:tcBorders>
              <w:top w:val="single" w:color="000000" w:sz="4" w:space="0"/>
              <w:left w:val="single" w:color="000000" w:sz="4" w:space="0"/>
              <w:bottom w:val="single" w:color="000000" w:sz="4" w:space="0"/>
              <w:right w:val="single" w:color="000000" w:sz="4" w:space="0"/>
            </w:tcBorders>
            <w:noWrap w:val="0"/>
            <w:vAlign w:val="center"/>
          </w:tcPr>
          <w:p w14:paraId="0BF9BA00">
            <w:pPr>
              <w:autoSpaceDE w:val="0"/>
              <w:autoSpaceDN w:val="0"/>
              <w:adjustRightInd w:val="0"/>
              <w:snapToGrid w:val="0"/>
              <w:jc w:val="center"/>
              <w:rPr>
                <w:rFonts w:ascii="Times New Roman" w:hAnsi="Times New Roman"/>
                <w:kern w:val="0"/>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5FDF96CD">
            <w:pPr>
              <w:autoSpaceDE w:val="0"/>
              <w:autoSpaceDN w:val="0"/>
              <w:adjustRightInd w:val="0"/>
              <w:snapToGrid w:val="0"/>
              <w:jc w:val="center"/>
              <w:rPr>
                <w:rFonts w:ascii="Times New Roman" w:hAnsi="Times New Roman"/>
                <w:kern w:val="0"/>
              </w:rPr>
            </w:pPr>
            <w:r>
              <w:rPr>
                <w:rFonts w:ascii="Times New Roman" w:hAnsi="Times New Roman"/>
                <w:kern w:val="0"/>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FC83301">
            <w:pPr>
              <w:autoSpaceDE w:val="0"/>
              <w:autoSpaceDN w:val="0"/>
              <w:adjustRightInd w:val="0"/>
              <w:snapToGrid w:val="0"/>
              <w:jc w:val="center"/>
              <w:rPr>
                <w:rFonts w:ascii="Times New Roman" w:hAnsi="Times New Roman"/>
                <w:kern w:val="0"/>
              </w:rPr>
            </w:pPr>
          </w:p>
        </w:tc>
      </w:tr>
      <w:tr w14:paraId="0890F6AD">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359FF131">
            <w:pPr>
              <w:autoSpaceDE w:val="0"/>
              <w:autoSpaceDN w:val="0"/>
              <w:adjustRightInd w:val="0"/>
              <w:snapToGrid w:val="0"/>
              <w:jc w:val="center"/>
              <w:rPr>
                <w:rFonts w:ascii="Times New Roman" w:hAnsi="Times New Roman"/>
                <w:kern w:val="0"/>
              </w:rPr>
            </w:pPr>
            <w:r>
              <w:rPr>
                <w:rFonts w:ascii="Times New Roman" w:hAnsi="Times New Roman"/>
                <w:kern w:val="0"/>
              </w:rPr>
              <w:t>技术负责人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6E50D6AA">
            <w:pPr>
              <w:autoSpaceDE w:val="0"/>
              <w:autoSpaceDN w:val="0"/>
              <w:adjustRightInd w:val="0"/>
              <w:snapToGrid w:val="0"/>
              <w:jc w:val="center"/>
              <w:rPr>
                <w:rFonts w:ascii="Times New Roman" w:hAnsi="Times New Roman"/>
                <w:kern w:val="0"/>
              </w:rPr>
            </w:pPr>
            <w:r>
              <w:rPr>
                <w:rFonts w:ascii="Times New Roman" w:hAnsi="Times New Roman"/>
                <w:kern w:val="0"/>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286CFE6">
            <w:pPr>
              <w:autoSpaceDE w:val="0"/>
              <w:autoSpaceDN w:val="0"/>
              <w:adjustRightInd w:val="0"/>
              <w:snapToGrid w:val="0"/>
              <w:jc w:val="center"/>
              <w:rPr>
                <w:rFonts w:ascii="Times New Roman" w:hAnsi="Times New Roman"/>
                <w:kern w:val="0"/>
              </w:rPr>
            </w:pPr>
          </w:p>
        </w:tc>
        <w:tc>
          <w:tcPr>
            <w:tcW w:w="1390" w:type="dxa"/>
            <w:gridSpan w:val="3"/>
            <w:tcBorders>
              <w:top w:val="single" w:color="000000" w:sz="4" w:space="0"/>
              <w:left w:val="single" w:color="000000" w:sz="4" w:space="0"/>
              <w:bottom w:val="single" w:color="000000" w:sz="4" w:space="0"/>
              <w:right w:val="single" w:color="000000" w:sz="4" w:space="0"/>
            </w:tcBorders>
            <w:noWrap w:val="0"/>
            <w:vAlign w:val="center"/>
          </w:tcPr>
          <w:p w14:paraId="09DE87C0">
            <w:pPr>
              <w:autoSpaceDE w:val="0"/>
              <w:autoSpaceDN w:val="0"/>
              <w:adjustRightInd w:val="0"/>
              <w:snapToGrid w:val="0"/>
              <w:jc w:val="center"/>
              <w:rPr>
                <w:rFonts w:ascii="Times New Roman" w:hAnsi="Times New Roman"/>
                <w:kern w:val="0"/>
              </w:rPr>
            </w:pPr>
            <w:r>
              <w:rPr>
                <w:rFonts w:ascii="Times New Roman" w:hAnsi="Times New Roman"/>
                <w:kern w:val="0"/>
              </w:rPr>
              <w:t>技术职称</w:t>
            </w:r>
          </w:p>
        </w:tc>
        <w:tc>
          <w:tcPr>
            <w:tcW w:w="1750" w:type="dxa"/>
            <w:gridSpan w:val="2"/>
            <w:tcBorders>
              <w:top w:val="single" w:color="000000" w:sz="4" w:space="0"/>
              <w:left w:val="single" w:color="000000" w:sz="4" w:space="0"/>
              <w:bottom w:val="single" w:color="000000" w:sz="4" w:space="0"/>
              <w:right w:val="single" w:color="000000" w:sz="4" w:space="0"/>
            </w:tcBorders>
            <w:noWrap w:val="0"/>
            <w:vAlign w:val="center"/>
          </w:tcPr>
          <w:p w14:paraId="6A5CD5F2">
            <w:pPr>
              <w:autoSpaceDE w:val="0"/>
              <w:autoSpaceDN w:val="0"/>
              <w:adjustRightInd w:val="0"/>
              <w:snapToGrid w:val="0"/>
              <w:jc w:val="center"/>
              <w:rPr>
                <w:rFonts w:ascii="Times New Roman" w:hAnsi="Times New Roman"/>
                <w:kern w:val="0"/>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3DDC187A">
            <w:pPr>
              <w:autoSpaceDE w:val="0"/>
              <w:autoSpaceDN w:val="0"/>
              <w:adjustRightInd w:val="0"/>
              <w:snapToGrid w:val="0"/>
              <w:jc w:val="center"/>
              <w:rPr>
                <w:rFonts w:ascii="Times New Roman" w:hAnsi="Times New Roman"/>
                <w:kern w:val="0"/>
              </w:rPr>
            </w:pPr>
            <w:r>
              <w:rPr>
                <w:rFonts w:ascii="Times New Roman" w:hAnsi="Times New Roman"/>
                <w:kern w:val="0"/>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91D44B1">
            <w:pPr>
              <w:autoSpaceDE w:val="0"/>
              <w:autoSpaceDN w:val="0"/>
              <w:adjustRightInd w:val="0"/>
              <w:snapToGrid w:val="0"/>
              <w:jc w:val="center"/>
              <w:rPr>
                <w:rFonts w:ascii="Times New Roman" w:hAnsi="Times New Roman"/>
                <w:kern w:val="0"/>
              </w:rPr>
            </w:pPr>
          </w:p>
        </w:tc>
      </w:tr>
      <w:tr w14:paraId="65B0283A">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296738F3">
            <w:pPr>
              <w:autoSpaceDE w:val="0"/>
              <w:autoSpaceDN w:val="0"/>
              <w:adjustRightInd w:val="0"/>
              <w:snapToGrid w:val="0"/>
              <w:jc w:val="center"/>
              <w:rPr>
                <w:rFonts w:ascii="Times New Roman" w:hAnsi="Times New Roman"/>
                <w:kern w:val="0"/>
              </w:rPr>
            </w:pPr>
            <w:r>
              <w:rPr>
                <w:rFonts w:ascii="Times New Roman" w:hAnsi="Times New Roman"/>
                <w:kern w:val="0"/>
              </w:rPr>
              <w:t>成立时间</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04D5C02E">
            <w:pPr>
              <w:autoSpaceDE w:val="0"/>
              <w:autoSpaceDN w:val="0"/>
              <w:adjustRightInd w:val="0"/>
              <w:snapToGrid w:val="0"/>
              <w:jc w:val="center"/>
              <w:rPr>
                <w:rFonts w:ascii="Times New Roman" w:hAnsi="Times New Roman"/>
                <w:kern w:val="0"/>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center"/>
          </w:tcPr>
          <w:p w14:paraId="2FCCA3F3">
            <w:pPr>
              <w:autoSpaceDE w:val="0"/>
              <w:autoSpaceDN w:val="0"/>
              <w:adjustRightInd w:val="0"/>
              <w:snapToGrid w:val="0"/>
              <w:jc w:val="center"/>
              <w:rPr>
                <w:rFonts w:ascii="Times New Roman" w:hAnsi="Times New Roman"/>
                <w:kern w:val="0"/>
              </w:rPr>
            </w:pPr>
            <w:r>
              <w:rPr>
                <w:rFonts w:ascii="Times New Roman" w:hAnsi="Times New Roman"/>
                <w:kern w:val="0"/>
              </w:rPr>
              <w:t>员工总人数：</w:t>
            </w:r>
          </w:p>
        </w:tc>
      </w:tr>
      <w:tr w14:paraId="198A47BD">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4A5620D">
            <w:pPr>
              <w:autoSpaceDE w:val="0"/>
              <w:autoSpaceDN w:val="0"/>
              <w:adjustRightInd w:val="0"/>
              <w:snapToGrid w:val="0"/>
              <w:jc w:val="center"/>
              <w:rPr>
                <w:rFonts w:ascii="Times New Roman" w:hAnsi="Times New Roman"/>
                <w:kern w:val="0"/>
              </w:rPr>
            </w:pPr>
            <w:r>
              <w:rPr>
                <w:rFonts w:ascii="Times New Roman" w:hAnsi="Times New Roman"/>
                <w:kern w:val="0"/>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6915504C">
            <w:pPr>
              <w:autoSpaceDE w:val="0"/>
              <w:autoSpaceDN w:val="0"/>
              <w:adjustRightInd w:val="0"/>
              <w:snapToGrid w:val="0"/>
              <w:jc w:val="center"/>
              <w:rPr>
                <w:rFonts w:ascii="Times New Roman" w:hAnsi="Times New Roman"/>
                <w:kern w:val="0"/>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4161AF1">
            <w:pPr>
              <w:autoSpaceDE w:val="0"/>
              <w:autoSpaceDN w:val="0"/>
              <w:adjustRightInd w:val="0"/>
              <w:snapToGrid w:val="0"/>
              <w:jc w:val="center"/>
              <w:rPr>
                <w:rFonts w:ascii="Times New Roman" w:hAnsi="Times New Roman"/>
                <w:kern w:val="0"/>
              </w:rPr>
            </w:pPr>
            <w:r>
              <w:rPr>
                <w:rFonts w:ascii="Times New Roman" w:hAnsi="Times New Roman"/>
                <w:kern w:val="0"/>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6B726A44">
            <w:pPr>
              <w:autoSpaceDE w:val="0"/>
              <w:autoSpaceDN w:val="0"/>
              <w:adjustRightInd w:val="0"/>
              <w:snapToGrid w:val="0"/>
              <w:jc w:val="center"/>
              <w:rPr>
                <w:rFonts w:ascii="Times New Roman" w:hAnsi="Times New Roman"/>
                <w:kern w:val="0"/>
              </w:rPr>
            </w:pPr>
            <w:r>
              <w:rPr>
                <w:rFonts w:ascii="Times New Roman" w:hAnsi="Times New Roman"/>
                <w:kern w:val="0"/>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66A3F261">
            <w:pPr>
              <w:autoSpaceDE w:val="0"/>
              <w:autoSpaceDN w:val="0"/>
              <w:adjustRightInd w:val="0"/>
              <w:snapToGrid w:val="0"/>
              <w:jc w:val="center"/>
              <w:rPr>
                <w:rFonts w:ascii="Times New Roman" w:hAnsi="Times New Roman"/>
                <w:kern w:val="0"/>
              </w:rPr>
            </w:pPr>
          </w:p>
        </w:tc>
      </w:tr>
      <w:tr w14:paraId="25A2C72B">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3C6CD7BC">
            <w:pPr>
              <w:autoSpaceDE w:val="0"/>
              <w:autoSpaceDN w:val="0"/>
              <w:adjustRightInd w:val="0"/>
              <w:snapToGrid w:val="0"/>
              <w:jc w:val="center"/>
              <w:rPr>
                <w:rFonts w:ascii="Times New Roman" w:hAnsi="Times New Roman"/>
                <w:kern w:val="0"/>
              </w:rPr>
            </w:pPr>
            <w:r>
              <w:rPr>
                <w:rFonts w:ascii="Times New Roman" w:hAnsi="Times New Roman"/>
                <w:kern w:val="0"/>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49D63E00">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5060F4">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394FF210">
            <w:pPr>
              <w:autoSpaceDE w:val="0"/>
              <w:autoSpaceDN w:val="0"/>
              <w:adjustRightInd w:val="0"/>
              <w:snapToGrid w:val="0"/>
              <w:jc w:val="center"/>
              <w:rPr>
                <w:rFonts w:ascii="Times New Roman" w:hAnsi="Times New Roman"/>
                <w:kern w:val="0"/>
              </w:rPr>
            </w:pPr>
            <w:r>
              <w:rPr>
                <w:rFonts w:ascii="Times New Roman" w:hAnsi="Times New Roman"/>
                <w:kern w:val="0"/>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4F0E51BB">
            <w:pPr>
              <w:autoSpaceDE w:val="0"/>
              <w:autoSpaceDN w:val="0"/>
              <w:adjustRightInd w:val="0"/>
              <w:snapToGrid w:val="0"/>
              <w:jc w:val="center"/>
              <w:rPr>
                <w:rFonts w:ascii="Times New Roman" w:hAnsi="Times New Roman"/>
                <w:kern w:val="0"/>
              </w:rPr>
            </w:pPr>
          </w:p>
        </w:tc>
      </w:tr>
      <w:tr w14:paraId="11E9F10F">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0E6E5509">
            <w:pPr>
              <w:autoSpaceDE w:val="0"/>
              <w:autoSpaceDN w:val="0"/>
              <w:adjustRightInd w:val="0"/>
              <w:snapToGrid w:val="0"/>
              <w:jc w:val="center"/>
              <w:rPr>
                <w:rFonts w:ascii="Times New Roman" w:hAnsi="Times New Roman"/>
                <w:kern w:val="0"/>
              </w:rPr>
            </w:pPr>
            <w:r>
              <w:rPr>
                <w:rFonts w:ascii="Times New Roman" w:hAnsi="Times New Roman"/>
                <w:kern w:val="0"/>
              </w:rPr>
              <w:t>注册资本</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24C546E7">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E79AC2">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387C45AF">
            <w:pPr>
              <w:autoSpaceDE w:val="0"/>
              <w:autoSpaceDN w:val="0"/>
              <w:adjustRightInd w:val="0"/>
              <w:snapToGrid w:val="0"/>
              <w:jc w:val="center"/>
              <w:rPr>
                <w:rFonts w:ascii="Times New Roman" w:hAnsi="Times New Roman"/>
                <w:kern w:val="0"/>
              </w:rPr>
            </w:pPr>
            <w:r>
              <w:rPr>
                <w:rFonts w:ascii="Times New Roman" w:hAnsi="Times New Roman"/>
                <w:kern w:val="0"/>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02C2991C">
            <w:pPr>
              <w:autoSpaceDE w:val="0"/>
              <w:autoSpaceDN w:val="0"/>
              <w:adjustRightInd w:val="0"/>
              <w:snapToGrid w:val="0"/>
              <w:jc w:val="center"/>
              <w:rPr>
                <w:rFonts w:ascii="Times New Roman" w:hAnsi="Times New Roman"/>
                <w:kern w:val="0"/>
              </w:rPr>
            </w:pPr>
          </w:p>
        </w:tc>
      </w:tr>
      <w:tr w14:paraId="7EB47636">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8472C0C">
            <w:pPr>
              <w:autoSpaceDE w:val="0"/>
              <w:autoSpaceDN w:val="0"/>
              <w:adjustRightInd w:val="0"/>
              <w:snapToGrid w:val="0"/>
              <w:jc w:val="center"/>
              <w:rPr>
                <w:rFonts w:ascii="Times New Roman" w:hAnsi="Times New Roman"/>
                <w:kern w:val="0"/>
              </w:rPr>
            </w:pPr>
            <w:r>
              <w:rPr>
                <w:rFonts w:ascii="Times New Roman" w:hAnsi="Times New Roman"/>
                <w:kern w:val="0"/>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0238E288">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CFA9CF">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6CCCD1D7">
            <w:pPr>
              <w:autoSpaceDE w:val="0"/>
              <w:autoSpaceDN w:val="0"/>
              <w:adjustRightInd w:val="0"/>
              <w:snapToGrid w:val="0"/>
              <w:jc w:val="center"/>
              <w:rPr>
                <w:rFonts w:ascii="Times New Roman" w:hAnsi="Times New Roman"/>
                <w:kern w:val="0"/>
              </w:rPr>
            </w:pPr>
            <w:r>
              <w:rPr>
                <w:rFonts w:ascii="Times New Roman" w:hAnsi="Times New Roman"/>
                <w:kern w:val="0"/>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71EB557B">
            <w:pPr>
              <w:autoSpaceDE w:val="0"/>
              <w:autoSpaceDN w:val="0"/>
              <w:adjustRightInd w:val="0"/>
              <w:snapToGrid w:val="0"/>
              <w:jc w:val="center"/>
              <w:rPr>
                <w:rFonts w:ascii="Times New Roman" w:hAnsi="Times New Roman"/>
                <w:kern w:val="0"/>
              </w:rPr>
            </w:pPr>
          </w:p>
        </w:tc>
      </w:tr>
      <w:tr w14:paraId="159864F6">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7668CC1E">
            <w:pPr>
              <w:autoSpaceDE w:val="0"/>
              <w:autoSpaceDN w:val="0"/>
              <w:adjustRightInd w:val="0"/>
              <w:snapToGrid w:val="0"/>
              <w:jc w:val="center"/>
              <w:rPr>
                <w:rFonts w:ascii="Times New Roman" w:hAnsi="Times New Roman"/>
                <w:kern w:val="0"/>
              </w:rPr>
            </w:pPr>
            <w:r>
              <w:rPr>
                <w:rFonts w:ascii="Times New Roman" w:hAnsi="Times New Roman"/>
                <w:kern w:val="0"/>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3290A253">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376DE3">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682D71CC">
            <w:pPr>
              <w:autoSpaceDE w:val="0"/>
              <w:autoSpaceDN w:val="0"/>
              <w:adjustRightInd w:val="0"/>
              <w:snapToGrid w:val="0"/>
              <w:jc w:val="center"/>
              <w:rPr>
                <w:rFonts w:ascii="Times New Roman" w:hAnsi="Times New Roman"/>
                <w:kern w:val="0"/>
              </w:rPr>
            </w:pPr>
            <w:r>
              <w:rPr>
                <w:rFonts w:ascii="Times New Roman" w:hAnsi="Times New Roman"/>
                <w:kern w:val="0"/>
              </w:rPr>
              <w:t>其他人员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1FBD6331">
            <w:pPr>
              <w:autoSpaceDE w:val="0"/>
              <w:autoSpaceDN w:val="0"/>
              <w:adjustRightInd w:val="0"/>
              <w:snapToGrid w:val="0"/>
              <w:jc w:val="center"/>
              <w:rPr>
                <w:rFonts w:ascii="Times New Roman" w:hAnsi="Times New Roman"/>
                <w:kern w:val="0"/>
              </w:rPr>
            </w:pPr>
          </w:p>
        </w:tc>
      </w:tr>
      <w:tr w14:paraId="178D43FA">
        <w:tblPrEx>
          <w:tblCellMar>
            <w:top w:w="0" w:type="dxa"/>
            <w:left w:w="0" w:type="dxa"/>
            <w:bottom w:w="0" w:type="dxa"/>
            <w:right w:w="0" w:type="dxa"/>
          </w:tblCellMar>
        </w:tblPrEx>
        <w:trPr>
          <w:wBefore w:w="0" w:type="dxa"/>
          <w:wAfter w:w="0" w:type="dxa"/>
          <w:trHeight w:val="1277"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14:paraId="4D3A993F">
            <w:pPr>
              <w:autoSpaceDE w:val="0"/>
              <w:autoSpaceDN w:val="0"/>
              <w:adjustRightInd w:val="0"/>
              <w:snapToGrid w:val="0"/>
              <w:jc w:val="center"/>
              <w:rPr>
                <w:rFonts w:ascii="Times New Roman" w:hAnsi="Times New Roman"/>
                <w:kern w:val="0"/>
              </w:rPr>
            </w:pPr>
            <w:r>
              <w:rPr>
                <w:rFonts w:ascii="Times New Roman" w:hAnsi="Times New Roman"/>
                <w:kern w:val="0"/>
              </w:rPr>
              <w:t>经营范围</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14:paraId="2FD82E8D">
            <w:pPr>
              <w:autoSpaceDE w:val="0"/>
              <w:autoSpaceDN w:val="0"/>
              <w:adjustRightInd w:val="0"/>
              <w:snapToGrid w:val="0"/>
              <w:jc w:val="center"/>
              <w:rPr>
                <w:rFonts w:ascii="Times New Roman" w:hAnsi="Times New Roman"/>
                <w:kern w:val="0"/>
              </w:rPr>
            </w:pPr>
          </w:p>
        </w:tc>
      </w:tr>
      <w:tr w14:paraId="295E6F2C">
        <w:tblPrEx>
          <w:tblCellMar>
            <w:top w:w="0" w:type="dxa"/>
            <w:left w:w="0" w:type="dxa"/>
            <w:bottom w:w="0" w:type="dxa"/>
            <w:right w:w="0" w:type="dxa"/>
          </w:tblCellMar>
        </w:tblPrEx>
        <w:trPr>
          <w:wBefore w:w="0" w:type="dxa"/>
          <w:wAfter w:w="0" w:type="dxa"/>
          <w:trHeight w:val="2121"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14:paraId="4D5F4544">
            <w:pPr>
              <w:autoSpaceDE w:val="0"/>
              <w:autoSpaceDN w:val="0"/>
              <w:adjustRightInd w:val="0"/>
              <w:snapToGrid w:val="0"/>
              <w:jc w:val="center"/>
              <w:rPr>
                <w:rFonts w:ascii="Times New Roman" w:hAnsi="Times New Roman"/>
                <w:kern w:val="0"/>
              </w:rPr>
            </w:pPr>
            <w:r>
              <w:rPr>
                <w:rFonts w:ascii="Times New Roman" w:hAnsi="Times New Roman"/>
                <w:kern w:val="0"/>
              </w:rPr>
              <w:t>投标人关联</w:t>
            </w:r>
          </w:p>
          <w:p w14:paraId="4E833952">
            <w:pPr>
              <w:autoSpaceDE w:val="0"/>
              <w:autoSpaceDN w:val="0"/>
              <w:adjustRightInd w:val="0"/>
              <w:snapToGrid w:val="0"/>
              <w:jc w:val="center"/>
              <w:rPr>
                <w:rFonts w:ascii="Times New Roman" w:hAnsi="Times New Roman"/>
                <w:szCs w:val="21"/>
              </w:rPr>
            </w:pPr>
            <w:r>
              <w:rPr>
                <w:rFonts w:ascii="Times New Roman" w:hAnsi="Times New Roman"/>
                <w:kern w:val="0"/>
              </w:rPr>
              <w:t>企业情况</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14:paraId="2D97F712">
            <w:pPr>
              <w:topLinePunct/>
              <w:ind w:firstLine="420" w:firstLineChars="200"/>
              <w:jc w:val="left"/>
              <w:rPr>
                <w:rFonts w:ascii="Times New Roman" w:hAnsi="Times New Roman"/>
                <w:szCs w:val="21"/>
              </w:rPr>
            </w:pPr>
            <w:r>
              <w:rPr>
                <w:rFonts w:ascii="Times New Roman" w:hAnsi="Times New Roman"/>
                <w:szCs w:val="21"/>
              </w:rPr>
              <w:t>投标人应提供关联企业情况，包括：</w:t>
            </w:r>
          </w:p>
          <w:p w14:paraId="0BAF66E0">
            <w:pPr>
              <w:topLinePunct/>
              <w:ind w:firstLine="420" w:firstLineChars="200"/>
              <w:jc w:val="left"/>
              <w:rPr>
                <w:rFonts w:ascii="Times New Roman" w:hAnsi="Times New Roman"/>
                <w:szCs w:val="21"/>
              </w:rPr>
            </w:pPr>
            <w:r>
              <w:rPr>
                <w:rFonts w:ascii="Times New Roman" w:hAnsi="Times New Roman"/>
                <w:szCs w:val="21"/>
              </w:rPr>
              <w:t>（1）投标人的所有股东名称及相应股权（出资额）比例；如投标人为上市公司，投标人应提供股权占公司股份总数__%以上的所有股东名称及相应股权比例；</w:t>
            </w:r>
          </w:p>
          <w:p w14:paraId="5DF35E41">
            <w:pPr>
              <w:topLinePunct/>
              <w:ind w:firstLine="420" w:firstLineChars="200"/>
              <w:jc w:val="left"/>
              <w:rPr>
                <w:rFonts w:ascii="Times New Roman" w:hAnsi="Times New Roman"/>
                <w:szCs w:val="21"/>
              </w:rPr>
            </w:pPr>
            <w:r>
              <w:rPr>
                <w:rFonts w:ascii="Times New Roman" w:hAnsi="Times New Roman"/>
                <w:szCs w:val="21"/>
              </w:rPr>
              <w:t>（2）投标人投资（控股）或管理的下属企业名称、持有股权（出资额）比例；</w:t>
            </w:r>
          </w:p>
          <w:p w14:paraId="17A02020">
            <w:pPr>
              <w:topLinePunct/>
              <w:ind w:firstLine="420" w:firstLineChars="200"/>
              <w:jc w:val="left"/>
              <w:rPr>
                <w:rFonts w:ascii="Times New Roman" w:hAnsi="Times New Roman"/>
                <w:szCs w:val="21"/>
              </w:rPr>
            </w:pPr>
            <w:r>
              <w:rPr>
                <w:rFonts w:ascii="Times New Roman" w:hAnsi="Times New Roman"/>
                <w:szCs w:val="21"/>
              </w:rPr>
              <w:t>（3）与投标人单位负责人（即法定代表人）为同一人的其他单位名称。</w:t>
            </w:r>
          </w:p>
        </w:tc>
      </w:tr>
      <w:tr w14:paraId="041B0C7E">
        <w:tblPrEx>
          <w:tblCellMar>
            <w:top w:w="0" w:type="dxa"/>
            <w:left w:w="0" w:type="dxa"/>
            <w:bottom w:w="0" w:type="dxa"/>
            <w:right w:w="0" w:type="dxa"/>
          </w:tblCellMar>
        </w:tblPrEx>
        <w:trPr>
          <w:wBefore w:w="0" w:type="dxa"/>
          <w:wAfter w:w="0" w:type="dxa"/>
          <w:trHeight w:val="69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532CF63C">
            <w:pPr>
              <w:autoSpaceDE w:val="0"/>
              <w:autoSpaceDN w:val="0"/>
              <w:adjustRightInd w:val="0"/>
              <w:snapToGrid w:val="0"/>
              <w:jc w:val="center"/>
              <w:rPr>
                <w:rFonts w:ascii="Times New Roman" w:hAnsi="Times New Roman"/>
                <w:kern w:val="0"/>
              </w:rPr>
            </w:pPr>
            <w:r>
              <w:rPr>
                <w:rFonts w:ascii="Times New Roman" w:hAnsi="Times New Roman"/>
                <w:kern w:val="0"/>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14:paraId="6CA5B95B">
            <w:pPr>
              <w:autoSpaceDE w:val="0"/>
              <w:autoSpaceDN w:val="0"/>
              <w:adjustRightInd w:val="0"/>
              <w:snapToGrid w:val="0"/>
              <w:jc w:val="center"/>
              <w:rPr>
                <w:rFonts w:ascii="Times New Roman" w:hAnsi="Times New Roman"/>
                <w:kern w:val="0"/>
              </w:rPr>
            </w:pPr>
          </w:p>
        </w:tc>
      </w:tr>
      <w:bookmarkEnd w:id="463"/>
      <w:bookmarkEnd w:id="464"/>
    </w:tbl>
    <w:p w14:paraId="238F51A2">
      <w:pPr>
        <w:autoSpaceDE w:val="0"/>
        <w:autoSpaceDN w:val="0"/>
        <w:adjustRightInd w:val="0"/>
        <w:spacing w:line="300" w:lineRule="exact"/>
        <w:jc w:val="left"/>
        <w:rPr>
          <w:rFonts w:ascii="Times New Roman" w:hAnsi="Times New Roman"/>
          <w:kern w:val="0"/>
        </w:rPr>
      </w:pPr>
      <w:r>
        <w:rPr>
          <w:rFonts w:ascii="Times New Roman" w:hAnsi="Times New Roman"/>
        </w:rPr>
        <w:t>注：</w:t>
      </w:r>
      <w:r>
        <w:rPr>
          <w:rFonts w:ascii="Times New Roman" w:hAnsi="Times New Roman"/>
          <w:kern w:val="0"/>
          <w:szCs w:val="21"/>
        </w:rPr>
        <w:t>投标人应根据招标文件第二章“投标人须知”前附表附录1的要求在本</w:t>
      </w:r>
      <w:r>
        <w:rPr>
          <w:rFonts w:ascii="Times New Roman" w:hAnsi="Times New Roman"/>
          <w:kern w:val="0"/>
        </w:rPr>
        <w:t>表后附资质证书、营业执照等材料。接受联合体的，联合体成员分别填写。</w:t>
      </w:r>
    </w:p>
    <w:p w14:paraId="5212837A">
      <w:pPr>
        <w:widowControl/>
        <w:jc w:val="left"/>
        <w:rPr>
          <w:rFonts w:ascii="Times New Roman" w:hAnsi="Times New Roman"/>
        </w:rPr>
      </w:pPr>
      <w:r>
        <w:rPr>
          <w:rFonts w:ascii="Times New Roman" w:hAnsi="Times New Roman"/>
        </w:rPr>
        <w:br w:type="page"/>
      </w:r>
    </w:p>
    <w:p w14:paraId="4FE08850">
      <w:pPr>
        <w:widowControl/>
        <w:jc w:val="center"/>
        <w:rPr>
          <w:rFonts w:ascii="Times New Roman" w:hAnsi="Times New Roman" w:eastAsia="黑体"/>
          <w:sz w:val="24"/>
          <w:szCs w:val="24"/>
        </w:rPr>
      </w:pPr>
      <w:r>
        <w:rPr>
          <w:rFonts w:ascii="Times New Roman" w:hAnsi="Times New Roman" w:eastAsia="黑体"/>
          <w:sz w:val="24"/>
          <w:szCs w:val="24"/>
        </w:rPr>
        <w:t>（二）投标人近年完成的类似项目情况表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1E16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B6231D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D41F14F">
            <w:pPr>
              <w:autoSpaceDE w:val="0"/>
              <w:autoSpaceDN w:val="0"/>
              <w:adjustRightInd w:val="0"/>
              <w:spacing w:line="300" w:lineRule="exact"/>
              <w:jc w:val="center"/>
              <w:rPr>
                <w:rFonts w:ascii="Times New Roman" w:hAnsi="Times New Roman"/>
                <w:kern w:val="0"/>
                <w:szCs w:val="21"/>
              </w:rPr>
            </w:pPr>
          </w:p>
        </w:tc>
      </w:tr>
      <w:tr w14:paraId="0927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202ECFA">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8FB3982">
            <w:pPr>
              <w:autoSpaceDE w:val="0"/>
              <w:autoSpaceDN w:val="0"/>
              <w:adjustRightInd w:val="0"/>
              <w:spacing w:line="300" w:lineRule="exact"/>
              <w:jc w:val="center"/>
              <w:rPr>
                <w:rFonts w:ascii="Times New Roman" w:hAnsi="Times New Roman"/>
                <w:kern w:val="0"/>
                <w:szCs w:val="21"/>
              </w:rPr>
            </w:pPr>
          </w:p>
        </w:tc>
      </w:tr>
      <w:tr w14:paraId="2A7A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65BEB2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0AB07C3">
            <w:pPr>
              <w:autoSpaceDE w:val="0"/>
              <w:autoSpaceDN w:val="0"/>
              <w:adjustRightInd w:val="0"/>
              <w:spacing w:line="300" w:lineRule="exact"/>
              <w:jc w:val="center"/>
              <w:rPr>
                <w:rFonts w:ascii="Times New Roman" w:hAnsi="Times New Roman"/>
                <w:kern w:val="0"/>
                <w:szCs w:val="21"/>
              </w:rPr>
            </w:pPr>
          </w:p>
        </w:tc>
      </w:tr>
      <w:tr w14:paraId="4305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DE6138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CCF26A1">
            <w:pPr>
              <w:autoSpaceDE w:val="0"/>
              <w:autoSpaceDN w:val="0"/>
              <w:adjustRightInd w:val="0"/>
              <w:spacing w:line="300" w:lineRule="exact"/>
              <w:jc w:val="center"/>
              <w:rPr>
                <w:rFonts w:ascii="Times New Roman" w:hAnsi="Times New Roman"/>
                <w:kern w:val="0"/>
                <w:szCs w:val="21"/>
              </w:rPr>
            </w:pPr>
          </w:p>
        </w:tc>
      </w:tr>
      <w:tr w14:paraId="7AE7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13C41B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D469EBE">
            <w:pPr>
              <w:autoSpaceDE w:val="0"/>
              <w:autoSpaceDN w:val="0"/>
              <w:adjustRightInd w:val="0"/>
              <w:spacing w:line="300" w:lineRule="exact"/>
              <w:jc w:val="center"/>
              <w:rPr>
                <w:rFonts w:ascii="Times New Roman" w:hAnsi="Times New Roman"/>
                <w:kern w:val="0"/>
                <w:szCs w:val="21"/>
              </w:rPr>
            </w:pPr>
          </w:p>
        </w:tc>
      </w:tr>
      <w:tr w14:paraId="48AD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F2C8849">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1612300">
            <w:pPr>
              <w:autoSpaceDE w:val="0"/>
              <w:autoSpaceDN w:val="0"/>
              <w:adjustRightInd w:val="0"/>
              <w:spacing w:line="300" w:lineRule="exact"/>
              <w:jc w:val="center"/>
              <w:rPr>
                <w:rFonts w:ascii="Times New Roman" w:hAnsi="Times New Roman"/>
                <w:kern w:val="0"/>
                <w:szCs w:val="21"/>
              </w:rPr>
            </w:pPr>
          </w:p>
        </w:tc>
      </w:tr>
      <w:tr w14:paraId="60DC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7547D71">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7AD722F">
            <w:pPr>
              <w:autoSpaceDE w:val="0"/>
              <w:autoSpaceDN w:val="0"/>
              <w:adjustRightInd w:val="0"/>
              <w:spacing w:line="300" w:lineRule="exact"/>
              <w:jc w:val="center"/>
              <w:rPr>
                <w:rFonts w:ascii="Times New Roman" w:hAnsi="Times New Roman"/>
                <w:kern w:val="0"/>
                <w:szCs w:val="21"/>
              </w:rPr>
            </w:pPr>
          </w:p>
        </w:tc>
      </w:tr>
      <w:tr w14:paraId="0BF8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14D7D59">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5D9A5E9">
            <w:pPr>
              <w:autoSpaceDE w:val="0"/>
              <w:autoSpaceDN w:val="0"/>
              <w:adjustRightInd w:val="0"/>
              <w:spacing w:line="300" w:lineRule="exact"/>
              <w:jc w:val="center"/>
              <w:rPr>
                <w:rFonts w:ascii="Times New Roman" w:hAnsi="Times New Roman"/>
                <w:kern w:val="0"/>
                <w:szCs w:val="21"/>
              </w:rPr>
            </w:pPr>
          </w:p>
        </w:tc>
      </w:tr>
      <w:tr w14:paraId="5B5B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6C7C8A9">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90A46E6">
            <w:pPr>
              <w:autoSpaceDE w:val="0"/>
              <w:autoSpaceDN w:val="0"/>
              <w:adjustRightInd w:val="0"/>
              <w:spacing w:line="300" w:lineRule="exact"/>
              <w:jc w:val="center"/>
              <w:rPr>
                <w:rFonts w:ascii="Times New Roman" w:hAnsi="Times New Roman"/>
                <w:kern w:val="0"/>
                <w:szCs w:val="21"/>
              </w:rPr>
            </w:pPr>
          </w:p>
        </w:tc>
      </w:tr>
      <w:tr w14:paraId="4048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CDB1FEF">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88C06C1">
            <w:pPr>
              <w:autoSpaceDE w:val="0"/>
              <w:autoSpaceDN w:val="0"/>
              <w:adjustRightInd w:val="0"/>
              <w:spacing w:line="300" w:lineRule="exact"/>
              <w:jc w:val="center"/>
              <w:rPr>
                <w:rFonts w:ascii="Times New Roman" w:hAnsi="Times New Roman"/>
                <w:kern w:val="0"/>
                <w:szCs w:val="21"/>
              </w:rPr>
            </w:pPr>
          </w:p>
        </w:tc>
      </w:tr>
      <w:tr w14:paraId="1828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00916EA">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E248440">
            <w:pPr>
              <w:autoSpaceDE w:val="0"/>
              <w:autoSpaceDN w:val="0"/>
              <w:adjustRightInd w:val="0"/>
              <w:spacing w:line="300" w:lineRule="exact"/>
              <w:jc w:val="center"/>
              <w:rPr>
                <w:rFonts w:ascii="Times New Roman" w:hAnsi="Times New Roman"/>
                <w:kern w:val="0"/>
                <w:szCs w:val="21"/>
              </w:rPr>
            </w:pPr>
          </w:p>
        </w:tc>
      </w:tr>
      <w:tr w14:paraId="5402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4491EA8">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1805D9C">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1F48D67A">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注：投标人应根据招标文件第二章“投标人须知”</w:t>
      </w:r>
      <w:r>
        <w:rPr>
          <w:rFonts w:ascii="Times New Roman" w:hAnsi="Times New Roman"/>
          <w:szCs w:val="21"/>
        </w:rPr>
        <w:t>前附表附录2</w:t>
      </w:r>
      <w:r>
        <w:rPr>
          <w:rFonts w:ascii="Times New Roman" w:hAnsi="Times New Roman"/>
          <w:kern w:val="0"/>
          <w:szCs w:val="21"/>
        </w:rPr>
        <w:t>的要求在本表后附相关证明材料。</w:t>
      </w:r>
    </w:p>
    <w:p w14:paraId="6C2F8194">
      <w:pPr>
        <w:widowControl/>
        <w:jc w:val="center"/>
        <w:rPr>
          <w:rFonts w:ascii="Times New Roman" w:hAnsi="Times New Roman"/>
          <w:sz w:val="24"/>
          <w:szCs w:val="24"/>
        </w:rPr>
      </w:pPr>
      <w:r>
        <w:rPr>
          <w:rFonts w:ascii="Times New Roman" w:hAnsi="Times New Roman"/>
          <w:szCs w:val="21"/>
        </w:rPr>
        <w:br w:type="page"/>
      </w:r>
      <w:r>
        <w:rPr>
          <w:rFonts w:ascii="Times New Roman" w:hAnsi="Times New Roman" w:eastAsia="黑体"/>
          <w:sz w:val="24"/>
          <w:szCs w:val="24"/>
        </w:rPr>
        <w:t>（三）项目负责人近年完成的类似项目情况表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1A48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8F6EF2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C0CE240">
            <w:pPr>
              <w:autoSpaceDE w:val="0"/>
              <w:autoSpaceDN w:val="0"/>
              <w:adjustRightInd w:val="0"/>
              <w:spacing w:line="300" w:lineRule="exact"/>
              <w:jc w:val="center"/>
              <w:rPr>
                <w:rFonts w:ascii="Times New Roman" w:hAnsi="Times New Roman"/>
                <w:kern w:val="0"/>
                <w:szCs w:val="21"/>
              </w:rPr>
            </w:pPr>
          </w:p>
        </w:tc>
      </w:tr>
      <w:tr w14:paraId="23D0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483CF8C">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13D87F5">
            <w:pPr>
              <w:autoSpaceDE w:val="0"/>
              <w:autoSpaceDN w:val="0"/>
              <w:adjustRightInd w:val="0"/>
              <w:spacing w:line="300" w:lineRule="exact"/>
              <w:jc w:val="center"/>
              <w:rPr>
                <w:rFonts w:ascii="Times New Roman" w:hAnsi="Times New Roman"/>
                <w:kern w:val="0"/>
                <w:szCs w:val="21"/>
              </w:rPr>
            </w:pPr>
          </w:p>
        </w:tc>
      </w:tr>
      <w:tr w14:paraId="53C6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66704D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07E4DB0">
            <w:pPr>
              <w:autoSpaceDE w:val="0"/>
              <w:autoSpaceDN w:val="0"/>
              <w:adjustRightInd w:val="0"/>
              <w:spacing w:line="300" w:lineRule="exact"/>
              <w:jc w:val="center"/>
              <w:rPr>
                <w:rFonts w:ascii="Times New Roman" w:hAnsi="Times New Roman"/>
                <w:kern w:val="0"/>
                <w:szCs w:val="21"/>
              </w:rPr>
            </w:pPr>
          </w:p>
        </w:tc>
      </w:tr>
      <w:tr w14:paraId="2117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C8F6AB4">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D8E34FF">
            <w:pPr>
              <w:autoSpaceDE w:val="0"/>
              <w:autoSpaceDN w:val="0"/>
              <w:adjustRightInd w:val="0"/>
              <w:spacing w:line="300" w:lineRule="exact"/>
              <w:jc w:val="center"/>
              <w:rPr>
                <w:rFonts w:ascii="Times New Roman" w:hAnsi="Times New Roman"/>
                <w:kern w:val="0"/>
                <w:szCs w:val="21"/>
              </w:rPr>
            </w:pPr>
          </w:p>
        </w:tc>
      </w:tr>
      <w:tr w14:paraId="6AD4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3E67F1C">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55EA37A">
            <w:pPr>
              <w:autoSpaceDE w:val="0"/>
              <w:autoSpaceDN w:val="0"/>
              <w:adjustRightInd w:val="0"/>
              <w:spacing w:line="300" w:lineRule="exact"/>
              <w:jc w:val="center"/>
              <w:rPr>
                <w:rFonts w:ascii="Times New Roman" w:hAnsi="Times New Roman"/>
                <w:kern w:val="0"/>
                <w:szCs w:val="21"/>
              </w:rPr>
            </w:pPr>
          </w:p>
        </w:tc>
      </w:tr>
      <w:tr w14:paraId="0C58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FF5A530">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568EFD9">
            <w:pPr>
              <w:autoSpaceDE w:val="0"/>
              <w:autoSpaceDN w:val="0"/>
              <w:adjustRightInd w:val="0"/>
              <w:spacing w:line="300" w:lineRule="exact"/>
              <w:jc w:val="center"/>
              <w:rPr>
                <w:rFonts w:ascii="Times New Roman" w:hAnsi="Times New Roman"/>
                <w:kern w:val="0"/>
                <w:szCs w:val="21"/>
              </w:rPr>
            </w:pPr>
          </w:p>
        </w:tc>
      </w:tr>
      <w:tr w14:paraId="435F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9CB2A2F">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77F9439">
            <w:pPr>
              <w:autoSpaceDE w:val="0"/>
              <w:autoSpaceDN w:val="0"/>
              <w:adjustRightInd w:val="0"/>
              <w:spacing w:line="300" w:lineRule="exact"/>
              <w:jc w:val="center"/>
              <w:rPr>
                <w:rFonts w:ascii="Times New Roman" w:hAnsi="Times New Roman"/>
                <w:kern w:val="0"/>
                <w:szCs w:val="21"/>
              </w:rPr>
            </w:pPr>
          </w:p>
        </w:tc>
      </w:tr>
      <w:tr w14:paraId="3FD1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E51A4C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92D1C69">
            <w:pPr>
              <w:autoSpaceDE w:val="0"/>
              <w:autoSpaceDN w:val="0"/>
              <w:adjustRightInd w:val="0"/>
              <w:spacing w:line="300" w:lineRule="exact"/>
              <w:jc w:val="center"/>
              <w:rPr>
                <w:rFonts w:ascii="Times New Roman" w:hAnsi="Times New Roman"/>
                <w:kern w:val="0"/>
                <w:szCs w:val="21"/>
              </w:rPr>
            </w:pPr>
          </w:p>
        </w:tc>
      </w:tr>
      <w:tr w14:paraId="1695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26CFCA7">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9AB0A98">
            <w:pPr>
              <w:autoSpaceDE w:val="0"/>
              <w:autoSpaceDN w:val="0"/>
              <w:adjustRightInd w:val="0"/>
              <w:spacing w:line="300" w:lineRule="exact"/>
              <w:jc w:val="center"/>
              <w:rPr>
                <w:rFonts w:ascii="Times New Roman" w:hAnsi="Times New Roman"/>
                <w:kern w:val="0"/>
                <w:szCs w:val="21"/>
              </w:rPr>
            </w:pPr>
          </w:p>
        </w:tc>
      </w:tr>
      <w:tr w14:paraId="2087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82CB547">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D965347">
            <w:pPr>
              <w:autoSpaceDE w:val="0"/>
              <w:autoSpaceDN w:val="0"/>
              <w:adjustRightInd w:val="0"/>
              <w:spacing w:line="300" w:lineRule="exact"/>
              <w:jc w:val="center"/>
              <w:rPr>
                <w:rFonts w:ascii="Times New Roman" w:hAnsi="Times New Roman"/>
                <w:kern w:val="0"/>
                <w:szCs w:val="21"/>
              </w:rPr>
            </w:pPr>
          </w:p>
        </w:tc>
      </w:tr>
      <w:tr w14:paraId="6D30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3D84D87">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68D8DDF">
            <w:pPr>
              <w:autoSpaceDE w:val="0"/>
              <w:autoSpaceDN w:val="0"/>
              <w:adjustRightInd w:val="0"/>
              <w:spacing w:line="300" w:lineRule="exact"/>
              <w:jc w:val="center"/>
              <w:rPr>
                <w:rFonts w:ascii="Times New Roman" w:hAnsi="Times New Roman"/>
                <w:kern w:val="0"/>
                <w:szCs w:val="21"/>
              </w:rPr>
            </w:pPr>
          </w:p>
        </w:tc>
      </w:tr>
      <w:tr w14:paraId="6509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AA439B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391F18B">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6EB2DAE7">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注：投标人应根据招标文件第二章“投标人须知”前附表</w:t>
      </w:r>
      <w:r>
        <w:rPr>
          <w:rFonts w:ascii="Times New Roman" w:hAnsi="Times New Roman"/>
          <w:szCs w:val="21"/>
        </w:rPr>
        <w:t>附录4</w:t>
      </w:r>
      <w:r>
        <w:rPr>
          <w:rFonts w:ascii="Times New Roman" w:hAnsi="Times New Roman"/>
          <w:kern w:val="0"/>
          <w:szCs w:val="21"/>
        </w:rPr>
        <w:t>的要求在本表后附相关证明材料。</w:t>
      </w:r>
    </w:p>
    <w:p w14:paraId="30170D1A">
      <w:pPr>
        <w:widowControl/>
        <w:jc w:val="center"/>
        <w:rPr>
          <w:rFonts w:ascii="Times New Roman" w:hAnsi="Times New Roman"/>
          <w:sz w:val="24"/>
          <w:szCs w:val="24"/>
        </w:rPr>
      </w:pPr>
      <w:r>
        <w:rPr>
          <w:rFonts w:ascii="Times New Roman" w:hAnsi="Times New Roman"/>
          <w:szCs w:val="21"/>
        </w:rPr>
        <w:br w:type="page"/>
      </w:r>
      <w:r>
        <w:rPr>
          <w:rFonts w:ascii="Times New Roman" w:hAnsi="Times New Roman" w:eastAsia="黑体"/>
          <w:sz w:val="24"/>
          <w:szCs w:val="24"/>
        </w:rPr>
        <w:t>（四）主要人员简历表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14:paraId="0884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51" w:hRule="atLeast"/>
          <w:jc w:val="center"/>
        </w:trPr>
        <w:tc>
          <w:tcPr>
            <w:tcW w:w="1187" w:type="dxa"/>
            <w:noWrap w:val="0"/>
            <w:vAlign w:val="center"/>
          </w:tcPr>
          <w:p w14:paraId="6357EE06">
            <w:pPr>
              <w:spacing w:line="440" w:lineRule="exact"/>
              <w:jc w:val="center"/>
              <w:rPr>
                <w:rFonts w:ascii="Times New Roman" w:hAnsi="Times New Roman"/>
              </w:rPr>
            </w:pPr>
            <w:r>
              <w:rPr>
                <w:rFonts w:ascii="Times New Roman" w:hAnsi="Times New Roman"/>
              </w:rPr>
              <w:t>姓  名</w:t>
            </w:r>
          </w:p>
        </w:tc>
        <w:tc>
          <w:tcPr>
            <w:tcW w:w="1048" w:type="dxa"/>
            <w:gridSpan w:val="2"/>
            <w:noWrap w:val="0"/>
            <w:vAlign w:val="center"/>
          </w:tcPr>
          <w:p w14:paraId="7815447F">
            <w:pPr>
              <w:spacing w:line="440" w:lineRule="exact"/>
              <w:jc w:val="center"/>
              <w:rPr>
                <w:rFonts w:ascii="Times New Roman" w:hAnsi="Times New Roman"/>
              </w:rPr>
            </w:pPr>
          </w:p>
        </w:tc>
        <w:tc>
          <w:tcPr>
            <w:tcW w:w="958" w:type="dxa"/>
            <w:noWrap w:val="0"/>
            <w:vAlign w:val="center"/>
          </w:tcPr>
          <w:p w14:paraId="1D1239A8">
            <w:pPr>
              <w:spacing w:line="440" w:lineRule="exact"/>
              <w:jc w:val="center"/>
              <w:rPr>
                <w:rFonts w:ascii="Times New Roman" w:hAnsi="Times New Roman"/>
              </w:rPr>
            </w:pPr>
            <w:r>
              <w:rPr>
                <w:rFonts w:ascii="Times New Roman" w:hAnsi="Times New Roman"/>
              </w:rPr>
              <w:t>年龄</w:t>
            </w:r>
          </w:p>
        </w:tc>
        <w:tc>
          <w:tcPr>
            <w:tcW w:w="1065" w:type="dxa"/>
            <w:noWrap w:val="0"/>
            <w:vAlign w:val="center"/>
          </w:tcPr>
          <w:p w14:paraId="612BAC7C">
            <w:pPr>
              <w:spacing w:line="440" w:lineRule="exact"/>
              <w:jc w:val="center"/>
              <w:rPr>
                <w:rFonts w:ascii="Times New Roman" w:hAnsi="Times New Roman"/>
              </w:rPr>
            </w:pPr>
          </w:p>
        </w:tc>
        <w:tc>
          <w:tcPr>
            <w:tcW w:w="2368" w:type="dxa"/>
            <w:gridSpan w:val="3"/>
            <w:noWrap w:val="0"/>
            <w:vAlign w:val="center"/>
          </w:tcPr>
          <w:p w14:paraId="0C571830">
            <w:pPr>
              <w:spacing w:line="440" w:lineRule="exact"/>
              <w:jc w:val="center"/>
              <w:rPr>
                <w:rFonts w:ascii="Times New Roman" w:hAnsi="Times New Roman"/>
              </w:rPr>
            </w:pPr>
            <w:r>
              <w:rPr>
                <w:rFonts w:ascii="Times New Roman" w:hAnsi="Times New Roman"/>
              </w:rPr>
              <w:t>执业或职业</w:t>
            </w:r>
          </w:p>
          <w:p w14:paraId="14FA8F6D">
            <w:pPr>
              <w:spacing w:line="440" w:lineRule="exact"/>
              <w:jc w:val="center"/>
              <w:rPr>
                <w:rFonts w:ascii="Times New Roman" w:hAnsi="Times New Roman"/>
              </w:rPr>
            </w:pPr>
            <w:r>
              <w:rPr>
                <w:rFonts w:ascii="Times New Roman" w:hAnsi="Times New Roman"/>
              </w:rPr>
              <w:t>资格证书名称</w:t>
            </w:r>
          </w:p>
        </w:tc>
        <w:tc>
          <w:tcPr>
            <w:tcW w:w="1896" w:type="dxa"/>
            <w:noWrap w:val="0"/>
            <w:vAlign w:val="center"/>
          </w:tcPr>
          <w:p w14:paraId="3AA21481">
            <w:pPr>
              <w:spacing w:line="440" w:lineRule="exact"/>
              <w:jc w:val="center"/>
              <w:rPr>
                <w:rFonts w:ascii="Times New Roman" w:hAnsi="Times New Roman"/>
              </w:rPr>
            </w:pPr>
          </w:p>
        </w:tc>
      </w:tr>
      <w:tr w14:paraId="6DAA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9" w:hRule="atLeast"/>
          <w:jc w:val="center"/>
        </w:trPr>
        <w:tc>
          <w:tcPr>
            <w:tcW w:w="1187" w:type="dxa"/>
            <w:noWrap w:val="0"/>
            <w:vAlign w:val="center"/>
          </w:tcPr>
          <w:p w14:paraId="251E2B01">
            <w:pPr>
              <w:spacing w:line="440" w:lineRule="exact"/>
              <w:jc w:val="center"/>
              <w:rPr>
                <w:rFonts w:ascii="Times New Roman" w:hAnsi="Times New Roman"/>
              </w:rPr>
            </w:pPr>
            <w:r>
              <w:rPr>
                <w:rFonts w:ascii="Times New Roman" w:hAnsi="Times New Roman"/>
              </w:rPr>
              <w:t>职  称</w:t>
            </w:r>
          </w:p>
        </w:tc>
        <w:tc>
          <w:tcPr>
            <w:tcW w:w="1048" w:type="dxa"/>
            <w:gridSpan w:val="2"/>
            <w:noWrap w:val="0"/>
            <w:vAlign w:val="center"/>
          </w:tcPr>
          <w:p w14:paraId="7992E44C">
            <w:pPr>
              <w:spacing w:line="440" w:lineRule="exact"/>
              <w:jc w:val="center"/>
              <w:rPr>
                <w:rFonts w:ascii="Times New Roman" w:hAnsi="Times New Roman"/>
              </w:rPr>
            </w:pPr>
          </w:p>
        </w:tc>
        <w:tc>
          <w:tcPr>
            <w:tcW w:w="958" w:type="dxa"/>
            <w:noWrap w:val="0"/>
            <w:vAlign w:val="center"/>
          </w:tcPr>
          <w:p w14:paraId="40EA9269">
            <w:pPr>
              <w:spacing w:before="100" w:beforeAutospacing="1" w:after="100" w:afterAutospacing="1" w:line="440" w:lineRule="exact"/>
              <w:jc w:val="center"/>
              <w:rPr>
                <w:rFonts w:ascii="Times New Roman" w:hAnsi="Times New Roman"/>
              </w:rPr>
            </w:pPr>
            <w:r>
              <w:rPr>
                <w:rFonts w:ascii="Times New Roman" w:hAnsi="Times New Roman"/>
              </w:rPr>
              <w:t>学历</w:t>
            </w:r>
          </w:p>
        </w:tc>
        <w:tc>
          <w:tcPr>
            <w:tcW w:w="1065" w:type="dxa"/>
            <w:noWrap w:val="0"/>
            <w:vAlign w:val="center"/>
          </w:tcPr>
          <w:p w14:paraId="760B69BC">
            <w:pPr>
              <w:spacing w:line="440" w:lineRule="exact"/>
              <w:jc w:val="center"/>
              <w:rPr>
                <w:rFonts w:ascii="Times New Roman" w:hAnsi="Times New Roman"/>
              </w:rPr>
            </w:pPr>
          </w:p>
        </w:tc>
        <w:tc>
          <w:tcPr>
            <w:tcW w:w="2368" w:type="dxa"/>
            <w:gridSpan w:val="3"/>
            <w:noWrap w:val="0"/>
            <w:vAlign w:val="center"/>
          </w:tcPr>
          <w:p w14:paraId="50C2C22D">
            <w:pPr>
              <w:spacing w:before="100" w:beforeAutospacing="1" w:after="100" w:afterAutospacing="1" w:line="440" w:lineRule="exact"/>
              <w:jc w:val="center"/>
              <w:rPr>
                <w:rFonts w:ascii="Times New Roman" w:hAnsi="Times New Roman"/>
              </w:rPr>
            </w:pPr>
            <w:r>
              <w:rPr>
                <w:rFonts w:ascii="Times New Roman" w:hAnsi="Times New Roman"/>
              </w:rPr>
              <w:t>拟在本项目任职</w:t>
            </w:r>
          </w:p>
        </w:tc>
        <w:tc>
          <w:tcPr>
            <w:tcW w:w="1896" w:type="dxa"/>
            <w:noWrap w:val="0"/>
            <w:vAlign w:val="center"/>
          </w:tcPr>
          <w:p w14:paraId="1C65A1BF">
            <w:pPr>
              <w:spacing w:line="440" w:lineRule="exact"/>
              <w:jc w:val="center"/>
              <w:rPr>
                <w:rFonts w:ascii="Times New Roman" w:hAnsi="Times New Roman"/>
              </w:rPr>
            </w:pPr>
          </w:p>
        </w:tc>
      </w:tr>
      <w:tr w14:paraId="517A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9" w:hRule="atLeast"/>
          <w:jc w:val="center"/>
        </w:trPr>
        <w:tc>
          <w:tcPr>
            <w:tcW w:w="1187" w:type="dxa"/>
            <w:noWrap w:val="0"/>
            <w:vAlign w:val="center"/>
          </w:tcPr>
          <w:p w14:paraId="58FD61DE">
            <w:pPr>
              <w:spacing w:before="100" w:beforeAutospacing="1" w:after="100" w:afterAutospacing="1" w:line="440" w:lineRule="exact"/>
              <w:jc w:val="center"/>
              <w:rPr>
                <w:rFonts w:ascii="Times New Roman" w:hAnsi="Times New Roman"/>
              </w:rPr>
            </w:pPr>
            <w:r>
              <w:rPr>
                <w:rFonts w:ascii="Times New Roman" w:hAnsi="Times New Roman"/>
              </w:rPr>
              <w:t>工作年限</w:t>
            </w:r>
          </w:p>
        </w:tc>
        <w:tc>
          <w:tcPr>
            <w:tcW w:w="3071" w:type="dxa"/>
            <w:gridSpan w:val="4"/>
            <w:noWrap w:val="0"/>
            <w:vAlign w:val="center"/>
          </w:tcPr>
          <w:p w14:paraId="1F270837">
            <w:pPr>
              <w:spacing w:line="440" w:lineRule="exact"/>
              <w:jc w:val="center"/>
              <w:rPr>
                <w:rFonts w:ascii="Times New Roman" w:hAnsi="Times New Roman"/>
              </w:rPr>
            </w:pPr>
          </w:p>
        </w:tc>
        <w:tc>
          <w:tcPr>
            <w:tcW w:w="2368" w:type="dxa"/>
            <w:gridSpan w:val="3"/>
            <w:noWrap w:val="0"/>
            <w:vAlign w:val="center"/>
          </w:tcPr>
          <w:p w14:paraId="0C288525">
            <w:pPr>
              <w:spacing w:before="100" w:beforeAutospacing="1" w:after="100" w:afterAutospacing="1" w:line="440" w:lineRule="exact"/>
              <w:jc w:val="center"/>
              <w:rPr>
                <w:rFonts w:ascii="Times New Roman" w:hAnsi="Times New Roman"/>
              </w:rPr>
            </w:pPr>
            <w:r>
              <w:rPr>
                <w:rFonts w:ascii="Times New Roman" w:hAnsi="Times New Roman"/>
              </w:rPr>
              <w:t>从事相关工作年限</w:t>
            </w:r>
          </w:p>
        </w:tc>
        <w:tc>
          <w:tcPr>
            <w:tcW w:w="1896" w:type="dxa"/>
            <w:noWrap w:val="0"/>
            <w:vAlign w:val="center"/>
          </w:tcPr>
          <w:p w14:paraId="5D7C82D8">
            <w:pPr>
              <w:spacing w:line="440" w:lineRule="exact"/>
              <w:jc w:val="center"/>
              <w:rPr>
                <w:rFonts w:ascii="Times New Roman" w:hAnsi="Times New Roman"/>
              </w:rPr>
            </w:pPr>
          </w:p>
        </w:tc>
      </w:tr>
      <w:tr w14:paraId="62A2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01" w:hRule="atLeast"/>
          <w:jc w:val="center"/>
        </w:trPr>
        <w:tc>
          <w:tcPr>
            <w:tcW w:w="1187" w:type="dxa"/>
            <w:noWrap w:val="0"/>
            <w:vAlign w:val="center"/>
          </w:tcPr>
          <w:p w14:paraId="16628EAB">
            <w:pPr>
              <w:spacing w:before="100" w:beforeAutospacing="1" w:after="100" w:afterAutospacing="1" w:line="440" w:lineRule="exact"/>
              <w:jc w:val="center"/>
              <w:rPr>
                <w:rFonts w:ascii="Times New Roman" w:hAnsi="Times New Roman"/>
              </w:rPr>
            </w:pPr>
            <w:r>
              <w:rPr>
                <w:rFonts w:ascii="Times New Roman" w:hAnsi="Times New Roman"/>
              </w:rPr>
              <w:t>毕业学校</w:t>
            </w:r>
          </w:p>
        </w:tc>
        <w:tc>
          <w:tcPr>
            <w:tcW w:w="7335" w:type="dxa"/>
            <w:gridSpan w:val="8"/>
            <w:noWrap w:val="0"/>
            <w:vAlign w:val="center"/>
          </w:tcPr>
          <w:p w14:paraId="66917DE0">
            <w:pPr>
              <w:spacing w:before="100" w:beforeAutospacing="1" w:after="100" w:afterAutospacing="1" w:line="440" w:lineRule="exact"/>
              <w:ind w:firstLine="1155" w:firstLineChars="550"/>
              <w:rPr>
                <w:rFonts w:ascii="Times New Roman" w:hAnsi="Times New Roman"/>
              </w:rPr>
            </w:pPr>
            <w:r>
              <w:rPr>
                <w:rFonts w:ascii="Times New Roman" w:hAnsi="Times New Roman"/>
              </w:rPr>
              <w:t>年毕业于            学校        专业</w:t>
            </w:r>
          </w:p>
        </w:tc>
      </w:tr>
      <w:tr w14:paraId="5C62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4" w:hRule="atLeast"/>
          <w:jc w:val="center"/>
        </w:trPr>
        <w:tc>
          <w:tcPr>
            <w:tcW w:w="8522" w:type="dxa"/>
            <w:gridSpan w:val="9"/>
            <w:noWrap w:val="0"/>
            <w:vAlign w:val="center"/>
          </w:tcPr>
          <w:p w14:paraId="085F915C">
            <w:pPr>
              <w:spacing w:before="100" w:beforeAutospacing="1" w:after="100" w:afterAutospacing="1" w:line="440" w:lineRule="exact"/>
              <w:jc w:val="left"/>
              <w:rPr>
                <w:rFonts w:ascii="Times New Roman" w:hAnsi="Times New Roman"/>
              </w:rPr>
            </w:pPr>
            <w:r>
              <w:rPr>
                <w:rFonts w:ascii="Times New Roman" w:hAnsi="Times New Roman"/>
              </w:rPr>
              <w:t>主要工作经历</w:t>
            </w:r>
          </w:p>
        </w:tc>
      </w:tr>
      <w:tr w14:paraId="07EA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07" w:hRule="atLeast"/>
          <w:jc w:val="center"/>
        </w:trPr>
        <w:tc>
          <w:tcPr>
            <w:tcW w:w="1544" w:type="dxa"/>
            <w:gridSpan w:val="2"/>
            <w:noWrap w:val="0"/>
            <w:vAlign w:val="center"/>
          </w:tcPr>
          <w:p w14:paraId="7DE0E810">
            <w:pPr>
              <w:spacing w:before="100" w:beforeAutospacing="1" w:after="100" w:afterAutospacing="1" w:line="440" w:lineRule="exact"/>
              <w:jc w:val="center"/>
              <w:rPr>
                <w:rFonts w:ascii="Times New Roman" w:hAnsi="Times New Roman"/>
              </w:rPr>
            </w:pPr>
            <w:r>
              <w:rPr>
                <w:rFonts w:ascii="Times New Roman" w:hAnsi="Times New Roman"/>
              </w:rPr>
              <w:t>时  间</w:t>
            </w:r>
          </w:p>
        </w:tc>
        <w:tc>
          <w:tcPr>
            <w:tcW w:w="3420" w:type="dxa"/>
            <w:gridSpan w:val="4"/>
            <w:noWrap w:val="0"/>
            <w:vAlign w:val="center"/>
          </w:tcPr>
          <w:p w14:paraId="095801D1">
            <w:pPr>
              <w:spacing w:before="100" w:beforeAutospacing="1" w:after="100" w:afterAutospacing="1" w:line="440" w:lineRule="exact"/>
              <w:jc w:val="center"/>
              <w:rPr>
                <w:rFonts w:ascii="Times New Roman" w:hAnsi="Times New Roman"/>
              </w:rPr>
            </w:pPr>
            <w:r>
              <w:rPr>
                <w:rFonts w:ascii="Times New Roman" w:hAnsi="Times New Roman"/>
              </w:rPr>
              <w:t>参加过的类似项目</w:t>
            </w:r>
          </w:p>
        </w:tc>
        <w:tc>
          <w:tcPr>
            <w:tcW w:w="1261" w:type="dxa"/>
            <w:noWrap w:val="0"/>
            <w:vAlign w:val="center"/>
          </w:tcPr>
          <w:p w14:paraId="3B238DD5">
            <w:pPr>
              <w:spacing w:before="100" w:beforeAutospacing="1" w:after="100" w:afterAutospacing="1" w:line="440" w:lineRule="exact"/>
              <w:jc w:val="center"/>
              <w:rPr>
                <w:rFonts w:ascii="Times New Roman" w:hAnsi="Times New Roman"/>
              </w:rPr>
            </w:pPr>
            <w:r>
              <w:rPr>
                <w:rFonts w:ascii="Times New Roman" w:hAnsi="Times New Roman"/>
              </w:rPr>
              <w:t>担任职务</w:t>
            </w:r>
          </w:p>
        </w:tc>
        <w:tc>
          <w:tcPr>
            <w:tcW w:w="2297" w:type="dxa"/>
            <w:gridSpan w:val="2"/>
            <w:noWrap w:val="0"/>
            <w:vAlign w:val="center"/>
          </w:tcPr>
          <w:p w14:paraId="64CD0988">
            <w:pPr>
              <w:spacing w:before="100" w:beforeAutospacing="1" w:after="100" w:afterAutospacing="1" w:line="440" w:lineRule="exact"/>
              <w:jc w:val="center"/>
              <w:rPr>
                <w:rFonts w:ascii="Times New Roman" w:hAnsi="Times New Roman"/>
              </w:rPr>
            </w:pPr>
            <w:r>
              <w:rPr>
                <w:rFonts w:ascii="Times New Roman" w:hAnsi="Times New Roman"/>
              </w:rPr>
              <w:t>委托人及联系电话</w:t>
            </w:r>
          </w:p>
        </w:tc>
      </w:tr>
      <w:tr w14:paraId="3774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top"/>
          </w:tcPr>
          <w:p w14:paraId="484F5B0C">
            <w:pPr>
              <w:spacing w:line="440" w:lineRule="exact"/>
              <w:rPr>
                <w:rFonts w:ascii="Times New Roman" w:hAnsi="Times New Roman"/>
              </w:rPr>
            </w:pPr>
          </w:p>
        </w:tc>
        <w:tc>
          <w:tcPr>
            <w:tcW w:w="3420" w:type="dxa"/>
            <w:gridSpan w:val="4"/>
            <w:noWrap w:val="0"/>
            <w:vAlign w:val="top"/>
          </w:tcPr>
          <w:p w14:paraId="26122B14">
            <w:pPr>
              <w:spacing w:line="440" w:lineRule="exact"/>
              <w:rPr>
                <w:rFonts w:ascii="Times New Roman" w:hAnsi="Times New Roman"/>
              </w:rPr>
            </w:pPr>
          </w:p>
        </w:tc>
        <w:tc>
          <w:tcPr>
            <w:tcW w:w="1261" w:type="dxa"/>
            <w:noWrap w:val="0"/>
            <w:vAlign w:val="top"/>
          </w:tcPr>
          <w:p w14:paraId="7EADD0D3">
            <w:pPr>
              <w:spacing w:line="440" w:lineRule="exact"/>
              <w:rPr>
                <w:rFonts w:ascii="Times New Roman" w:hAnsi="Times New Roman"/>
              </w:rPr>
            </w:pPr>
          </w:p>
        </w:tc>
        <w:tc>
          <w:tcPr>
            <w:tcW w:w="2297" w:type="dxa"/>
            <w:gridSpan w:val="2"/>
            <w:noWrap w:val="0"/>
            <w:vAlign w:val="top"/>
          </w:tcPr>
          <w:p w14:paraId="72DD95CD">
            <w:pPr>
              <w:spacing w:line="440" w:lineRule="exact"/>
              <w:rPr>
                <w:rFonts w:ascii="Times New Roman" w:hAnsi="Times New Roman"/>
              </w:rPr>
            </w:pPr>
          </w:p>
        </w:tc>
      </w:tr>
      <w:tr w14:paraId="7313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top"/>
          </w:tcPr>
          <w:p w14:paraId="48B1BBF1">
            <w:pPr>
              <w:spacing w:line="440" w:lineRule="exact"/>
              <w:rPr>
                <w:rFonts w:ascii="Times New Roman" w:hAnsi="Times New Roman"/>
              </w:rPr>
            </w:pPr>
          </w:p>
        </w:tc>
        <w:tc>
          <w:tcPr>
            <w:tcW w:w="3420" w:type="dxa"/>
            <w:gridSpan w:val="4"/>
            <w:noWrap w:val="0"/>
            <w:vAlign w:val="top"/>
          </w:tcPr>
          <w:p w14:paraId="79D0EFEC">
            <w:pPr>
              <w:spacing w:line="440" w:lineRule="exact"/>
              <w:rPr>
                <w:rFonts w:ascii="Times New Roman" w:hAnsi="Times New Roman"/>
              </w:rPr>
            </w:pPr>
          </w:p>
        </w:tc>
        <w:tc>
          <w:tcPr>
            <w:tcW w:w="1261" w:type="dxa"/>
            <w:noWrap w:val="0"/>
            <w:vAlign w:val="top"/>
          </w:tcPr>
          <w:p w14:paraId="144B2B07">
            <w:pPr>
              <w:spacing w:line="440" w:lineRule="exact"/>
              <w:rPr>
                <w:rFonts w:ascii="Times New Roman" w:hAnsi="Times New Roman"/>
              </w:rPr>
            </w:pPr>
          </w:p>
        </w:tc>
        <w:tc>
          <w:tcPr>
            <w:tcW w:w="2297" w:type="dxa"/>
            <w:gridSpan w:val="2"/>
            <w:noWrap w:val="0"/>
            <w:vAlign w:val="top"/>
          </w:tcPr>
          <w:p w14:paraId="7433800B">
            <w:pPr>
              <w:spacing w:line="440" w:lineRule="exact"/>
              <w:rPr>
                <w:rFonts w:ascii="Times New Roman" w:hAnsi="Times New Roman"/>
              </w:rPr>
            </w:pPr>
          </w:p>
        </w:tc>
      </w:tr>
      <w:tr w14:paraId="151B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top"/>
          </w:tcPr>
          <w:p w14:paraId="1F4F5579">
            <w:pPr>
              <w:spacing w:line="440" w:lineRule="exact"/>
              <w:rPr>
                <w:rFonts w:ascii="Times New Roman" w:hAnsi="Times New Roman"/>
              </w:rPr>
            </w:pPr>
          </w:p>
        </w:tc>
        <w:tc>
          <w:tcPr>
            <w:tcW w:w="3420" w:type="dxa"/>
            <w:gridSpan w:val="4"/>
            <w:noWrap w:val="0"/>
            <w:vAlign w:val="top"/>
          </w:tcPr>
          <w:p w14:paraId="7402EEFA">
            <w:pPr>
              <w:spacing w:line="440" w:lineRule="exact"/>
              <w:rPr>
                <w:rFonts w:ascii="Times New Roman" w:hAnsi="Times New Roman"/>
              </w:rPr>
            </w:pPr>
          </w:p>
        </w:tc>
        <w:tc>
          <w:tcPr>
            <w:tcW w:w="1261" w:type="dxa"/>
            <w:noWrap w:val="0"/>
            <w:vAlign w:val="top"/>
          </w:tcPr>
          <w:p w14:paraId="13C4DB18">
            <w:pPr>
              <w:spacing w:line="440" w:lineRule="exact"/>
              <w:rPr>
                <w:rFonts w:ascii="Times New Roman" w:hAnsi="Times New Roman"/>
              </w:rPr>
            </w:pPr>
          </w:p>
        </w:tc>
        <w:tc>
          <w:tcPr>
            <w:tcW w:w="2297" w:type="dxa"/>
            <w:gridSpan w:val="2"/>
            <w:noWrap w:val="0"/>
            <w:vAlign w:val="top"/>
          </w:tcPr>
          <w:p w14:paraId="1511E3A6">
            <w:pPr>
              <w:spacing w:line="440" w:lineRule="exact"/>
              <w:rPr>
                <w:rFonts w:ascii="Times New Roman" w:hAnsi="Times New Roman"/>
              </w:rPr>
            </w:pPr>
          </w:p>
        </w:tc>
      </w:tr>
      <w:tr w14:paraId="7F08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1F1B3551">
            <w:pPr>
              <w:spacing w:line="440" w:lineRule="exact"/>
              <w:rPr>
                <w:rFonts w:ascii="Times New Roman" w:hAnsi="Times New Roman"/>
              </w:rPr>
            </w:pPr>
          </w:p>
        </w:tc>
        <w:tc>
          <w:tcPr>
            <w:tcW w:w="3420" w:type="dxa"/>
            <w:gridSpan w:val="4"/>
            <w:noWrap w:val="0"/>
            <w:vAlign w:val="center"/>
          </w:tcPr>
          <w:p w14:paraId="48B0E990">
            <w:pPr>
              <w:spacing w:line="440" w:lineRule="exact"/>
              <w:rPr>
                <w:rFonts w:ascii="Times New Roman" w:hAnsi="Times New Roman"/>
              </w:rPr>
            </w:pPr>
          </w:p>
        </w:tc>
        <w:tc>
          <w:tcPr>
            <w:tcW w:w="1261" w:type="dxa"/>
            <w:noWrap w:val="0"/>
            <w:vAlign w:val="center"/>
          </w:tcPr>
          <w:p w14:paraId="19DB92EC">
            <w:pPr>
              <w:spacing w:line="440" w:lineRule="exact"/>
              <w:rPr>
                <w:rFonts w:ascii="Times New Roman" w:hAnsi="Times New Roman"/>
              </w:rPr>
            </w:pPr>
          </w:p>
        </w:tc>
        <w:tc>
          <w:tcPr>
            <w:tcW w:w="2297" w:type="dxa"/>
            <w:gridSpan w:val="2"/>
            <w:noWrap w:val="0"/>
            <w:vAlign w:val="center"/>
          </w:tcPr>
          <w:p w14:paraId="5698090F">
            <w:pPr>
              <w:spacing w:line="440" w:lineRule="exact"/>
              <w:rPr>
                <w:rFonts w:ascii="Times New Roman" w:hAnsi="Times New Roman"/>
              </w:rPr>
            </w:pPr>
          </w:p>
        </w:tc>
      </w:tr>
      <w:tr w14:paraId="255F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274C786D">
            <w:pPr>
              <w:spacing w:line="440" w:lineRule="exact"/>
              <w:rPr>
                <w:rFonts w:ascii="Times New Roman" w:hAnsi="Times New Roman"/>
              </w:rPr>
            </w:pPr>
          </w:p>
        </w:tc>
        <w:tc>
          <w:tcPr>
            <w:tcW w:w="3420" w:type="dxa"/>
            <w:gridSpan w:val="4"/>
            <w:noWrap w:val="0"/>
            <w:vAlign w:val="center"/>
          </w:tcPr>
          <w:p w14:paraId="2BEE0232">
            <w:pPr>
              <w:spacing w:line="440" w:lineRule="exact"/>
              <w:rPr>
                <w:rFonts w:ascii="Times New Roman" w:hAnsi="Times New Roman"/>
              </w:rPr>
            </w:pPr>
          </w:p>
        </w:tc>
        <w:tc>
          <w:tcPr>
            <w:tcW w:w="1261" w:type="dxa"/>
            <w:noWrap w:val="0"/>
            <w:vAlign w:val="center"/>
          </w:tcPr>
          <w:p w14:paraId="1241A134">
            <w:pPr>
              <w:spacing w:line="440" w:lineRule="exact"/>
              <w:rPr>
                <w:rFonts w:ascii="Times New Roman" w:hAnsi="Times New Roman"/>
              </w:rPr>
            </w:pPr>
          </w:p>
        </w:tc>
        <w:tc>
          <w:tcPr>
            <w:tcW w:w="2297" w:type="dxa"/>
            <w:gridSpan w:val="2"/>
            <w:noWrap w:val="0"/>
            <w:vAlign w:val="center"/>
          </w:tcPr>
          <w:p w14:paraId="5263C84A">
            <w:pPr>
              <w:spacing w:line="440" w:lineRule="exact"/>
              <w:rPr>
                <w:rFonts w:ascii="Times New Roman" w:hAnsi="Times New Roman"/>
              </w:rPr>
            </w:pPr>
          </w:p>
        </w:tc>
      </w:tr>
      <w:tr w14:paraId="59DA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27B64B7F">
            <w:pPr>
              <w:spacing w:line="440" w:lineRule="exact"/>
              <w:rPr>
                <w:rFonts w:ascii="Times New Roman" w:hAnsi="Times New Roman"/>
              </w:rPr>
            </w:pPr>
          </w:p>
        </w:tc>
        <w:tc>
          <w:tcPr>
            <w:tcW w:w="3420" w:type="dxa"/>
            <w:gridSpan w:val="4"/>
            <w:noWrap w:val="0"/>
            <w:vAlign w:val="center"/>
          </w:tcPr>
          <w:p w14:paraId="732E6E1C">
            <w:pPr>
              <w:spacing w:line="440" w:lineRule="exact"/>
              <w:rPr>
                <w:rFonts w:ascii="Times New Roman" w:hAnsi="Times New Roman"/>
              </w:rPr>
            </w:pPr>
          </w:p>
        </w:tc>
        <w:tc>
          <w:tcPr>
            <w:tcW w:w="1261" w:type="dxa"/>
            <w:noWrap w:val="0"/>
            <w:vAlign w:val="center"/>
          </w:tcPr>
          <w:p w14:paraId="5B8DCE52">
            <w:pPr>
              <w:spacing w:line="440" w:lineRule="exact"/>
              <w:rPr>
                <w:rFonts w:ascii="Times New Roman" w:hAnsi="Times New Roman"/>
              </w:rPr>
            </w:pPr>
          </w:p>
        </w:tc>
        <w:tc>
          <w:tcPr>
            <w:tcW w:w="2297" w:type="dxa"/>
            <w:gridSpan w:val="2"/>
            <w:noWrap w:val="0"/>
            <w:vAlign w:val="center"/>
          </w:tcPr>
          <w:p w14:paraId="6DDE7BE0">
            <w:pPr>
              <w:spacing w:line="440" w:lineRule="exact"/>
              <w:rPr>
                <w:rFonts w:ascii="Times New Roman" w:hAnsi="Times New Roman"/>
              </w:rPr>
            </w:pPr>
          </w:p>
        </w:tc>
      </w:tr>
      <w:tr w14:paraId="10B5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246D93DB">
            <w:pPr>
              <w:spacing w:line="440" w:lineRule="exact"/>
              <w:rPr>
                <w:rFonts w:ascii="Times New Roman" w:hAnsi="Times New Roman"/>
              </w:rPr>
            </w:pPr>
          </w:p>
        </w:tc>
        <w:tc>
          <w:tcPr>
            <w:tcW w:w="3420" w:type="dxa"/>
            <w:gridSpan w:val="4"/>
            <w:noWrap w:val="0"/>
            <w:vAlign w:val="center"/>
          </w:tcPr>
          <w:p w14:paraId="2819496A">
            <w:pPr>
              <w:spacing w:line="440" w:lineRule="exact"/>
              <w:rPr>
                <w:rFonts w:ascii="Times New Roman" w:hAnsi="Times New Roman"/>
              </w:rPr>
            </w:pPr>
          </w:p>
        </w:tc>
        <w:tc>
          <w:tcPr>
            <w:tcW w:w="1261" w:type="dxa"/>
            <w:noWrap w:val="0"/>
            <w:vAlign w:val="center"/>
          </w:tcPr>
          <w:p w14:paraId="636AE19E">
            <w:pPr>
              <w:spacing w:line="440" w:lineRule="exact"/>
              <w:rPr>
                <w:rFonts w:ascii="Times New Roman" w:hAnsi="Times New Roman"/>
              </w:rPr>
            </w:pPr>
          </w:p>
        </w:tc>
        <w:tc>
          <w:tcPr>
            <w:tcW w:w="2297" w:type="dxa"/>
            <w:gridSpan w:val="2"/>
            <w:noWrap w:val="0"/>
            <w:vAlign w:val="center"/>
          </w:tcPr>
          <w:p w14:paraId="27BA90CC">
            <w:pPr>
              <w:spacing w:line="440" w:lineRule="exact"/>
              <w:rPr>
                <w:rFonts w:ascii="Times New Roman" w:hAnsi="Times New Roman"/>
              </w:rPr>
            </w:pPr>
          </w:p>
        </w:tc>
      </w:tr>
    </w:tbl>
    <w:p w14:paraId="462F9B21">
      <w:pPr>
        <w:spacing w:line="440" w:lineRule="exact"/>
        <w:rPr>
          <w:rFonts w:ascii="Times New Roman" w:hAnsi="Times New Roman"/>
        </w:rPr>
      </w:pPr>
      <w:r>
        <w:rPr>
          <w:rFonts w:ascii="Times New Roman" w:hAnsi="Times New Roman"/>
        </w:rPr>
        <w:t>注：</w:t>
      </w:r>
    </w:p>
    <w:p w14:paraId="7C1F9440">
      <w:pPr>
        <w:tabs>
          <w:tab w:val="left" w:pos="2580"/>
          <w:tab w:val="left" w:pos="5940"/>
        </w:tabs>
        <w:autoSpaceDE w:val="0"/>
        <w:autoSpaceDN w:val="0"/>
        <w:adjustRightInd w:val="0"/>
        <w:snapToGrid w:val="0"/>
        <w:spacing w:line="400" w:lineRule="exact"/>
        <w:jc w:val="left"/>
        <w:rPr>
          <w:rFonts w:ascii="Times New Roman" w:hAnsi="Times New Roman"/>
          <w:spacing w:val="-6"/>
          <w:szCs w:val="21"/>
        </w:rPr>
      </w:pPr>
      <w:r>
        <w:rPr>
          <w:rFonts w:ascii="Times New Roman" w:hAnsi="Times New Roman"/>
          <w:spacing w:val="-6"/>
          <w:szCs w:val="21"/>
        </w:rPr>
        <w:t>1.本表应填写项目负责人及其他主要人员相关情况。</w:t>
      </w:r>
    </w:p>
    <w:p w14:paraId="303D24C8">
      <w:pPr>
        <w:spacing w:line="440" w:lineRule="exact"/>
        <w:rPr>
          <w:rFonts w:ascii="Times New Roman" w:hAnsi="Times New Roman"/>
        </w:rPr>
      </w:pPr>
      <w:r>
        <w:rPr>
          <w:rFonts w:ascii="Times New Roman" w:hAnsi="Times New Roman"/>
          <w:spacing w:val="-6"/>
          <w:szCs w:val="21"/>
        </w:rPr>
        <w:t>2.投标人应根据招标文件第二章“投标人须知”前附表附录4、附录5的要求在本表后附相关证明材料。</w:t>
      </w:r>
    </w:p>
    <w:p w14:paraId="2FB975F4">
      <w:pPr>
        <w:widowControl/>
        <w:jc w:val="center"/>
        <w:rPr>
          <w:rFonts w:ascii="Times New Roman" w:hAnsi="Times New Roman" w:eastAsia="黑体"/>
          <w:sz w:val="24"/>
          <w:szCs w:val="24"/>
        </w:rPr>
      </w:pPr>
      <w:r>
        <w:rPr>
          <w:rFonts w:ascii="Times New Roman" w:hAnsi="Times New Roman"/>
        </w:rPr>
        <w:br w:type="page"/>
      </w:r>
      <w:r>
        <w:rPr>
          <w:rFonts w:ascii="Times New Roman" w:hAnsi="Times New Roman" w:eastAsia="黑体"/>
          <w:sz w:val="24"/>
          <w:szCs w:val="24"/>
        </w:rPr>
        <w:t>（五）投标人信誉情况</w:t>
      </w:r>
    </w:p>
    <w:p w14:paraId="3BC168B4">
      <w:pPr>
        <w:rPr>
          <w:rFonts w:ascii="Times New Roman" w:hAnsi="Times New Roman"/>
          <w:szCs w:val="21"/>
        </w:rPr>
      </w:pPr>
    </w:p>
    <w:p w14:paraId="16938A6C">
      <w:pPr>
        <w:ind w:firstLine="420" w:firstLineChars="200"/>
        <w:rPr>
          <w:rFonts w:ascii="Times New Roman" w:hAnsi="Times New Roman"/>
          <w:szCs w:val="21"/>
        </w:rPr>
      </w:pPr>
      <w:r>
        <w:rPr>
          <w:rFonts w:ascii="Times New Roman" w:hAnsi="Times New Roman"/>
          <w:szCs w:val="21"/>
        </w:rPr>
        <w:t>投标人无需提供相应资料，在投标函中提供承诺即可。如承诺与实际不符，则视为投标人弄虚作假骗取中标，其投标保证金按规定予以处理。</w:t>
      </w:r>
    </w:p>
    <w:p w14:paraId="609A8F6E">
      <w:pPr>
        <w:spacing w:line="440" w:lineRule="exact"/>
        <w:rPr>
          <w:rFonts w:ascii="Times New Roman" w:hAnsi="Times New Roman"/>
          <w:spacing w:val="-6"/>
          <w:szCs w:val="21"/>
        </w:rPr>
      </w:pPr>
    </w:p>
    <w:p w14:paraId="3782B75D">
      <w:pPr>
        <w:spacing w:line="440" w:lineRule="exact"/>
        <w:rPr>
          <w:rFonts w:ascii="Times New Roman" w:hAnsi="Times New Roman"/>
          <w:spacing w:val="-6"/>
          <w:szCs w:val="21"/>
        </w:rPr>
      </w:pPr>
    </w:p>
    <w:p w14:paraId="70A40994">
      <w:pPr>
        <w:spacing w:line="440" w:lineRule="exact"/>
        <w:rPr>
          <w:rFonts w:ascii="Times New Roman" w:hAnsi="Times New Roman"/>
          <w:spacing w:val="-6"/>
          <w:szCs w:val="21"/>
        </w:rPr>
      </w:pPr>
    </w:p>
    <w:p w14:paraId="01310F61">
      <w:pPr>
        <w:spacing w:line="440" w:lineRule="exact"/>
        <w:rPr>
          <w:rFonts w:ascii="Times New Roman" w:hAnsi="Times New Roman"/>
          <w:spacing w:val="-6"/>
          <w:szCs w:val="21"/>
        </w:rPr>
      </w:pPr>
    </w:p>
    <w:p w14:paraId="081BC23E">
      <w:pPr>
        <w:spacing w:line="440" w:lineRule="exact"/>
        <w:rPr>
          <w:rFonts w:ascii="Times New Roman" w:hAnsi="Times New Roman"/>
          <w:spacing w:val="-6"/>
          <w:szCs w:val="21"/>
        </w:rPr>
      </w:pPr>
    </w:p>
    <w:p w14:paraId="61B04B64">
      <w:pPr>
        <w:spacing w:line="440" w:lineRule="exact"/>
        <w:rPr>
          <w:rFonts w:ascii="Times New Roman" w:hAnsi="Times New Roman"/>
          <w:spacing w:val="-6"/>
          <w:szCs w:val="21"/>
        </w:rPr>
      </w:pPr>
    </w:p>
    <w:p w14:paraId="5E4FD040">
      <w:pPr>
        <w:spacing w:line="440" w:lineRule="exact"/>
        <w:rPr>
          <w:rFonts w:ascii="Times New Roman" w:hAnsi="Times New Roman"/>
          <w:spacing w:val="-6"/>
          <w:szCs w:val="21"/>
        </w:rPr>
      </w:pPr>
    </w:p>
    <w:p w14:paraId="30E3ABF9">
      <w:pPr>
        <w:spacing w:line="440" w:lineRule="exact"/>
        <w:rPr>
          <w:rFonts w:ascii="Times New Roman" w:hAnsi="Times New Roman"/>
          <w:spacing w:val="-6"/>
          <w:szCs w:val="21"/>
        </w:rPr>
      </w:pPr>
    </w:p>
    <w:p w14:paraId="7CFDBB12">
      <w:pPr>
        <w:spacing w:line="440" w:lineRule="exact"/>
        <w:rPr>
          <w:rFonts w:ascii="Times New Roman" w:hAnsi="Times New Roman"/>
          <w:spacing w:val="-6"/>
          <w:szCs w:val="21"/>
        </w:rPr>
      </w:pPr>
    </w:p>
    <w:p w14:paraId="14253C02">
      <w:pPr>
        <w:spacing w:line="440" w:lineRule="exact"/>
        <w:rPr>
          <w:rFonts w:ascii="Times New Roman" w:hAnsi="Times New Roman"/>
          <w:spacing w:val="-6"/>
          <w:szCs w:val="21"/>
        </w:rPr>
      </w:pPr>
    </w:p>
    <w:p w14:paraId="536D3B71">
      <w:pPr>
        <w:spacing w:line="440" w:lineRule="exact"/>
        <w:rPr>
          <w:rFonts w:ascii="Times New Roman" w:hAnsi="Times New Roman"/>
          <w:spacing w:val="-6"/>
          <w:szCs w:val="21"/>
        </w:rPr>
      </w:pPr>
    </w:p>
    <w:p w14:paraId="296752C3">
      <w:pPr>
        <w:spacing w:line="440" w:lineRule="exact"/>
        <w:rPr>
          <w:rFonts w:ascii="Times New Roman" w:hAnsi="Times New Roman"/>
          <w:spacing w:val="-6"/>
          <w:szCs w:val="21"/>
        </w:rPr>
      </w:pPr>
    </w:p>
    <w:p w14:paraId="28788891">
      <w:pPr>
        <w:spacing w:line="440" w:lineRule="exact"/>
        <w:rPr>
          <w:rFonts w:ascii="Times New Roman" w:hAnsi="Times New Roman"/>
          <w:spacing w:val="-6"/>
          <w:szCs w:val="21"/>
        </w:rPr>
      </w:pPr>
    </w:p>
    <w:p w14:paraId="5CB59F39">
      <w:pPr>
        <w:spacing w:line="440" w:lineRule="exact"/>
        <w:rPr>
          <w:rFonts w:ascii="Times New Roman" w:hAnsi="Times New Roman"/>
          <w:spacing w:val="-6"/>
          <w:szCs w:val="21"/>
        </w:rPr>
      </w:pPr>
    </w:p>
    <w:p w14:paraId="2E36FF6A">
      <w:pPr>
        <w:spacing w:line="440" w:lineRule="exact"/>
        <w:rPr>
          <w:rFonts w:ascii="Times New Roman" w:hAnsi="Times New Roman"/>
          <w:spacing w:val="-6"/>
          <w:szCs w:val="21"/>
        </w:rPr>
      </w:pPr>
    </w:p>
    <w:p w14:paraId="66CF119B">
      <w:pPr>
        <w:spacing w:line="440" w:lineRule="exact"/>
        <w:rPr>
          <w:rFonts w:ascii="Times New Roman" w:hAnsi="Times New Roman"/>
          <w:spacing w:val="-6"/>
          <w:szCs w:val="21"/>
        </w:rPr>
      </w:pPr>
    </w:p>
    <w:p w14:paraId="044F76D5">
      <w:pPr>
        <w:spacing w:line="440" w:lineRule="exact"/>
        <w:rPr>
          <w:rFonts w:ascii="Times New Roman" w:hAnsi="Times New Roman"/>
          <w:spacing w:val="-6"/>
          <w:szCs w:val="21"/>
        </w:rPr>
      </w:pPr>
    </w:p>
    <w:p w14:paraId="2ED1BF04">
      <w:pPr>
        <w:spacing w:line="440" w:lineRule="exact"/>
        <w:rPr>
          <w:rFonts w:ascii="Times New Roman" w:hAnsi="Times New Roman"/>
          <w:spacing w:val="-6"/>
          <w:szCs w:val="21"/>
        </w:rPr>
      </w:pPr>
    </w:p>
    <w:p w14:paraId="4A2057AF">
      <w:pPr>
        <w:spacing w:line="440" w:lineRule="exact"/>
        <w:rPr>
          <w:rFonts w:ascii="Times New Roman" w:hAnsi="Times New Roman"/>
          <w:spacing w:val="-6"/>
          <w:szCs w:val="21"/>
        </w:rPr>
      </w:pPr>
    </w:p>
    <w:p w14:paraId="5D466630">
      <w:pPr>
        <w:spacing w:line="440" w:lineRule="exact"/>
        <w:rPr>
          <w:rFonts w:ascii="Times New Roman" w:hAnsi="Times New Roman"/>
          <w:spacing w:val="-6"/>
          <w:szCs w:val="21"/>
        </w:rPr>
      </w:pPr>
    </w:p>
    <w:p w14:paraId="208CA0F4">
      <w:pPr>
        <w:spacing w:line="440" w:lineRule="exact"/>
        <w:rPr>
          <w:rFonts w:ascii="Times New Roman" w:hAnsi="Times New Roman"/>
          <w:spacing w:val="-6"/>
          <w:szCs w:val="21"/>
        </w:rPr>
      </w:pPr>
    </w:p>
    <w:p w14:paraId="6F7F393F">
      <w:pPr>
        <w:spacing w:line="440" w:lineRule="exact"/>
        <w:rPr>
          <w:rFonts w:ascii="Times New Roman" w:hAnsi="Times New Roman"/>
          <w:spacing w:val="-6"/>
          <w:szCs w:val="21"/>
        </w:rPr>
      </w:pPr>
    </w:p>
    <w:p w14:paraId="0E1C6FFD">
      <w:pPr>
        <w:spacing w:line="440" w:lineRule="exact"/>
        <w:rPr>
          <w:rFonts w:ascii="Times New Roman" w:hAnsi="Times New Roman"/>
          <w:spacing w:val="-6"/>
          <w:szCs w:val="21"/>
        </w:rPr>
      </w:pPr>
    </w:p>
    <w:p w14:paraId="037734ED">
      <w:pPr>
        <w:spacing w:line="440" w:lineRule="exact"/>
        <w:rPr>
          <w:rFonts w:ascii="Times New Roman" w:hAnsi="Times New Roman"/>
          <w:spacing w:val="-6"/>
          <w:szCs w:val="21"/>
        </w:rPr>
      </w:pPr>
    </w:p>
    <w:p w14:paraId="42AC1A84">
      <w:pPr>
        <w:spacing w:line="440" w:lineRule="exact"/>
        <w:rPr>
          <w:rFonts w:ascii="Times New Roman" w:hAnsi="Times New Roman"/>
          <w:spacing w:val="-6"/>
          <w:szCs w:val="21"/>
        </w:rPr>
      </w:pPr>
    </w:p>
    <w:p w14:paraId="776BAD70">
      <w:pPr>
        <w:spacing w:line="440" w:lineRule="exact"/>
        <w:rPr>
          <w:rFonts w:ascii="Times New Roman" w:hAnsi="Times New Roman"/>
          <w:spacing w:val="-6"/>
          <w:szCs w:val="21"/>
        </w:rPr>
      </w:pPr>
    </w:p>
    <w:p w14:paraId="3D79DFE2">
      <w:pPr>
        <w:pStyle w:val="4"/>
        <w:ind w:firstLine="0" w:firstLineChars="0"/>
        <w:jc w:val="center"/>
        <w:rPr>
          <w:rFonts w:ascii="Times New Roman" w:hAnsi="Times New Roman" w:eastAsia="楷体"/>
          <w:szCs w:val="21"/>
        </w:rPr>
      </w:pPr>
      <w:bookmarkStart w:id="465" w:name="_Toc421917010"/>
      <w:bookmarkStart w:id="466" w:name="_Toc460227118"/>
      <w:bookmarkStart w:id="467" w:name="_Toc390411629"/>
      <w:bookmarkStart w:id="468" w:name="_Toc460660233"/>
      <w:r>
        <w:rPr>
          <w:rFonts w:ascii="Times New Roman" w:hAnsi="Times New Roman"/>
          <w:sz w:val="24"/>
          <w:szCs w:val="24"/>
        </w:rPr>
        <w:t>八、服务方案</w:t>
      </w:r>
    </w:p>
    <w:p w14:paraId="43C905F4">
      <w:pPr>
        <w:spacing w:line="360" w:lineRule="auto"/>
        <w:ind w:firstLine="474" w:firstLineChars="226"/>
        <w:rPr>
          <w:rFonts w:ascii="Times New Roman" w:hAnsi="Times New Roman"/>
          <w:szCs w:val="21"/>
        </w:rPr>
      </w:pPr>
    </w:p>
    <w:p w14:paraId="27E9303B">
      <w:pPr>
        <w:spacing w:line="360" w:lineRule="auto"/>
        <w:ind w:firstLine="474" w:firstLineChars="226"/>
        <w:rPr>
          <w:rFonts w:ascii="Times New Roman" w:hAnsi="Times New Roman"/>
          <w:szCs w:val="21"/>
        </w:rPr>
      </w:pPr>
      <w:r>
        <w:rPr>
          <w:rFonts w:ascii="Times New Roman" w:hAnsi="Times New Roman"/>
          <w:szCs w:val="21"/>
        </w:rPr>
        <w:t>服务方案应包括（但不限于）下列内容：</w:t>
      </w:r>
    </w:p>
    <w:p w14:paraId="5DA858B4">
      <w:pPr>
        <w:spacing w:line="360" w:lineRule="auto"/>
        <w:ind w:firstLine="474" w:firstLineChars="226"/>
        <w:rPr>
          <w:rFonts w:ascii="Times New Roman" w:hAnsi="Times New Roman"/>
          <w:szCs w:val="21"/>
        </w:rPr>
      </w:pPr>
      <w:r>
        <w:rPr>
          <w:rFonts w:ascii="Times New Roman" w:hAnsi="Times New Roman"/>
          <w:szCs w:val="21"/>
        </w:rPr>
        <w:t>1.……</w:t>
      </w:r>
    </w:p>
    <w:p w14:paraId="64FF7788">
      <w:pPr>
        <w:spacing w:line="360" w:lineRule="auto"/>
        <w:ind w:firstLine="474" w:firstLineChars="226"/>
        <w:rPr>
          <w:rFonts w:ascii="Times New Roman" w:hAnsi="Times New Roman"/>
          <w:szCs w:val="21"/>
        </w:rPr>
      </w:pPr>
      <w:r>
        <w:rPr>
          <w:rFonts w:ascii="Times New Roman" w:hAnsi="Times New Roman"/>
          <w:szCs w:val="21"/>
        </w:rPr>
        <w:t>2.……</w:t>
      </w:r>
    </w:p>
    <w:p w14:paraId="2F0B359C">
      <w:pPr>
        <w:spacing w:line="360" w:lineRule="auto"/>
        <w:ind w:firstLine="474" w:firstLineChars="226"/>
        <w:rPr>
          <w:rFonts w:ascii="Times New Roman" w:hAnsi="Times New Roman"/>
          <w:szCs w:val="21"/>
        </w:rPr>
      </w:pPr>
      <w:r>
        <w:rPr>
          <w:rFonts w:ascii="Times New Roman" w:hAnsi="Times New Roman"/>
          <w:szCs w:val="21"/>
        </w:rPr>
        <w:t>3.…….</w:t>
      </w:r>
    </w:p>
    <w:p w14:paraId="02F07716">
      <w:pPr>
        <w:spacing w:line="360" w:lineRule="auto"/>
        <w:ind w:firstLine="474" w:firstLineChars="226"/>
        <w:rPr>
          <w:rFonts w:ascii="Times New Roman" w:hAnsi="Times New Roman"/>
          <w:szCs w:val="21"/>
        </w:rPr>
      </w:pPr>
      <w:r>
        <w:rPr>
          <w:rFonts w:ascii="Times New Roman" w:hAnsi="Times New Roman"/>
          <w:szCs w:val="21"/>
        </w:rPr>
        <w:t>…….</w:t>
      </w:r>
    </w:p>
    <w:p w14:paraId="782079A9">
      <w:pPr>
        <w:rPr>
          <w:rFonts w:ascii="Times New Roman" w:hAnsi="Times New Roman"/>
          <w:highlight w:val="none"/>
        </w:rPr>
      </w:pPr>
      <w:r>
        <w:rPr>
          <w:rFonts w:ascii="Times New Roman" w:hAnsi="Times New Roman"/>
        </w:rPr>
        <w:br w:type="page"/>
      </w:r>
    </w:p>
    <w:p w14:paraId="0E095353">
      <w:pPr>
        <w:widowControl/>
        <w:jc w:val="left"/>
        <w:rPr>
          <w:rFonts w:ascii="Times New Roman" w:hAnsi="Times New Roman"/>
          <w:sz w:val="24"/>
          <w:szCs w:val="24"/>
          <w:highlight w:val="none"/>
        </w:rPr>
      </w:pPr>
    </w:p>
    <w:p w14:paraId="592303F9">
      <w:pPr>
        <w:pStyle w:val="4"/>
        <w:spacing w:before="0" w:after="0" w:line="500" w:lineRule="exact"/>
        <w:jc w:val="center"/>
        <w:rPr>
          <w:rFonts w:hint="default" w:ascii="黑体" w:hAnsi="黑体" w:eastAsia="黑体"/>
          <w:sz w:val="36"/>
          <w:szCs w:val="36"/>
          <w:highlight w:val="none"/>
          <w:lang w:val="en-US" w:eastAsia="zh-CN"/>
        </w:rPr>
      </w:pPr>
      <w:r>
        <w:rPr>
          <w:rFonts w:hint="eastAsia" w:ascii="Times New Roman" w:hAnsi="Times New Roman" w:cs="Times New Roman"/>
          <w:bCs/>
          <w:sz w:val="28"/>
          <w:szCs w:val="28"/>
          <w:highlight w:val="none"/>
          <w:lang w:val="en-US" w:eastAsia="zh-CN"/>
        </w:rPr>
        <w:t>九、</w:t>
      </w:r>
      <w:r>
        <w:rPr>
          <w:rFonts w:hint="eastAsia" w:ascii="Times New Roman" w:hAnsi="Times New Roman" w:cs="Times New Roman"/>
          <w:bCs/>
          <w:sz w:val="28"/>
          <w:szCs w:val="28"/>
          <w:highlight w:val="none"/>
        </w:rPr>
        <w:t>信用查询截图</w:t>
      </w:r>
    </w:p>
    <w:p w14:paraId="7D5C2BA7">
      <w:pPr>
        <w:rPr>
          <w:rFonts w:hint="eastAsia" w:eastAsia="宋体"/>
          <w:highlight w:val="none"/>
          <w:lang w:eastAsia="zh-CN"/>
        </w:rPr>
      </w:pPr>
      <w:r>
        <w:rPr>
          <w:rFonts w:hint="eastAsia"/>
          <w:highlight w:val="none"/>
        </w:rPr>
        <w:t>1</w:t>
      </w:r>
      <w:r>
        <w:rPr>
          <w:highlight w:val="none"/>
        </w:rPr>
        <w:t>.</w:t>
      </w:r>
      <w:r>
        <w:rPr>
          <w:rFonts w:hint="eastAsia"/>
          <w:highlight w:val="none"/>
        </w:rPr>
        <w:t xml:space="preserve"> 国家企业信用信息公示系统</w:t>
      </w:r>
      <w:r>
        <w:rPr>
          <w:rFonts w:hint="eastAsia"/>
          <w:highlight w:val="none"/>
          <w:lang w:eastAsia="zh-CN"/>
        </w:rPr>
        <w:t>（在国家企业信用信息公示系统（http://www.gsxt.gov.cn/）中</w:t>
      </w:r>
      <w:r>
        <w:rPr>
          <w:rFonts w:hint="eastAsia"/>
          <w:highlight w:val="none"/>
          <w:lang w:val="en-US" w:eastAsia="zh-CN"/>
        </w:rPr>
        <w:t>未</w:t>
      </w:r>
      <w:r>
        <w:rPr>
          <w:rFonts w:hint="eastAsia"/>
          <w:highlight w:val="none"/>
          <w:lang w:eastAsia="zh-CN"/>
        </w:rPr>
        <w:t>被列入严重违法失信企业名单）</w:t>
      </w:r>
    </w:p>
    <w:p w14:paraId="12D6B067">
      <w:pPr>
        <w:rPr>
          <w:highlight w:val="none"/>
        </w:rPr>
      </w:pPr>
    </w:p>
    <w:p w14:paraId="16790644">
      <w:pPr>
        <w:rPr>
          <w:highlight w:val="none"/>
        </w:rPr>
      </w:pPr>
    </w:p>
    <w:p w14:paraId="3F532DCF">
      <w:pPr>
        <w:rPr>
          <w:highlight w:val="none"/>
        </w:rPr>
      </w:pPr>
    </w:p>
    <w:p w14:paraId="476C4200">
      <w:pPr>
        <w:rPr>
          <w:highlight w:val="none"/>
        </w:rPr>
      </w:pPr>
    </w:p>
    <w:p w14:paraId="753C3314">
      <w:pPr>
        <w:rPr>
          <w:highlight w:val="none"/>
        </w:rPr>
      </w:pPr>
    </w:p>
    <w:p w14:paraId="04D4A537">
      <w:pPr>
        <w:rPr>
          <w:highlight w:val="none"/>
        </w:rPr>
      </w:pPr>
    </w:p>
    <w:p w14:paraId="4779D556">
      <w:pPr>
        <w:rPr>
          <w:highlight w:val="none"/>
        </w:rPr>
      </w:pPr>
    </w:p>
    <w:p w14:paraId="7F87A778">
      <w:pPr>
        <w:rPr>
          <w:highlight w:val="none"/>
        </w:rPr>
      </w:pPr>
    </w:p>
    <w:p w14:paraId="332269EA">
      <w:pPr>
        <w:rPr>
          <w:highlight w:val="none"/>
        </w:rPr>
      </w:pPr>
    </w:p>
    <w:p w14:paraId="3089C77F">
      <w:pPr>
        <w:rPr>
          <w:highlight w:val="none"/>
        </w:rPr>
      </w:pPr>
    </w:p>
    <w:p w14:paraId="41BA2CC6">
      <w:pPr>
        <w:rPr>
          <w:highlight w:val="none"/>
        </w:rPr>
      </w:pPr>
    </w:p>
    <w:p w14:paraId="2C6DF7DD">
      <w:pPr>
        <w:rPr>
          <w:highlight w:val="none"/>
        </w:rPr>
      </w:pPr>
    </w:p>
    <w:p w14:paraId="20B975E4">
      <w:pPr>
        <w:rPr>
          <w:highlight w:val="none"/>
        </w:rPr>
      </w:pPr>
    </w:p>
    <w:p w14:paraId="0FAD6B5E">
      <w:pPr>
        <w:rPr>
          <w:highlight w:val="none"/>
        </w:rPr>
      </w:pPr>
    </w:p>
    <w:p w14:paraId="0687F36B">
      <w:pPr>
        <w:rPr>
          <w:rFonts w:hint="eastAsia"/>
          <w:highlight w:val="none"/>
        </w:rPr>
      </w:pPr>
    </w:p>
    <w:p w14:paraId="0A3EE1AE">
      <w:pPr>
        <w:rPr>
          <w:rFonts w:hint="eastAsia"/>
          <w:highlight w:val="none"/>
        </w:rPr>
      </w:pPr>
    </w:p>
    <w:p w14:paraId="6845D235">
      <w:pPr>
        <w:rPr>
          <w:highlight w:val="none"/>
        </w:rPr>
      </w:pPr>
    </w:p>
    <w:p w14:paraId="30CEE6F2">
      <w:pPr>
        <w:rPr>
          <w:highlight w:val="none"/>
        </w:rPr>
      </w:pPr>
    </w:p>
    <w:p w14:paraId="2EA636F5">
      <w:pPr>
        <w:rPr>
          <w:highlight w:val="none"/>
        </w:rPr>
      </w:pPr>
    </w:p>
    <w:p w14:paraId="4F7D5932">
      <w:pPr>
        <w:numPr>
          <w:ilvl w:val="0"/>
          <w:numId w:val="7"/>
        </w:numPr>
        <w:rPr>
          <w:rFonts w:hint="eastAsia"/>
          <w:highlight w:val="none"/>
        </w:rPr>
      </w:pPr>
      <w:r>
        <w:rPr>
          <w:rFonts w:hint="eastAsia"/>
          <w:highlight w:val="none"/>
        </w:rPr>
        <w:t>信用中国</w:t>
      </w:r>
      <w:r>
        <w:rPr>
          <w:rFonts w:hint="eastAsia"/>
          <w:highlight w:val="none"/>
          <w:lang w:eastAsia="zh-CN"/>
        </w:rPr>
        <w:t>（</w:t>
      </w:r>
      <w:r>
        <w:rPr>
          <w:rFonts w:ascii="Times New Roman" w:hAnsi="Times New Roman"/>
          <w:bCs/>
          <w:snapToGrid w:val="0"/>
          <w:kern w:val="0"/>
          <w:szCs w:val="21"/>
          <w:highlight w:val="none"/>
        </w:rPr>
        <w:t>在“信用中国”网站（http://www.creditchina.gov.cn/）中</w:t>
      </w:r>
      <w:r>
        <w:rPr>
          <w:rFonts w:hint="eastAsia" w:ascii="Times New Roman" w:hAnsi="Times New Roman"/>
          <w:bCs/>
          <w:snapToGrid w:val="0"/>
          <w:kern w:val="0"/>
          <w:szCs w:val="21"/>
          <w:highlight w:val="none"/>
          <w:lang w:val="en-US" w:eastAsia="zh-CN"/>
        </w:rPr>
        <w:t>未</w:t>
      </w:r>
      <w:r>
        <w:rPr>
          <w:rFonts w:ascii="Times New Roman" w:hAnsi="Times New Roman"/>
          <w:bCs/>
          <w:snapToGrid w:val="0"/>
          <w:kern w:val="0"/>
          <w:szCs w:val="21"/>
          <w:highlight w:val="none"/>
        </w:rPr>
        <w:t>被列入失信被执行人名单</w:t>
      </w:r>
      <w:r>
        <w:rPr>
          <w:rFonts w:hint="eastAsia" w:ascii="Times New Roman" w:hAnsi="Times New Roman"/>
          <w:bCs/>
          <w:snapToGrid w:val="0"/>
          <w:kern w:val="0"/>
          <w:szCs w:val="21"/>
          <w:highlight w:val="none"/>
          <w:lang w:eastAsia="zh-CN"/>
        </w:rPr>
        <w:t>、</w:t>
      </w:r>
      <w:r>
        <w:rPr>
          <w:rFonts w:ascii="Times New Roman" w:hAnsi="Times New Roman"/>
          <w:bCs/>
          <w:snapToGrid w:val="0"/>
          <w:kern w:val="0"/>
          <w:szCs w:val="21"/>
          <w:highlight w:val="none"/>
        </w:rPr>
        <w:t xml:space="preserve"> 重大税收违法失信主体名单</w:t>
      </w:r>
      <w:r>
        <w:rPr>
          <w:rFonts w:hint="eastAsia" w:ascii="Times New Roman" w:hAnsi="Times New Roman"/>
          <w:bCs/>
          <w:snapToGrid w:val="0"/>
          <w:kern w:val="0"/>
          <w:szCs w:val="21"/>
          <w:highlight w:val="none"/>
          <w:lang w:eastAsia="zh-CN"/>
        </w:rPr>
        <w:t>）</w:t>
      </w:r>
    </w:p>
    <w:p w14:paraId="4AF00542">
      <w:pPr>
        <w:widowControl/>
        <w:jc w:val="left"/>
        <w:rPr>
          <w:rFonts w:ascii="Times New Roman" w:hAnsi="Times New Roman"/>
          <w:sz w:val="24"/>
          <w:szCs w:val="24"/>
          <w:highlight w:val="none"/>
        </w:rPr>
      </w:pPr>
    </w:p>
    <w:p w14:paraId="7209832F">
      <w:pPr>
        <w:widowControl/>
        <w:jc w:val="left"/>
        <w:rPr>
          <w:rFonts w:ascii="Times New Roman" w:hAnsi="Times New Roman"/>
          <w:sz w:val="24"/>
          <w:szCs w:val="24"/>
          <w:highlight w:val="none"/>
        </w:rPr>
      </w:pPr>
    </w:p>
    <w:p w14:paraId="02F72802">
      <w:pPr>
        <w:widowControl/>
        <w:jc w:val="left"/>
        <w:rPr>
          <w:rFonts w:ascii="Times New Roman" w:hAnsi="Times New Roman"/>
          <w:sz w:val="24"/>
          <w:szCs w:val="24"/>
          <w:highlight w:val="none"/>
        </w:rPr>
      </w:pPr>
    </w:p>
    <w:p w14:paraId="0611FB58">
      <w:pPr>
        <w:widowControl/>
        <w:jc w:val="left"/>
        <w:rPr>
          <w:rFonts w:ascii="Times New Roman" w:hAnsi="Times New Roman"/>
          <w:sz w:val="24"/>
          <w:szCs w:val="24"/>
          <w:highlight w:val="none"/>
        </w:rPr>
      </w:pPr>
    </w:p>
    <w:p w14:paraId="4F47AA05">
      <w:pPr>
        <w:widowControl/>
        <w:jc w:val="left"/>
        <w:rPr>
          <w:rFonts w:ascii="Times New Roman" w:hAnsi="Times New Roman"/>
          <w:sz w:val="24"/>
          <w:szCs w:val="24"/>
        </w:rPr>
      </w:pPr>
    </w:p>
    <w:p w14:paraId="67FB433C">
      <w:pPr>
        <w:widowControl/>
        <w:jc w:val="left"/>
        <w:rPr>
          <w:rFonts w:ascii="Times New Roman" w:hAnsi="Times New Roman"/>
          <w:sz w:val="24"/>
          <w:szCs w:val="24"/>
        </w:rPr>
      </w:pPr>
    </w:p>
    <w:p w14:paraId="6D1FD3D8">
      <w:pPr>
        <w:widowControl/>
        <w:jc w:val="left"/>
        <w:rPr>
          <w:rFonts w:ascii="Times New Roman" w:hAnsi="Times New Roman"/>
          <w:sz w:val="24"/>
          <w:szCs w:val="24"/>
        </w:rPr>
      </w:pPr>
    </w:p>
    <w:p w14:paraId="5B3F50DB">
      <w:pPr>
        <w:widowControl/>
        <w:jc w:val="left"/>
        <w:rPr>
          <w:rFonts w:ascii="Times New Roman" w:hAnsi="Times New Roman"/>
          <w:sz w:val="24"/>
          <w:szCs w:val="24"/>
        </w:rPr>
      </w:pPr>
    </w:p>
    <w:p w14:paraId="24361223">
      <w:pPr>
        <w:widowControl/>
        <w:jc w:val="left"/>
        <w:rPr>
          <w:rFonts w:ascii="Times New Roman" w:hAnsi="Times New Roman"/>
          <w:sz w:val="24"/>
          <w:szCs w:val="24"/>
        </w:rPr>
      </w:pPr>
    </w:p>
    <w:p w14:paraId="4C37BEB4">
      <w:pPr>
        <w:widowControl/>
        <w:jc w:val="left"/>
        <w:rPr>
          <w:rFonts w:ascii="Times New Roman" w:hAnsi="Times New Roman"/>
          <w:sz w:val="24"/>
          <w:szCs w:val="24"/>
        </w:rPr>
      </w:pPr>
    </w:p>
    <w:p w14:paraId="20106C34">
      <w:pPr>
        <w:widowControl/>
        <w:jc w:val="left"/>
        <w:rPr>
          <w:rFonts w:ascii="Times New Roman" w:hAnsi="Times New Roman"/>
          <w:sz w:val="24"/>
          <w:szCs w:val="24"/>
        </w:rPr>
      </w:pPr>
    </w:p>
    <w:p w14:paraId="540B4BC0">
      <w:pPr>
        <w:widowControl/>
        <w:jc w:val="left"/>
        <w:rPr>
          <w:rFonts w:ascii="Times New Roman" w:hAnsi="Times New Roman"/>
          <w:sz w:val="24"/>
          <w:szCs w:val="24"/>
        </w:rPr>
      </w:pPr>
    </w:p>
    <w:p w14:paraId="2F6E9F0B">
      <w:pPr>
        <w:widowControl/>
        <w:jc w:val="left"/>
        <w:rPr>
          <w:rFonts w:ascii="Times New Roman" w:hAnsi="Times New Roman"/>
          <w:sz w:val="24"/>
          <w:szCs w:val="24"/>
        </w:rPr>
      </w:pPr>
    </w:p>
    <w:p w14:paraId="4F135E42">
      <w:pPr>
        <w:widowControl/>
        <w:jc w:val="left"/>
        <w:rPr>
          <w:rFonts w:ascii="Times New Roman" w:hAnsi="Times New Roman"/>
          <w:sz w:val="24"/>
          <w:szCs w:val="24"/>
        </w:rPr>
      </w:pPr>
    </w:p>
    <w:p w14:paraId="47C987C9">
      <w:pPr>
        <w:widowControl/>
        <w:jc w:val="left"/>
        <w:rPr>
          <w:rFonts w:ascii="Times New Roman" w:hAnsi="Times New Roman"/>
          <w:sz w:val="24"/>
          <w:szCs w:val="24"/>
        </w:rPr>
      </w:pPr>
    </w:p>
    <w:p w14:paraId="4ABD25A4">
      <w:pPr>
        <w:widowControl/>
        <w:jc w:val="left"/>
        <w:rPr>
          <w:rFonts w:ascii="Times New Roman" w:hAnsi="Times New Roman"/>
          <w:sz w:val="24"/>
          <w:szCs w:val="24"/>
        </w:rPr>
      </w:pPr>
    </w:p>
    <w:p w14:paraId="4AA85AD2">
      <w:pPr>
        <w:widowControl/>
        <w:jc w:val="left"/>
        <w:rPr>
          <w:rFonts w:ascii="Times New Roman" w:hAnsi="Times New Roman"/>
          <w:sz w:val="24"/>
          <w:szCs w:val="24"/>
        </w:rPr>
      </w:pPr>
    </w:p>
    <w:p w14:paraId="07DDE254">
      <w:pPr>
        <w:pStyle w:val="4"/>
        <w:ind w:firstLine="0" w:firstLineChars="0"/>
        <w:jc w:val="center"/>
        <w:rPr>
          <w:rFonts w:ascii="Times New Roman" w:hAnsi="Times New Roman"/>
          <w:sz w:val="24"/>
          <w:szCs w:val="24"/>
        </w:rPr>
      </w:pPr>
      <w:r>
        <w:rPr>
          <w:rFonts w:hint="eastAsia" w:ascii="Times New Roman" w:hAnsi="Times New Roman"/>
          <w:sz w:val="24"/>
          <w:szCs w:val="24"/>
          <w:lang w:val="en-US" w:eastAsia="zh-CN"/>
        </w:rPr>
        <w:t>十</w:t>
      </w:r>
      <w:r>
        <w:rPr>
          <w:rFonts w:ascii="Times New Roman" w:hAnsi="Times New Roman"/>
          <w:sz w:val="24"/>
          <w:szCs w:val="24"/>
        </w:rPr>
        <w:t>、其他资料</w:t>
      </w:r>
      <w:bookmarkEnd w:id="465"/>
      <w:bookmarkEnd w:id="466"/>
      <w:bookmarkEnd w:id="467"/>
      <w:bookmarkEnd w:id="468"/>
    </w:p>
    <w:p w14:paraId="7C87FA26">
      <w:pPr>
        <w:tabs>
          <w:tab w:val="left" w:pos="5760"/>
        </w:tabs>
        <w:autoSpaceDE w:val="0"/>
        <w:autoSpaceDN w:val="0"/>
        <w:adjustRightInd w:val="0"/>
        <w:spacing w:line="300" w:lineRule="exact"/>
        <w:ind w:right="11" w:firstLine="420" w:firstLineChars="200"/>
        <w:rPr>
          <w:rFonts w:ascii="Times New Roman" w:hAnsi="Times New Roman"/>
          <w:szCs w:val="21"/>
        </w:rPr>
      </w:pPr>
      <w:r>
        <w:rPr>
          <w:rFonts w:ascii="Times New Roman" w:hAnsi="Times New Roman"/>
          <w:szCs w:val="21"/>
        </w:rPr>
        <w:t>投标人对照商务及技术文件初步评审及详细评审条件，自行提供其他相关资料（如有）</w:t>
      </w:r>
    </w:p>
    <w:p w14:paraId="00D3F7DC">
      <w:pPr>
        <w:spacing w:line="440" w:lineRule="exact"/>
        <w:jc w:val="center"/>
        <w:rPr>
          <w:rFonts w:ascii="Times New Roman" w:hAnsi="Times New Roman"/>
          <w:color w:val="000000"/>
        </w:rPr>
      </w:pPr>
      <w:r>
        <w:rPr>
          <w:rFonts w:ascii="Times New Roman" w:hAnsi="Times New Roman"/>
          <w:color w:val="000000"/>
        </w:rPr>
        <w:t>（一）投标人近年类似业绩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69F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0BC333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68CBD27">
            <w:pPr>
              <w:autoSpaceDE w:val="0"/>
              <w:autoSpaceDN w:val="0"/>
              <w:adjustRightInd w:val="0"/>
              <w:spacing w:line="300" w:lineRule="exact"/>
              <w:jc w:val="center"/>
              <w:rPr>
                <w:rFonts w:ascii="Times New Roman" w:hAnsi="Times New Roman"/>
                <w:kern w:val="0"/>
                <w:szCs w:val="21"/>
              </w:rPr>
            </w:pPr>
          </w:p>
        </w:tc>
      </w:tr>
      <w:tr w14:paraId="5A30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81D2623">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8E77918">
            <w:pPr>
              <w:autoSpaceDE w:val="0"/>
              <w:autoSpaceDN w:val="0"/>
              <w:adjustRightInd w:val="0"/>
              <w:spacing w:line="300" w:lineRule="exact"/>
              <w:jc w:val="center"/>
              <w:rPr>
                <w:rFonts w:ascii="Times New Roman" w:hAnsi="Times New Roman"/>
                <w:kern w:val="0"/>
                <w:szCs w:val="21"/>
              </w:rPr>
            </w:pPr>
          </w:p>
        </w:tc>
      </w:tr>
      <w:tr w14:paraId="432B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C628FA4">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9783095">
            <w:pPr>
              <w:autoSpaceDE w:val="0"/>
              <w:autoSpaceDN w:val="0"/>
              <w:adjustRightInd w:val="0"/>
              <w:spacing w:line="300" w:lineRule="exact"/>
              <w:jc w:val="center"/>
              <w:rPr>
                <w:rFonts w:ascii="Times New Roman" w:hAnsi="Times New Roman"/>
                <w:kern w:val="0"/>
                <w:szCs w:val="21"/>
              </w:rPr>
            </w:pPr>
          </w:p>
        </w:tc>
      </w:tr>
      <w:tr w14:paraId="28F7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5EE4AC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AE324F6">
            <w:pPr>
              <w:autoSpaceDE w:val="0"/>
              <w:autoSpaceDN w:val="0"/>
              <w:adjustRightInd w:val="0"/>
              <w:spacing w:line="300" w:lineRule="exact"/>
              <w:jc w:val="center"/>
              <w:rPr>
                <w:rFonts w:ascii="Times New Roman" w:hAnsi="Times New Roman"/>
                <w:kern w:val="0"/>
                <w:szCs w:val="21"/>
              </w:rPr>
            </w:pPr>
          </w:p>
        </w:tc>
      </w:tr>
      <w:tr w14:paraId="3889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C27BEE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96D6B97">
            <w:pPr>
              <w:autoSpaceDE w:val="0"/>
              <w:autoSpaceDN w:val="0"/>
              <w:adjustRightInd w:val="0"/>
              <w:spacing w:line="300" w:lineRule="exact"/>
              <w:jc w:val="center"/>
              <w:rPr>
                <w:rFonts w:ascii="Times New Roman" w:hAnsi="Times New Roman"/>
                <w:kern w:val="0"/>
                <w:szCs w:val="21"/>
              </w:rPr>
            </w:pPr>
          </w:p>
        </w:tc>
      </w:tr>
      <w:tr w14:paraId="4E38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3E3076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A933A97">
            <w:pPr>
              <w:autoSpaceDE w:val="0"/>
              <w:autoSpaceDN w:val="0"/>
              <w:adjustRightInd w:val="0"/>
              <w:spacing w:line="300" w:lineRule="exact"/>
              <w:jc w:val="center"/>
              <w:rPr>
                <w:rFonts w:ascii="Times New Roman" w:hAnsi="Times New Roman"/>
                <w:kern w:val="0"/>
                <w:szCs w:val="21"/>
              </w:rPr>
            </w:pPr>
          </w:p>
        </w:tc>
      </w:tr>
      <w:tr w14:paraId="4548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F14013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7FC6704">
            <w:pPr>
              <w:autoSpaceDE w:val="0"/>
              <w:autoSpaceDN w:val="0"/>
              <w:adjustRightInd w:val="0"/>
              <w:spacing w:line="300" w:lineRule="exact"/>
              <w:jc w:val="center"/>
              <w:rPr>
                <w:rFonts w:ascii="Times New Roman" w:hAnsi="Times New Roman"/>
                <w:kern w:val="0"/>
                <w:szCs w:val="21"/>
              </w:rPr>
            </w:pPr>
          </w:p>
        </w:tc>
      </w:tr>
      <w:tr w14:paraId="56D7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3E36BB0">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FEFE95B">
            <w:pPr>
              <w:autoSpaceDE w:val="0"/>
              <w:autoSpaceDN w:val="0"/>
              <w:adjustRightInd w:val="0"/>
              <w:spacing w:line="300" w:lineRule="exact"/>
              <w:jc w:val="center"/>
              <w:rPr>
                <w:rFonts w:ascii="Times New Roman" w:hAnsi="Times New Roman"/>
                <w:kern w:val="0"/>
                <w:szCs w:val="21"/>
              </w:rPr>
            </w:pPr>
          </w:p>
        </w:tc>
      </w:tr>
      <w:tr w14:paraId="2489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95EE9E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6E43860">
            <w:pPr>
              <w:autoSpaceDE w:val="0"/>
              <w:autoSpaceDN w:val="0"/>
              <w:adjustRightInd w:val="0"/>
              <w:spacing w:line="300" w:lineRule="exact"/>
              <w:jc w:val="center"/>
              <w:rPr>
                <w:rFonts w:ascii="Times New Roman" w:hAnsi="Times New Roman"/>
                <w:kern w:val="0"/>
                <w:szCs w:val="21"/>
              </w:rPr>
            </w:pPr>
          </w:p>
        </w:tc>
      </w:tr>
      <w:tr w14:paraId="5C46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90F1EC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4C8A9AA">
            <w:pPr>
              <w:autoSpaceDE w:val="0"/>
              <w:autoSpaceDN w:val="0"/>
              <w:adjustRightInd w:val="0"/>
              <w:spacing w:line="300" w:lineRule="exact"/>
              <w:jc w:val="center"/>
              <w:rPr>
                <w:rFonts w:ascii="Times New Roman" w:hAnsi="Times New Roman"/>
                <w:kern w:val="0"/>
                <w:szCs w:val="21"/>
              </w:rPr>
            </w:pPr>
          </w:p>
        </w:tc>
      </w:tr>
      <w:tr w14:paraId="0197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3F38F5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B68E7A6">
            <w:pPr>
              <w:autoSpaceDE w:val="0"/>
              <w:autoSpaceDN w:val="0"/>
              <w:adjustRightInd w:val="0"/>
              <w:spacing w:line="300" w:lineRule="exact"/>
              <w:jc w:val="center"/>
              <w:rPr>
                <w:rFonts w:ascii="Times New Roman" w:hAnsi="Times New Roman"/>
                <w:kern w:val="0"/>
                <w:szCs w:val="21"/>
              </w:rPr>
            </w:pPr>
          </w:p>
        </w:tc>
      </w:tr>
      <w:tr w14:paraId="6217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E125E23">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24C6730">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001C992E">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注：投标人应根据招标文件要求在本表后附相关证明材料。</w:t>
      </w:r>
    </w:p>
    <w:p w14:paraId="0F4F77AB">
      <w:pPr>
        <w:spacing w:line="440" w:lineRule="exact"/>
        <w:jc w:val="center"/>
        <w:rPr>
          <w:rFonts w:ascii="Times New Roman" w:hAnsi="Times New Roman"/>
          <w:color w:val="000000"/>
        </w:rPr>
      </w:pPr>
      <w:r>
        <w:rPr>
          <w:rFonts w:ascii="Times New Roman" w:hAnsi="Times New Roman"/>
          <w:color w:val="000000"/>
        </w:rPr>
        <w:t>（二）项目负责人近年类似业绩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AC1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85CCF1F">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EEBBECF">
            <w:pPr>
              <w:autoSpaceDE w:val="0"/>
              <w:autoSpaceDN w:val="0"/>
              <w:adjustRightInd w:val="0"/>
              <w:spacing w:line="300" w:lineRule="exact"/>
              <w:jc w:val="center"/>
              <w:rPr>
                <w:rFonts w:ascii="Times New Roman" w:hAnsi="Times New Roman"/>
                <w:kern w:val="0"/>
                <w:szCs w:val="21"/>
              </w:rPr>
            </w:pPr>
          </w:p>
        </w:tc>
      </w:tr>
      <w:tr w14:paraId="7D15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2DDD2C8">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E9A7952">
            <w:pPr>
              <w:autoSpaceDE w:val="0"/>
              <w:autoSpaceDN w:val="0"/>
              <w:adjustRightInd w:val="0"/>
              <w:spacing w:line="300" w:lineRule="exact"/>
              <w:jc w:val="center"/>
              <w:rPr>
                <w:rFonts w:ascii="Times New Roman" w:hAnsi="Times New Roman"/>
                <w:kern w:val="0"/>
                <w:szCs w:val="21"/>
              </w:rPr>
            </w:pPr>
          </w:p>
        </w:tc>
      </w:tr>
      <w:tr w14:paraId="18F1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B44B04F">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42F0340">
            <w:pPr>
              <w:autoSpaceDE w:val="0"/>
              <w:autoSpaceDN w:val="0"/>
              <w:adjustRightInd w:val="0"/>
              <w:spacing w:line="300" w:lineRule="exact"/>
              <w:jc w:val="center"/>
              <w:rPr>
                <w:rFonts w:ascii="Times New Roman" w:hAnsi="Times New Roman"/>
                <w:kern w:val="0"/>
                <w:szCs w:val="21"/>
              </w:rPr>
            </w:pPr>
          </w:p>
        </w:tc>
      </w:tr>
      <w:tr w14:paraId="2306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CEEFEE5">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DA4C282">
            <w:pPr>
              <w:autoSpaceDE w:val="0"/>
              <w:autoSpaceDN w:val="0"/>
              <w:adjustRightInd w:val="0"/>
              <w:spacing w:line="300" w:lineRule="exact"/>
              <w:jc w:val="center"/>
              <w:rPr>
                <w:rFonts w:ascii="Times New Roman" w:hAnsi="Times New Roman"/>
                <w:kern w:val="0"/>
                <w:szCs w:val="21"/>
              </w:rPr>
            </w:pPr>
          </w:p>
        </w:tc>
      </w:tr>
      <w:tr w14:paraId="780F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63EF3BC">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B312DC6">
            <w:pPr>
              <w:autoSpaceDE w:val="0"/>
              <w:autoSpaceDN w:val="0"/>
              <w:adjustRightInd w:val="0"/>
              <w:spacing w:line="300" w:lineRule="exact"/>
              <w:jc w:val="center"/>
              <w:rPr>
                <w:rFonts w:ascii="Times New Roman" w:hAnsi="Times New Roman"/>
                <w:kern w:val="0"/>
                <w:szCs w:val="21"/>
              </w:rPr>
            </w:pPr>
          </w:p>
        </w:tc>
      </w:tr>
      <w:tr w14:paraId="7AC1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A3213D3">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DA81E29">
            <w:pPr>
              <w:autoSpaceDE w:val="0"/>
              <w:autoSpaceDN w:val="0"/>
              <w:adjustRightInd w:val="0"/>
              <w:spacing w:line="300" w:lineRule="exact"/>
              <w:jc w:val="center"/>
              <w:rPr>
                <w:rFonts w:ascii="Times New Roman" w:hAnsi="Times New Roman"/>
                <w:kern w:val="0"/>
                <w:szCs w:val="21"/>
              </w:rPr>
            </w:pPr>
          </w:p>
        </w:tc>
      </w:tr>
      <w:tr w14:paraId="41A8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0120E14">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1E38B66">
            <w:pPr>
              <w:autoSpaceDE w:val="0"/>
              <w:autoSpaceDN w:val="0"/>
              <w:adjustRightInd w:val="0"/>
              <w:spacing w:line="300" w:lineRule="exact"/>
              <w:jc w:val="center"/>
              <w:rPr>
                <w:rFonts w:ascii="Times New Roman" w:hAnsi="Times New Roman"/>
                <w:kern w:val="0"/>
                <w:szCs w:val="21"/>
              </w:rPr>
            </w:pPr>
          </w:p>
        </w:tc>
      </w:tr>
      <w:tr w14:paraId="2D79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F50948F">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E453F94">
            <w:pPr>
              <w:autoSpaceDE w:val="0"/>
              <w:autoSpaceDN w:val="0"/>
              <w:adjustRightInd w:val="0"/>
              <w:spacing w:line="300" w:lineRule="exact"/>
              <w:jc w:val="center"/>
              <w:rPr>
                <w:rFonts w:ascii="Times New Roman" w:hAnsi="Times New Roman"/>
                <w:kern w:val="0"/>
                <w:szCs w:val="21"/>
              </w:rPr>
            </w:pPr>
          </w:p>
        </w:tc>
      </w:tr>
      <w:tr w14:paraId="4A06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BE8C6F6">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18A37AE">
            <w:pPr>
              <w:autoSpaceDE w:val="0"/>
              <w:autoSpaceDN w:val="0"/>
              <w:adjustRightInd w:val="0"/>
              <w:spacing w:line="300" w:lineRule="exact"/>
              <w:jc w:val="center"/>
              <w:rPr>
                <w:rFonts w:ascii="Times New Roman" w:hAnsi="Times New Roman"/>
                <w:kern w:val="0"/>
                <w:szCs w:val="21"/>
              </w:rPr>
            </w:pPr>
          </w:p>
        </w:tc>
      </w:tr>
      <w:tr w14:paraId="40D7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ABEFB1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015C1D7">
            <w:pPr>
              <w:autoSpaceDE w:val="0"/>
              <w:autoSpaceDN w:val="0"/>
              <w:adjustRightInd w:val="0"/>
              <w:spacing w:line="300" w:lineRule="exact"/>
              <w:jc w:val="center"/>
              <w:rPr>
                <w:rFonts w:ascii="Times New Roman" w:hAnsi="Times New Roman"/>
                <w:kern w:val="0"/>
                <w:szCs w:val="21"/>
              </w:rPr>
            </w:pPr>
          </w:p>
        </w:tc>
      </w:tr>
      <w:tr w14:paraId="6E68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67A799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A184A4F">
            <w:pPr>
              <w:autoSpaceDE w:val="0"/>
              <w:autoSpaceDN w:val="0"/>
              <w:adjustRightInd w:val="0"/>
              <w:spacing w:line="300" w:lineRule="exact"/>
              <w:jc w:val="center"/>
              <w:rPr>
                <w:rFonts w:ascii="Times New Roman" w:hAnsi="Times New Roman"/>
                <w:kern w:val="0"/>
                <w:szCs w:val="21"/>
              </w:rPr>
            </w:pPr>
          </w:p>
        </w:tc>
      </w:tr>
      <w:tr w14:paraId="5B1A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36618B9">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1953237">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3EDA1157">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注：投标人应根据招标文件要求在本表后附相关证明材料。</w:t>
      </w:r>
    </w:p>
    <w:p w14:paraId="2AD1A7F9">
      <w:pPr>
        <w:spacing w:line="360" w:lineRule="auto"/>
        <w:ind w:firstLine="437"/>
        <w:jc w:val="center"/>
        <w:rPr>
          <w:rFonts w:ascii="Times New Roman" w:hAnsi="Times New Roman"/>
        </w:rPr>
      </w:pPr>
    </w:p>
    <w:p w14:paraId="4BFD94F9">
      <w:pPr>
        <w:spacing w:line="360" w:lineRule="auto"/>
        <w:ind w:firstLine="437"/>
        <w:jc w:val="center"/>
        <w:rPr>
          <w:rFonts w:ascii="Times New Roman" w:hAnsi="Times New Roman"/>
        </w:rPr>
      </w:pPr>
    </w:p>
    <w:p w14:paraId="7A90AFDF">
      <w:pPr>
        <w:spacing w:line="360" w:lineRule="auto"/>
        <w:ind w:firstLine="437"/>
        <w:jc w:val="center"/>
        <w:rPr>
          <w:rFonts w:ascii="Times New Roman" w:hAnsi="Times New Roman"/>
        </w:rPr>
      </w:pPr>
    </w:p>
    <w:p w14:paraId="71B6AE48">
      <w:pPr>
        <w:spacing w:line="360" w:lineRule="auto"/>
        <w:ind w:firstLine="437"/>
        <w:jc w:val="center"/>
        <w:rPr>
          <w:rFonts w:ascii="Times New Roman" w:hAnsi="Times New Roman"/>
        </w:rPr>
      </w:pPr>
    </w:p>
    <w:p w14:paraId="4E857A10">
      <w:pPr>
        <w:spacing w:line="360" w:lineRule="auto"/>
        <w:ind w:firstLine="437"/>
        <w:jc w:val="center"/>
        <w:rPr>
          <w:rFonts w:ascii="Times New Roman" w:hAnsi="Times New Roman"/>
        </w:rPr>
      </w:pPr>
    </w:p>
    <w:p w14:paraId="3D05A832">
      <w:pPr>
        <w:spacing w:line="360" w:lineRule="auto"/>
        <w:ind w:firstLine="437"/>
        <w:jc w:val="center"/>
        <w:rPr>
          <w:rFonts w:ascii="Times New Roman" w:hAnsi="Times New Roman"/>
        </w:rPr>
      </w:pPr>
    </w:p>
    <w:p w14:paraId="3801E652">
      <w:pPr>
        <w:spacing w:line="360" w:lineRule="auto"/>
        <w:ind w:firstLine="437"/>
        <w:jc w:val="center"/>
        <w:rPr>
          <w:rFonts w:ascii="Times New Roman" w:hAnsi="Times New Roman"/>
        </w:rPr>
      </w:pPr>
    </w:p>
    <w:p w14:paraId="00DCEBD0">
      <w:pPr>
        <w:spacing w:line="360" w:lineRule="auto"/>
        <w:ind w:firstLine="437"/>
        <w:jc w:val="center"/>
        <w:rPr>
          <w:rFonts w:ascii="Times New Roman" w:hAnsi="Times New Roman"/>
        </w:rPr>
      </w:pPr>
      <w:r>
        <w:rPr>
          <w:rFonts w:ascii="Times New Roman" w:hAnsi="Times New Roman"/>
        </w:rPr>
        <w:t>（三）......</w:t>
      </w:r>
    </w:p>
    <w:p w14:paraId="279F48C0">
      <w:pPr>
        <w:spacing w:line="440" w:lineRule="exact"/>
        <w:ind w:firstLine="2158" w:firstLineChars="1028"/>
        <w:rPr>
          <w:rFonts w:ascii="Times New Roman" w:hAnsi="Times New Roman"/>
        </w:rPr>
      </w:pPr>
    </w:p>
    <w:p w14:paraId="19A1C3BE">
      <w:pPr>
        <w:spacing w:line="440" w:lineRule="exact"/>
        <w:ind w:firstLine="2158" w:firstLineChars="1028"/>
        <w:rPr>
          <w:rFonts w:ascii="Times New Roman" w:hAnsi="Times New Roman"/>
        </w:rPr>
      </w:pPr>
    </w:p>
    <w:p w14:paraId="28458835">
      <w:pPr>
        <w:spacing w:line="440" w:lineRule="exact"/>
        <w:ind w:firstLine="2158" w:firstLineChars="1028"/>
        <w:rPr>
          <w:rFonts w:ascii="Times New Roman" w:hAnsi="Times New Roman"/>
        </w:rPr>
      </w:pPr>
    </w:p>
    <w:p w14:paraId="0B3B095B">
      <w:pPr>
        <w:spacing w:line="440" w:lineRule="exact"/>
        <w:ind w:firstLine="2158" w:firstLineChars="1028"/>
        <w:rPr>
          <w:rFonts w:ascii="Times New Roman" w:hAnsi="Times New Roman"/>
        </w:rPr>
      </w:pPr>
    </w:p>
    <w:p w14:paraId="667CEA30">
      <w:pPr>
        <w:spacing w:line="440" w:lineRule="exact"/>
        <w:ind w:firstLine="2158" w:firstLineChars="1028"/>
        <w:rPr>
          <w:rFonts w:ascii="Times New Roman" w:hAnsi="Times New Roman"/>
        </w:rPr>
      </w:pPr>
    </w:p>
    <w:p w14:paraId="4174422E">
      <w:pPr>
        <w:spacing w:line="440" w:lineRule="exact"/>
        <w:ind w:firstLine="2158" w:firstLineChars="1028"/>
        <w:rPr>
          <w:rFonts w:ascii="Times New Roman" w:hAnsi="Times New Roman"/>
        </w:rPr>
      </w:pPr>
    </w:p>
    <w:p w14:paraId="6E170EC1">
      <w:pPr>
        <w:spacing w:line="440" w:lineRule="exact"/>
        <w:ind w:firstLine="2158" w:firstLineChars="1028"/>
        <w:rPr>
          <w:rFonts w:ascii="Times New Roman" w:hAnsi="Times New Roman"/>
        </w:rPr>
      </w:pPr>
    </w:p>
    <w:p w14:paraId="653BFACA">
      <w:pPr>
        <w:spacing w:line="440" w:lineRule="exact"/>
        <w:rPr>
          <w:rFonts w:ascii="Times New Roman" w:hAnsi="Times New Roman"/>
        </w:rPr>
      </w:pPr>
    </w:p>
    <w:p w14:paraId="00363379">
      <w:pPr>
        <w:spacing w:line="440" w:lineRule="exact"/>
        <w:rPr>
          <w:rFonts w:ascii="Times New Roman" w:hAnsi="Times New Roman"/>
        </w:rPr>
      </w:pPr>
    </w:p>
    <w:p w14:paraId="78421CD2">
      <w:pPr>
        <w:spacing w:line="440" w:lineRule="exact"/>
        <w:rPr>
          <w:rFonts w:ascii="Times New Roman" w:hAnsi="Times New Roman"/>
        </w:rPr>
      </w:pPr>
    </w:p>
    <w:p w14:paraId="7190D434">
      <w:pPr>
        <w:spacing w:line="440" w:lineRule="exact"/>
        <w:rPr>
          <w:rFonts w:ascii="Times New Roman" w:hAnsi="Times New Roman"/>
          <w:szCs w:val="21"/>
        </w:rPr>
      </w:pPr>
      <w:r>
        <w:rPr>
          <w:rFonts w:ascii="Times New Roman" w:hAnsi="Times New Roman"/>
          <w:szCs w:val="21"/>
        </w:rPr>
        <w:t>注：对照商务及技术文件初步评审及详细评审条件，由投标人自行提供相关证明。如证明或声明与实际不符，将被取消投标或中标资格，其投标保证金按规定予以处理。</w:t>
      </w:r>
    </w:p>
    <w:p w14:paraId="7AB9D383">
      <w:pPr>
        <w:autoSpaceDE w:val="0"/>
        <w:autoSpaceDN w:val="0"/>
        <w:adjustRightInd w:val="0"/>
        <w:snapToGrid w:val="0"/>
        <w:spacing w:line="360" w:lineRule="auto"/>
        <w:jc w:val="left"/>
        <w:rPr>
          <w:rFonts w:ascii="Times New Roman" w:hAnsi="Times New Roman"/>
          <w:snapToGrid w:val="0"/>
          <w:kern w:val="0"/>
          <w:sz w:val="20"/>
        </w:rPr>
      </w:pPr>
    </w:p>
    <w:p w14:paraId="10AA90C9">
      <w:pPr>
        <w:autoSpaceDE w:val="0"/>
        <w:autoSpaceDN w:val="0"/>
        <w:adjustRightInd w:val="0"/>
        <w:snapToGrid w:val="0"/>
        <w:spacing w:line="360" w:lineRule="auto"/>
        <w:jc w:val="left"/>
        <w:rPr>
          <w:rFonts w:ascii="Times New Roman" w:hAnsi="Times New Roman"/>
          <w:snapToGrid w:val="0"/>
          <w:kern w:val="0"/>
          <w:sz w:val="20"/>
        </w:rPr>
      </w:pPr>
    </w:p>
    <w:p w14:paraId="1C790733">
      <w:pPr>
        <w:autoSpaceDE w:val="0"/>
        <w:autoSpaceDN w:val="0"/>
        <w:adjustRightInd w:val="0"/>
        <w:snapToGrid w:val="0"/>
        <w:spacing w:line="360" w:lineRule="auto"/>
        <w:jc w:val="left"/>
        <w:rPr>
          <w:rFonts w:ascii="Times New Roman" w:hAnsi="Times New Roman"/>
          <w:snapToGrid w:val="0"/>
          <w:kern w:val="0"/>
          <w:sz w:val="20"/>
        </w:rPr>
      </w:pPr>
    </w:p>
    <w:p w14:paraId="1596C17E">
      <w:pPr>
        <w:autoSpaceDE w:val="0"/>
        <w:autoSpaceDN w:val="0"/>
        <w:adjustRightInd w:val="0"/>
        <w:snapToGrid w:val="0"/>
        <w:spacing w:line="360" w:lineRule="auto"/>
        <w:jc w:val="left"/>
        <w:rPr>
          <w:rFonts w:ascii="Times New Roman" w:hAnsi="Times New Roman"/>
          <w:snapToGrid w:val="0"/>
          <w:kern w:val="0"/>
          <w:sz w:val="20"/>
        </w:rPr>
      </w:pPr>
    </w:p>
    <w:p w14:paraId="5986D0B5">
      <w:pPr>
        <w:rPr>
          <w:rFonts w:ascii="Times New Roman" w:hAnsi="Times New Roman"/>
          <w:snapToGrid w:val="0"/>
          <w:kern w:val="0"/>
          <w:sz w:val="20"/>
        </w:rPr>
      </w:pPr>
    </w:p>
    <w:p w14:paraId="4314857B"/>
    <w:p w14:paraId="36731F0A">
      <w:pPr>
        <w:autoSpaceDE w:val="0"/>
        <w:autoSpaceDN w:val="0"/>
        <w:adjustRightInd w:val="0"/>
        <w:snapToGrid w:val="0"/>
        <w:spacing w:line="360" w:lineRule="auto"/>
        <w:jc w:val="left"/>
        <w:rPr>
          <w:rFonts w:ascii="Times New Roman" w:hAnsi="Times New Roman"/>
          <w:snapToGrid w:val="0"/>
          <w:kern w:val="0"/>
          <w:sz w:val="20"/>
        </w:rPr>
      </w:pPr>
    </w:p>
    <w:p w14:paraId="623DAB53">
      <w:pPr>
        <w:autoSpaceDE w:val="0"/>
        <w:autoSpaceDN w:val="0"/>
        <w:adjustRightInd w:val="0"/>
        <w:snapToGrid w:val="0"/>
        <w:spacing w:line="360" w:lineRule="auto"/>
        <w:jc w:val="left"/>
        <w:rPr>
          <w:rFonts w:ascii="Times New Roman" w:hAnsi="Times New Roman"/>
          <w:snapToGrid w:val="0"/>
          <w:kern w:val="0"/>
          <w:sz w:val="20"/>
        </w:rPr>
      </w:pPr>
    </w:p>
    <w:p w14:paraId="6A685BDF">
      <w:pPr>
        <w:autoSpaceDE w:val="0"/>
        <w:autoSpaceDN w:val="0"/>
        <w:adjustRightInd w:val="0"/>
        <w:snapToGrid w:val="0"/>
        <w:spacing w:line="360" w:lineRule="auto"/>
        <w:jc w:val="left"/>
        <w:rPr>
          <w:rFonts w:ascii="Times New Roman" w:hAnsi="Times New Roman"/>
          <w:snapToGrid w:val="0"/>
          <w:kern w:val="0"/>
          <w:sz w:val="20"/>
        </w:rPr>
      </w:pPr>
    </w:p>
    <w:p w14:paraId="7038EC88">
      <w:pPr>
        <w:autoSpaceDE w:val="0"/>
        <w:autoSpaceDN w:val="0"/>
        <w:adjustRightInd w:val="0"/>
        <w:snapToGrid w:val="0"/>
        <w:spacing w:line="360" w:lineRule="auto"/>
        <w:jc w:val="left"/>
        <w:rPr>
          <w:rFonts w:ascii="Times New Roman" w:hAnsi="Times New Roman"/>
          <w:snapToGrid w:val="0"/>
          <w:kern w:val="0"/>
          <w:sz w:val="20"/>
        </w:rPr>
      </w:pPr>
    </w:p>
    <w:p w14:paraId="270FC2F3">
      <w:pPr>
        <w:autoSpaceDE w:val="0"/>
        <w:autoSpaceDN w:val="0"/>
        <w:adjustRightInd w:val="0"/>
        <w:snapToGrid w:val="0"/>
        <w:spacing w:line="360" w:lineRule="auto"/>
        <w:jc w:val="left"/>
        <w:rPr>
          <w:rFonts w:ascii="Times New Roman" w:hAnsi="Times New Roman"/>
          <w:snapToGrid w:val="0"/>
          <w:kern w:val="0"/>
          <w:sz w:val="20"/>
        </w:rPr>
      </w:pPr>
    </w:p>
    <w:p w14:paraId="740CD860">
      <w:pPr>
        <w:autoSpaceDE w:val="0"/>
        <w:autoSpaceDN w:val="0"/>
        <w:adjustRightInd w:val="0"/>
        <w:snapToGrid w:val="0"/>
        <w:spacing w:line="360" w:lineRule="auto"/>
        <w:jc w:val="left"/>
        <w:rPr>
          <w:rFonts w:ascii="Times New Roman" w:hAnsi="Times New Roman"/>
          <w:snapToGrid w:val="0"/>
          <w:kern w:val="0"/>
          <w:sz w:val="20"/>
        </w:rPr>
      </w:pPr>
    </w:p>
    <w:p w14:paraId="03044A72">
      <w:pPr>
        <w:autoSpaceDE w:val="0"/>
        <w:autoSpaceDN w:val="0"/>
        <w:adjustRightInd w:val="0"/>
        <w:snapToGrid w:val="0"/>
        <w:spacing w:line="360" w:lineRule="auto"/>
        <w:jc w:val="left"/>
        <w:rPr>
          <w:rFonts w:ascii="Times New Roman" w:hAnsi="Times New Roman"/>
          <w:snapToGrid w:val="0"/>
          <w:kern w:val="0"/>
          <w:sz w:val="20"/>
        </w:rPr>
      </w:pPr>
    </w:p>
    <w:p w14:paraId="508D64C1">
      <w:pPr>
        <w:autoSpaceDE w:val="0"/>
        <w:autoSpaceDN w:val="0"/>
        <w:adjustRightInd w:val="0"/>
        <w:snapToGrid w:val="0"/>
        <w:spacing w:line="360" w:lineRule="auto"/>
        <w:jc w:val="left"/>
        <w:rPr>
          <w:rFonts w:ascii="Times New Roman" w:hAnsi="Times New Roman"/>
          <w:snapToGrid w:val="0"/>
          <w:kern w:val="0"/>
          <w:sz w:val="20"/>
        </w:rPr>
      </w:pPr>
    </w:p>
    <w:p w14:paraId="0814465F">
      <w:pPr>
        <w:autoSpaceDE w:val="0"/>
        <w:autoSpaceDN w:val="0"/>
        <w:adjustRightInd w:val="0"/>
        <w:snapToGrid w:val="0"/>
        <w:spacing w:line="360" w:lineRule="auto"/>
        <w:jc w:val="left"/>
        <w:rPr>
          <w:rFonts w:ascii="Times New Roman" w:hAnsi="Times New Roman"/>
          <w:snapToGrid w:val="0"/>
          <w:kern w:val="0"/>
          <w:sz w:val="20"/>
        </w:rPr>
      </w:pPr>
    </w:p>
    <w:p w14:paraId="20FD9E65">
      <w:pPr>
        <w:autoSpaceDE w:val="0"/>
        <w:autoSpaceDN w:val="0"/>
        <w:adjustRightInd w:val="0"/>
        <w:snapToGrid w:val="0"/>
        <w:spacing w:line="360" w:lineRule="auto"/>
        <w:jc w:val="left"/>
        <w:rPr>
          <w:rFonts w:ascii="Times New Roman" w:hAnsi="Times New Roman"/>
          <w:snapToGrid w:val="0"/>
          <w:kern w:val="0"/>
          <w:sz w:val="20"/>
        </w:rPr>
      </w:pPr>
    </w:p>
    <w:p w14:paraId="1B95F83F">
      <w:pPr>
        <w:keepNext/>
        <w:keepLines/>
        <w:spacing w:line="413" w:lineRule="auto"/>
      </w:pPr>
    </w:p>
    <w:p w14:paraId="5C5D04F9">
      <w:pPr>
        <w:keepNext/>
        <w:keepLines/>
        <w:spacing w:line="413" w:lineRule="auto"/>
      </w:pPr>
    </w:p>
    <w:p w14:paraId="05AE45D3">
      <w:pPr>
        <w:rPr>
          <w:rFonts w:ascii="Times New Roman" w:hAnsi="Times New Roman"/>
        </w:rPr>
      </w:pPr>
    </w:p>
    <w:p w14:paraId="5FA08066">
      <w:pPr>
        <w:jc w:val="center"/>
        <w:rPr>
          <w:rFonts w:ascii="Times New Roman" w:hAnsi="Times New Roman" w:eastAsia="黑体"/>
          <w:b/>
          <w:bCs/>
          <w:kern w:val="0"/>
          <w:sz w:val="28"/>
        </w:rPr>
      </w:pPr>
      <w:r>
        <w:rPr>
          <w:rFonts w:ascii="Times New Roman" w:hAnsi="Times New Roman" w:eastAsia="黑体"/>
          <w:sz w:val="32"/>
          <w:szCs w:val="32"/>
          <w:u w:val="single"/>
        </w:rPr>
        <w:t>某招标项目标段名称</w:t>
      </w:r>
      <w:r>
        <w:rPr>
          <w:rFonts w:ascii="Times New Roman" w:hAnsi="Times New Roman" w:eastAsia="黑体"/>
          <w:sz w:val="28"/>
          <w:szCs w:val="28"/>
        </w:rPr>
        <w:t>招标</w:t>
      </w:r>
    </w:p>
    <w:p w14:paraId="286FC821">
      <w:pPr>
        <w:tabs>
          <w:tab w:val="left" w:pos="3600"/>
          <w:tab w:val="left" w:pos="4480"/>
          <w:tab w:val="left" w:pos="5360"/>
        </w:tabs>
        <w:autoSpaceDE w:val="0"/>
        <w:autoSpaceDN w:val="0"/>
        <w:adjustRightInd w:val="0"/>
        <w:snapToGrid w:val="0"/>
        <w:spacing w:line="360" w:lineRule="auto"/>
        <w:jc w:val="left"/>
        <w:rPr>
          <w:rFonts w:ascii="Times New Roman" w:hAnsi="Times New Roman"/>
          <w:kern w:val="0"/>
          <w:sz w:val="44"/>
        </w:rPr>
      </w:pPr>
    </w:p>
    <w:p w14:paraId="6B8AE53B">
      <w:pPr>
        <w:tabs>
          <w:tab w:val="left" w:pos="3600"/>
          <w:tab w:val="left" w:pos="4480"/>
          <w:tab w:val="left" w:pos="5360"/>
        </w:tabs>
        <w:autoSpaceDE w:val="0"/>
        <w:autoSpaceDN w:val="0"/>
        <w:adjustRightInd w:val="0"/>
        <w:snapToGrid w:val="0"/>
        <w:spacing w:line="360" w:lineRule="auto"/>
        <w:jc w:val="left"/>
        <w:rPr>
          <w:rFonts w:ascii="Times New Roman" w:hAnsi="Times New Roman"/>
          <w:kern w:val="0"/>
          <w:sz w:val="44"/>
        </w:rPr>
      </w:pPr>
    </w:p>
    <w:p w14:paraId="75977936">
      <w:pPr>
        <w:pStyle w:val="3"/>
        <w:jc w:val="center"/>
        <w:rPr>
          <w:rFonts w:ascii="Times New Roman" w:hAnsi="Times New Roman"/>
          <w:b w:val="0"/>
        </w:rPr>
      </w:pPr>
      <w:bookmarkStart w:id="469" w:name="_Toc17274"/>
      <w:bookmarkStart w:id="470" w:name="_Toc1067"/>
      <w:bookmarkStart w:id="471" w:name="_Toc374"/>
      <w:bookmarkStart w:id="472" w:name="_Toc23266"/>
      <w:bookmarkStart w:id="473" w:name="_Toc17395"/>
      <w:bookmarkStart w:id="474" w:name="_Toc12633372"/>
      <w:bookmarkStart w:id="475" w:name="_Toc13804"/>
      <w:r>
        <w:rPr>
          <w:rFonts w:ascii="Times New Roman" w:hAnsi="Times New Roman"/>
          <w:b w:val="0"/>
          <w:sz w:val="44"/>
          <w:szCs w:val="44"/>
        </w:rPr>
        <w:t>投标文件</w:t>
      </w:r>
      <w:r>
        <w:rPr>
          <w:rFonts w:ascii="Times New Roman" w:hAnsi="Times New Roman"/>
          <w:b w:val="0"/>
          <w:bCs/>
          <w:sz w:val="44"/>
          <w:szCs w:val="44"/>
        </w:rPr>
        <w:br w:type="textWrapping"/>
      </w:r>
      <w:r>
        <w:rPr>
          <w:rFonts w:ascii="Times New Roman" w:hAnsi="Times New Roman"/>
          <w:b w:val="0"/>
          <w:sz w:val="44"/>
          <w:szCs w:val="44"/>
        </w:rPr>
        <w:t>（报价文件）</w:t>
      </w:r>
      <w:bookmarkEnd w:id="469"/>
      <w:bookmarkEnd w:id="470"/>
      <w:bookmarkEnd w:id="471"/>
      <w:bookmarkEnd w:id="472"/>
      <w:bookmarkEnd w:id="473"/>
      <w:bookmarkEnd w:id="474"/>
      <w:bookmarkEnd w:id="475"/>
    </w:p>
    <w:p w14:paraId="5FF3C88F">
      <w:pPr>
        <w:autoSpaceDE w:val="0"/>
        <w:autoSpaceDN w:val="0"/>
        <w:adjustRightInd w:val="0"/>
        <w:snapToGrid w:val="0"/>
        <w:spacing w:line="360" w:lineRule="auto"/>
        <w:jc w:val="left"/>
        <w:rPr>
          <w:rFonts w:ascii="Times New Roman" w:hAnsi="Times New Roman"/>
          <w:b/>
          <w:bCs/>
          <w:kern w:val="0"/>
          <w:sz w:val="20"/>
        </w:rPr>
      </w:pPr>
    </w:p>
    <w:p w14:paraId="23C27A47">
      <w:pPr>
        <w:autoSpaceDE w:val="0"/>
        <w:autoSpaceDN w:val="0"/>
        <w:adjustRightInd w:val="0"/>
        <w:snapToGrid w:val="0"/>
        <w:spacing w:line="360" w:lineRule="auto"/>
        <w:jc w:val="left"/>
        <w:rPr>
          <w:rFonts w:ascii="Times New Roman" w:hAnsi="Times New Roman"/>
          <w:b/>
          <w:bCs/>
          <w:kern w:val="0"/>
          <w:sz w:val="20"/>
        </w:rPr>
      </w:pPr>
    </w:p>
    <w:p w14:paraId="41F80055">
      <w:pPr>
        <w:autoSpaceDE w:val="0"/>
        <w:autoSpaceDN w:val="0"/>
        <w:adjustRightInd w:val="0"/>
        <w:snapToGrid w:val="0"/>
        <w:spacing w:line="360" w:lineRule="auto"/>
        <w:jc w:val="left"/>
        <w:rPr>
          <w:rFonts w:ascii="Times New Roman" w:hAnsi="Times New Roman"/>
          <w:b/>
          <w:bCs/>
          <w:kern w:val="0"/>
          <w:sz w:val="20"/>
        </w:rPr>
      </w:pPr>
    </w:p>
    <w:p w14:paraId="5FE67154">
      <w:pPr>
        <w:autoSpaceDE w:val="0"/>
        <w:autoSpaceDN w:val="0"/>
        <w:adjustRightInd w:val="0"/>
        <w:snapToGrid w:val="0"/>
        <w:spacing w:line="360" w:lineRule="auto"/>
        <w:jc w:val="left"/>
        <w:rPr>
          <w:rFonts w:ascii="Times New Roman" w:hAnsi="Times New Roman"/>
          <w:b/>
          <w:bCs/>
          <w:kern w:val="0"/>
          <w:sz w:val="20"/>
        </w:rPr>
      </w:pPr>
    </w:p>
    <w:p w14:paraId="64D8D85B">
      <w:pPr>
        <w:autoSpaceDE w:val="0"/>
        <w:autoSpaceDN w:val="0"/>
        <w:adjustRightInd w:val="0"/>
        <w:snapToGrid w:val="0"/>
        <w:spacing w:line="360" w:lineRule="auto"/>
        <w:jc w:val="left"/>
        <w:rPr>
          <w:rFonts w:ascii="Times New Roman" w:hAnsi="Times New Roman"/>
          <w:b/>
          <w:bCs/>
          <w:kern w:val="0"/>
          <w:sz w:val="20"/>
        </w:rPr>
      </w:pPr>
    </w:p>
    <w:p w14:paraId="034A508F">
      <w:pPr>
        <w:autoSpaceDE w:val="0"/>
        <w:autoSpaceDN w:val="0"/>
        <w:adjustRightInd w:val="0"/>
        <w:snapToGrid w:val="0"/>
        <w:spacing w:line="360" w:lineRule="auto"/>
        <w:jc w:val="left"/>
        <w:rPr>
          <w:rFonts w:ascii="Times New Roman" w:hAnsi="Times New Roman"/>
          <w:b/>
          <w:bCs/>
          <w:kern w:val="0"/>
          <w:sz w:val="20"/>
        </w:rPr>
      </w:pPr>
    </w:p>
    <w:p w14:paraId="4734680F">
      <w:pPr>
        <w:autoSpaceDE w:val="0"/>
        <w:autoSpaceDN w:val="0"/>
        <w:adjustRightInd w:val="0"/>
        <w:snapToGrid w:val="0"/>
        <w:spacing w:line="360" w:lineRule="auto"/>
        <w:jc w:val="left"/>
        <w:rPr>
          <w:rFonts w:ascii="Times New Roman" w:hAnsi="Times New Roman"/>
          <w:b/>
          <w:bCs/>
          <w:kern w:val="0"/>
          <w:sz w:val="20"/>
        </w:rPr>
      </w:pPr>
    </w:p>
    <w:p w14:paraId="2BDCA55D">
      <w:pPr>
        <w:autoSpaceDE w:val="0"/>
        <w:autoSpaceDN w:val="0"/>
        <w:adjustRightInd w:val="0"/>
        <w:snapToGrid w:val="0"/>
        <w:spacing w:line="360" w:lineRule="auto"/>
        <w:jc w:val="left"/>
        <w:rPr>
          <w:rFonts w:ascii="Times New Roman" w:hAnsi="Times New Roman"/>
          <w:b/>
          <w:bCs/>
          <w:kern w:val="0"/>
          <w:sz w:val="20"/>
        </w:rPr>
      </w:pPr>
    </w:p>
    <w:p w14:paraId="21C45262">
      <w:pPr>
        <w:autoSpaceDE w:val="0"/>
        <w:autoSpaceDN w:val="0"/>
        <w:adjustRightInd w:val="0"/>
        <w:snapToGrid w:val="0"/>
        <w:spacing w:line="360" w:lineRule="auto"/>
        <w:jc w:val="left"/>
        <w:rPr>
          <w:rFonts w:ascii="Times New Roman" w:hAnsi="Times New Roman"/>
          <w:b/>
          <w:bCs/>
          <w:kern w:val="0"/>
          <w:sz w:val="20"/>
        </w:rPr>
      </w:pPr>
    </w:p>
    <w:p w14:paraId="2F88E2B1">
      <w:pPr>
        <w:autoSpaceDE w:val="0"/>
        <w:autoSpaceDN w:val="0"/>
        <w:adjustRightInd w:val="0"/>
        <w:snapToGrid w:val="0"/>
        <w:spacing w:line="360" w:lineRule="auto"/>
        <w:jc w:val="left"/>
        <w:rPr>
          <w:rFonts w:ascii="Times New Roman" w:hAnsi="Times New Roman"/>
          <w:b/>
          <w:bCs/>
          <w:kern w:val="0"/>
          <w:sz w:val="20"/>
        </w:rPr>
      </w:pPr>
    </w:p>
    <w:p w14:paraId="32B9BF5B">
      <w:pPr>
        <w:autoSpaceDE w:val="0"/>
        <w:autoSpaceDN w:val="0"/>
        <w:adjustRightInd w:val="0"/>
        <w:snapToGrid w:val="0"/>
        <w:spacing w:line="360" w:lineRule="auto"/>
        <w:jc w:val="left"/>
        <w:rPr>
          <w:rFonts w:ascii="Times New Roman" w:hAnsi="Times New Roman"/>
          <w:b/>
          <w:bCs/>
          <w:kern w:val="0"/>
          <w:sz w:val="20"/>
        </w:rPr>
      </w:pPr>
    </w:p>
    <w:p w14:paraId="1C8507E5">
      <w:pPr>
        <w:autoSpaceDE w:val="0"/>
        <w:autoSpaceDN w:val="0"/>
        <w:adjustRightInd w:val="0"/>
        <w:snapToGrid w:val="0"/>
        <w:spacing w:line="360" w:lineRule="auto"/>
        <w:jc w:val="left"/>
        <w:rPr>
          <w:rFonts w:ascii="Times New Roman" w:hAnsi="Times New Roman"/>
          <w:b/>
          <w:bCs/>
          <w:kern w:val="0"/>
          <w:sz w:val="20"/>
        </w:rPr>
      </w:pPr>
    </w:p>
    <w:p w14:paraId="3FC3BA63">
      <w:pPr>
        <w:spacing w:line="360" w:lineRule="auto"/>
        <w:ind w:firstLine="1400" w:firstLineChars="500"/>
        <w:rPr>
          <w:rFonts w:ascii="Times New Roman" w:hAnsi="Times New Roman" w:eastAsia="黑体"/>
          <w:sz w:val="28"/>
          <w:szCs w:val="28"/>
        </w:rPr>
      </w:pPr>
      <w:r>
        <w:rPr>
          <w:rFonts w:ascii="Times New Roman" w:hAnsi="Times New Roman" w:eastAsia="黑体"/>
          <w:sz w:val="28"/>
          <w:szCs w:val="28"/>
        </w:rPr>
        <w:t>投标人：</w:t>
      </w:r>
      <w:r>
        <w:rPr>
          <w:rFonts w:ascii="Times New Roman" w:hAnsi="Times New Roman" w:eastAsia="黑体"/>
          <w:sz w:val="28"/>
          <w:szCs w:val="28"/>
          <w:u w:val="single"/>
        </w:rPr>
        <w:t xml:space="preserve">                               </w:t>
      </w:r>
    </w:p>
    <w:p w14:paraId="71340B8C">
      <w:pPr>
        <w:jc w:val="center"/>
        <w:rPr>
          <w:rFonts w:ascii="Times New Roman" w:hAnsi="Times New Roman" w:eastAsia="黑体"/>
          <w:sz w:val="28"/>
          <w:szCs w:val="28"/>
        </w:rPr>
      </w:pPr>
    </w:p>
    <w:p w14:paraId="3BB3B647">
      <w:pPr>
        <w:tabs>
          <w:tab w:val="left" w:pos="3280"/>
          <w:tab w:val="left" w:pos="4680"/>
          <w:tab w:val="left" w:pos="6080"/>
        </w:tabs>
        <w:autoSpaceDE w:val="0"/>
        <w:autoSpaceDN w:val="0"/>
        <w:adjustRightInd w:val="0"/>
        <w:snapToGrid w:val="0"/>
        <w:spacing w:line="360" w:lineRule="auto"/>
        <w:jc w:val="center"/>
        <w:rPr>
          <w:rFonts w:ascii="Times New Roman" w:hAnsi="Times New Roman"/>
          <w:b/>
          <w:bCs/>
          <w:kern w:val="0"/>
          <w:sz w:val="28"/>
        </w:rPr>
      </w:pPr>
      <w:r>
        <w:rPr>
          <w:rFonts w:ascii="Times New Roman" w:hAnsi="Times New Roman" w:eastAsia="黑体"/>
          <w:sz w:val="28"/>
          <w:szCs w:val="28"/>
          <w:u w:val="single"/>
        </w:rPr>
        <w:t xml:space="preserve">         </w:t>
      </w:r>
      <w:r>
        <w:rPr>
          <w:rFonts w:ascii="Times New Roman" w:hAnsi="Times New Roman" w:eastAsia="黑体"/>
          <w:sz w:val="28"/>
          <w:szCs w:val="28"/>
        </w:rPr>
        <w:t>年</w:t>
      </w:r>
      <w:r>
        <w:rPr>
          <w:rFonts w:ascii="Times New Roman" w:hAnsi="Times New Roman" w:eastAsia="黑体"/>
          <w:sz w:val="28"/>
          <w:szCs w:val="28"/>
          <w:u w:val="single"/>
        </w:rPr>
        <w:t xml:space="preserve">         </w:t>
      </w:r>
      <w:r>
        <w:rPr>
          <w:rFonts w:ascii="Times New Roman" w:hAnsi="Times New Roman" w:eastAsia="黑体"/>
          <w:sz w:val="28"/>
          <w:szCs w:val="28"/>
        </w:rPr>
        <w:t>月</w:t>
      </w:r>
      <w:r>
        <w:rPr>
          <w:rFonts w:ascii="Times New Roman" w:hAnsi="Times New Roman" w:eastAsia="黑体"/>
          <w:sz w:val="28"/>
          <w:szCs w:val="28"/>
          <w:u w:val="single"/>
        </w:rPr>
        <w:t xml:space="preserve">         </w:t>
      </w:r>
      <w:r>
        <w:rPr>
          <w:rFonts w:ascii="Times New Roman" w:hAnsi="Times New Roman" w:eastAsia="黑体"/>
          <w:sz w:val="28"/>
          <w:szCs w:val="28"/>
        </w:rPr>
        <w:t>日</w:t>
      </w:r>
    </w:p>
    <w:p w14:paraId="78F10078">
      <w:pPr>
        <w:autoSpaceDE w:val="0"/>
        <w:autoSpaceDN w:val="0"/>
        <w:adjustRightInd w:val="0"/>
        <w:snapToGrid w:val="0"/>
        <w:spacing w:line="360" w:lineRule="auto"/>
        <w:jc w:val="center"/>
        <w:rPr>
          <w:rFonts w:ascii="Times New Roman" w:hAnsi="Times New Roman" w:eastAsia="黑体"/>
          <w:bCs/>
          <w:kern w:val="0"/>
          <w:sz w:val="24"/>
          <w:szCs w:val="24"/>
        </w:rPr>
      </w:pPr>
    </w:p>
    <w:p w14:paraId="5F0A31CD">
      <w:pPr>
        <w:autoSpaceDE w:val="0"/>
        <w:autoSpaceDN w:val="0"/>
        <w:adjustRightInd w:val="0"/>
        <w:snapToGrid w:val="0"/>
        <w:spacing w:line="360" w:lineRule="auto"/>
        <w:jc w:val="center"/>
        <w:rPr>
          <w:rFonts w:ascii="Times New Roman" w:hAnsi="Times New Roman" w:eastAsia="黑体"/>
          <w:bCs/>
          <w:kern w:val="0"/>
          <w:sz w:val="24"/>
          <w:szCs w:val="24"/>
        </w:rPr>
      </w:pPr>
    </w:p>
    <w:p w14:paraId="4055E8E5">
      <w:pPr>
        <w:autoSpaceDE w:val="0"/>
        <w:autoSpaceDN w:val="0"/>
        <w:adjustRightInd w:val="0"/>
        <w:snapToGrid w:val="0"/>
        <w:spacing w:line="360" w:lineRule="auto"/>
        <w:jc w:val="center"/>
        <w:rPr>
          <w:rFonts w:ascii="Times New Roman" w:hAnsi="Times New Roman" w:eastAsia="黑体"/>
          <w:bCs/>
          <w:kern w:val="0"/>
          <w:sz w:val="24"/>
          <w:szCs w:val="24"/>
        </w:rPr>
      </w:pPr>
    </w:p>
    <w:p w14:paraId="61EBD8F9">
      <w:pPr>
        <w:autoSpaceDE w:val="0"/>
        <w:autoSpaceDN w:val="0"/>
        <w:adjustRightInd w:val="0"/>
        <w:snapToGrid w:val="0"/>
        <w:spacing w:line="360" w:lineRule="auto"/>
        <w:jc w:val="center"/>
        <w:rPr>
          <w:rFonts w:ascii="Times New Roman" w:hAnsi="Times New Roman" w:eastAsia="黑体"/>
          <w:bCs/>
          <w:kern w:val="0"/>
          <w:sz w:val="24"/>
          <w:szCs w:val="24"/>
        </w:rPr>
      </w:pPr>
    </w:p>
    <w:p w14:paraId="0EB7DF84">
      <w:pPr>
        <w:autoSpaceDE w:val="0"/>
        <w:autoSpaceDN w:val="0"/>
        <w:adjustRightInd w:val="0"/>
        <w:snapToGrid w:val="0"/>
        <w:spacing w:line="360" w:lineRule="auto"/>
        <w:jc w:val="center"/>
        <w:rPr>
          <w:rFonts w:ascii="Times New Roman" w:hAnsi="Times New Roman" w:eastAsia="黑体"/>
          <w:bCs/>
          <w:kern w:val="0"/>
          <w:sz w:val="24"/>
          <w:szCs w:val="24"/>
        </w:rPr>
      </w:pPr>
    </w:p>
    <w:p w14:paraId="78981A09"/>
    <w:p w14:paraId="03A796E1"/>
    <w:p w14:paraId="3179F963"/>
    <w:p w14:paraId="13DEC84A">
      <w:pPr>
        <w:autoSpaceDE w:val="0"/>
        <w:autoSpaceDN w:val="0"/>
        <w:adjustRightInd w:val="0"/>
        <w:snapToGrid w:val="0"/>
        <w:spacing w:line="360" w:lineRule="auto"/>
        <w:jc w:val="center"/>
        <w:rPr>
          <w:rFonts w:ascii="Times New Roman" w:hAnsi="Times New Roman" w:eastAsia="黑体"/>
          <w:bCs/>
          <w:kern w:val="0"/>
          <w:sz w:val="24"/>
          <w:szCs w:val="24"/>
        </w:rPr>
      </w:pPr>
      <w:r>
        <w:rPr>
          <w:rFonts w:ascii="Times New Roman" w:hAnsi="Times New Roman" w:eastAsia="黑体"/>
          <w:bCs/>
          <w:kern w:val="0"/>
          <w:sz w:val="24"/>
          <w:szCs w:val="24"/>
        </w:rPr>
        <w:t>目  录</w:t>
      </w:r>
    </w:p>
    <w:p w14:paraId="4EE2B552">
      <w:pPr>
        <w:autoSpaceDE w:val="0"/>
        <w:autoSpaceDN w:val="0"/>
        <w:adjustRightInd w:val="0"/>
        <w:snapToGrid w:val="0"/>
        <w:spacing w:line="360" w:lineRule="auto"/>
        <w:ind w:firstLine="388" w:firstLineChars="196"/>
        <w:rPr>
          <w:rFonts w:ascii="Times New Roman" w:hAnsi="Times New Roman"/>
          <w:spacing w:val="-6"/>
          <w:szCs w:val="21"/>
        </w:rPr>
      </w:pPr>
    </w:p>
    <w:p w14:paraId="627174B4">
      <w:pPr>
        <w:widowControl/>
        <w:jc w:val="left"/>
        <w:rPr>
          <w:rFonts w:ascii="Times New Roman" w:hAnsi="Times New Roman"/>
          <w:spacing w:val="-6"/>
          <w:szCs w:val="21"/>
        </w:rPr>
      </w:pPr>
    </w:p>
    <w:p w14:paraId="7711CE1B">
      <w:pPr>
        <w:autoSpaceDE w:val="0"/>
        <w:autoSpaceDN w:val="0"/>
        <w:adjustRightInd w:val="0"/>
        <w:snapToGrid w:val="0"/>
        <w:spacing w:line="360" w:lineRule="auto"/>
        <w:ind w:firstLine="388" w:firstLineChars="196"/>
        <w:rPr>
          <w:rFonts w:ascii="Times New Roman" w:hAnsi="Times New Roman"/>
          <w:spacing w:val="-6"/>
          <w:szCs w:val="21"/>
        </w:rPr>
      </w:pPr>
      <w:r>
        <w:rPr>
          <w:rFonts w:ascii="Times New Roman" w:hAnsi="Times New Roman"/>
          <w:spacing w:val="-6"/>
          <w:szCs w:val="21"/>
        </w:rPr>
        <w:t>一、投标函</w:t>
      </w:r>
    </w:p>
    <w:p w14:paraId="6FC0BE4E">
      <w:pPr>
        <w:autoSpaceDE w:val="0"/>
        <w:autoSpaceDN w:val="0"/>
        <w:adjustRightInd w:val="0"/>
        <w:snapToGrid w:val="0"/>
        <w:spacing w:line="360" w:lineRule="auto"/>
        <w:ind w:firstLine="388" w:firstLineChars="196"/>
        <w:rPr>
          <w:rFonts w:ascii="Times New Roman" w:hAnsi="Times New Roman"/>
          <w:spacing w:val="-6"/>
          <w:szCs w:val="21"/>
        </w:rPr>
      </w:pPr>
      <w:r>
        <w:rPr>
          <w:rFonts w:ascii="Times New Roman" w:hAnsi="Times New Roman"/>
          <w:spacing w:val="-6"/>
          <w:szCs w:val="21"/>
        </w:rPr>
        <w:t>二、分项报价表</w:t>
      </w:r>
    </w:p>
    <w:p w14:paraId="00245530">
      <w:pPr>
        <w:autoSpaceDE w:val="0"/>
        <w:autoSpaceDN w:val="0"/>
        <w:adjustRightInd w:val="0"/>
        <w:snapToGrid w:val="0"/>
        <w:spacing w:line="360" w:lineRule="auto"/>
        <w:ind w:firstLine="411" w:firstLineChars="196"/>
        <w:rPr>
          <w:rFonts w:ascii="Times New Roman" w:hAnsi="Times New Roman"/>
          <w:szCs w:val="21"/>
        </w:rPr>
      </w:pPr>
      <w:r>
        <w:rPr>
          <w:rFonts w:ascii="Times New Roman" w:hAnsi="Times New Roman"/>
          <w:szCs w:val="21"/>
        </w:rPr>
        <w:t>三、其他资料</w:t>
      </w:r>
    </w:p>
    <w:p w14:paraId="18CDDD54">
      <w:pPr>
        <w:widowControl/>
        <w:jc w:val="left"/>
        <w:rPr>
          <w:rFonts w:ascii="Times New Roman" w:hAnsi="Times New Roman" w:eastAsia="黑体"/>
          <w:b/>
          <w:sz w:val="32"/>
          <w:szCs w:val="20"/>
        </w:rPr>
      </w:pPr>
    </w:p>
    <w:p w14:paraId="7A120E7E">
      <w:pPr>
        <w:pStyle w:val="4"/>
        <w:spacing w:before="0" w:after="0" w:line="360" w:lineRule="auto"/>
        <w:ind w:firstLine="137"/>
        <w:jc w:val="center"/>
        <w:rPr>
          <w:rFonts w:ascii="Times New Roman" w:hAnsi="Times New Roman"/>
        </w:rPr>
      </w:pPr>
      <w:r>
        <w:rPr>
          <w:rFonts w:ascii="Times New Roman" w:hAnsi="Times New Roman"/>
        </w:rPr>
        <w:br w:type="page"/>
      </w:r>
      <w:bookmarkStart w:id="476" w:name="_Toc460660235"/>
      <w:bookmarkStart w:id="477" w:name="_Toc421917012"/>
      <w:bookmarkStart w:id="478" w:name="_Toc390411631"/>
      <w:bookmarkStart w:id="479" w:name="_Toc460227120"/>
      <w:r>
        <w:rPr>
          <w:rFonts w:ascii="Times New Roman" w:hAnsi="Times New Roman"/>
        </w:rPr>
        <w:t>一、投标函</w:t>
      </w:r>
      <w:bookmarkEnd w:id="476"/>
      <w:bookmarkEnd w:id="477"/>
      <w:bookmarkEnd w:id="478"/>
      <w:bookmarkEnd w:id="479"/>
    </w:p>
    <w:p w14:paraId="57671073">
      <w:pPr>
        <w:adjustRightInd w:val="0"/>
        <w:snapToGrid w:val="0"/>
        <w:spacing w:line="360" w:lineRule="auto"/>
        <w:rPr>
          <w:rFonts w:ascii="Times New Roman" w:hAnsi="Times New Roman"/>
          <w:u w:val="single"/>
        </w:rPr>
      </w:pPr>
      <w:r>
        <w:rPr>
          <w:rFonts w:ascii="Times New Roman" w:hAnsi="Times New Roman"/>
          <w:color w:val="FF0000"/>
          <w:szCs w:val="21"/>
          <w:u w:val="single"/>
        </w:rPr>
        <w:t>某委托单位</w:t>
      </w:r>
      <w:r>
        <w:rPr>
          <w:rFonts w:ascii="Times New Roman" w:hAnsi="Times New Roman"/>
          <w:snapToGrid w:val="0"/>
          <w:kern w:val="0"/>
          <w:szCs w:val="21"/>
        </w:rPr>
        <w:t>：</w:t>
      </w:r>
    </w:p>
    <w:p w14:paraId="1C7BED4B">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rPr>
      </w:pPr>
      <w:r>
        <w:rPr>
          <w:rFonts w:ascii="Times New Roman" w:hAnsi="Times New Roman"/>
          <w:szCs w:val="21"/>
        </w:rPr>
        <w:t>1．</w:t>
      </w:r>
      <w:r>
        <w:rPr>
          <w:rFonts w:ascii="Times New Roman" w:hAnsi="Times New Roman"/>
        </w:rPr>
        <w:t>我方已仔细研究</w:t>
      </w:r>
      <w:r>
        <w:rPr>
          <w:rFonts w:ascii="Times New Roman" w:hAnsi="Times New Roman"/>
          <w:color w:val="FF0000"/>
          <w:szCs w:val="21"/>
          <w:u w:val="single"/>
        </w:rPr>
        <w:t>某招标项目标段名称</w:t>
      </w:r>
      <w:r>
        <w:rPr>
          <w:rFonts w:ascii="Times New Roman" w:hAnsi="Times New Roman"/>
        </w:rPr>
        <w:t>招标文件，在考察项目现场后，</w:t>
      </w:r>
      <w:r>
        <w:rPr>
          <w:rFonts w:hint="eastAsia" w:ascii="Times New Roman" w:hAnsi="Times New Roman"/>
          <w:i/>
          <w:iCs/>
          <w:color w:val="FF0000"/>
        </w:rPr>
        <w:t>（请勾选）</w:t>
      </w:r>
    </w:p>
    <w:p w14:paraId="2A7D0E96">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）的投标总报价（</w:t>
      </w:r>
      <w:r>
        <w:rPr>
          <w:rFonts w:ascii="Times New Roman" w:hAnsi="Times New Roman"/>
          <w:color w:val="FF0000"/>
        </w:rPr>
        <w:t>含税</w:t>
      </w:r>
      <w:r>
        <w:rPr>
          <w:rFonts w:ascii="Times New Roman" w:hAnsi="Times New Roman"/>
          <w:szCs w:val="21"/>
        </w:rPr>
        <w:t>），</w:t>
      </w:r>
    </w:p>
    <w:p w14:paraId="62799795">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）的投标单价（</w:t>
      </w:r>
      <w:r>
        <w:rPr>
          <w:rFonts w:ascii="Times New Roman" w:hAnsi="Times New Roman"/>
          <w:color w:val="FF0000"/>
        </w:rPr>
        <w:t>含税</w:t>
      </w:r>
      <w:r>
        <w:rPr>
          <w:rFonts w:ascii="Times New Roman" w:hAnsi="Times New Roman"/>
          <w:szCs w:val="21"/>
        </w:rPr>
        <w:t>），</w:t>
      </w:r>
    </w:p>
    <w:p w14:paraId="758E2F97">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w:t>
      </w:r>
      <w:r>
        <w:rPr>
          <w:rFonts w:ascii="Times New Roman" w:hAnsi="Times New Roman"/>
          <w:szCs w:val="21"/>
          <w:u w:val="single"/>
        </w:rPr>
        <w:t xml:space="preserve">         </w:t>
      </w:r>
      <w:r>
        <w:rPr>
          <w:rFonts w:ascii="Times New Roman" w:hAnsi="Times New Roman"/>
          <w:szCs w:val="21"/>
        </w:rPr>
        <w:t>%的投标费率（</w:t>
      </w:r>
      <w:r>
        <w:rPr>
          <w:rFonts w:ascii="Times New Roman" w:hAnsi="Times New Roman"/>
          <w:color w:val="FF0000"/>
        </w:rPr>
        <w:t>含税</w:t>
      </w:r>
      <w:r>
        <w:rPr>
          <w:rFonts w:ascii="Times New Roman" w:hAnsi="Times New Roman"/>
          <w:szCs w:val="21"/>
        </w:rPr>
        <w:t>），</w:t>
      </w:r>
    </w:p>
    <w:p w14:paraId="671C754D">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□愿意以招标文件规定的投标总价（定价</w:t>
      </w:r>
      <w:r>
        <w:rPr>
          <w:rFonts w:ascii="Times New Roman" w:hAnsi="Times New Roman"/>
          <w:color w:val="FF0000"/>
          <w:szCs w:val="21"/>
        </w:rPr>
        <w:t>，含税</w:t>
      </w:r>
      <w:r>
        <w:rPr>
          <w:rFonts w:ascii="Times New Roman" w:hAnsi="Times New Roman"/>
          <w:szCs w:val="21"/>
        </w:rPr>
        <w:t>），</w:t>
      </w:r>
    </w:p>
    <w:p w14:paraId="24D68192">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并承诺按本招标文件、合同条款的条件、承担上述项目的服务内容。</w:t>
      </w:r>
    </w:p>
    <w:p w14:paraId="33857008">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2. 我方已按招标文件要求详细审核并确认全部招标文件及有关附件，充分理解投标价格不得低于企业个别成本有关规定。我方经成本核算，所填报的投标报价不低于企业个别成本。</w:t>
      </w:r>
    </w:p>
    <w:p w14:paraId="488BC60B">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 xml:space="preserve">3. </w:t>
      </w:r>
      <w:r>
        <w:rPr>
          <w:rFonts w:ascii="Times New Roman" w:hAnsi="Times New Roman" w:eastAsia="黑体"/>
          <w:snapToGrid w:val="0"/>
          <w:kern w:val="0"/>
          <w:szCs w:val="21"/>
          <w:u w:val="single"/>
        </w:rPr>
        <w:t xml:space="preserve">                          </w:t>
      </w:r>
      <w:r>
        <w:rPr>
          <w:rFonts w:ascii="Times New Roman" w:hAnsi="Times New Roman"/>
          <w:snapToGrid w:val="0"/>
          <w:kern w:val="0"/>
          <w:szCs w:val="21"/>
        </w:rPr>
        <w:t>（其他补充说明）。</w:t>
      </w:r>
    </w:p>
    <w:p w14:paraId="5F70A494">
      <w:pPr>
        <w:adjustRightInd w:val="0"/>
        <w:snapToGrid w:val="0"/>
        <w:spacing w:before="48" w:beforeLines="20" w:after="48" w:afterLines="20" w:line="400" w:lineRule="exact"/>
        <w:ind w:firstLine="420" w:firstLineChars="200"/>
        <w:rPr>
          <w:rFonts w:ascii="Times New Roman" w:hAnsi="Times New Roman"/>
          <w:bCs/>
          <w:szCs w:val="21"/>
        </w:rPr>
      </w:pPr>
    </w:p>
    <w:p w14:paraId="6FC8590B">
      <w:pPr>
        <w:adjustRightInd w:val="0"/>
        <w:snapToGrid w:val="0"/>
        <w:spacing w:before="48" w:beforeLines="20" w:after="48" w:afterLines="20" w:line="400" w:lineRule="exact"/>
        <w:ind w:firstLine="420" w:firstLineChars="200"/>
        <w:rPr>
          <w:rFonts w:ascii="Times New Roman" w:hAnsi="Times New Roman"/>
          <w:bCs/>
          <w:szCs w:val="21"/>
        </w:rPr>
      </w:pPr>
    </w:p>
    <w:p w14:paraId="1AF78E6C">
      <w:pPr>
        <w:adjustRightInd w:val="0"/>
        <w:snapToGrid w:val="0"/>
        <w:spacing w:before="48" w:beforeLines="20" w:after="48" w:afterLines="20" w:line="400" w:lineRule="exact"/>
        <w:ind w:firstLine="420" w:firstLineChars="200"/>
        <w:rPr>
          <w:rFonts w:ascii="Times New Roman" w:hAnsi="Times New Roman"/>
          <w:bCs/>
          <w:szCs w:val="21"/>
        </w:rPr>
      </w:pPr>
    </w:p>
    <w:p w14:paraId="6BFD6FEC">
      <w:pPr>
        <w:adjustRightInd w:val="0"/>
        <w:snapToGrid w:val="0"/>
        <w:spacing w:before="48" w:beforeLines="20" w:after="48" w:afterLines="20" w:line="400" w:lineRule="exact"/>
        <w:ind w:firstLine="420" w:firstLineChars="200"/>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1CF68589">
      <w:pPr>
        <w:adjustRightInd w:val="0"/>
        <w:snapToGrid w:val="0"/>
        <w:spacing w:before="48" w:beforeLines="20" w:after="48" w:afterLines="20" w:line="400" w:lineRule="exact"/>
        <w:ind w:firstLine="420" w:firstLineChars="200"/>
        <w:rPr>
          <w:rFonts w:ascii="Times New Roman" w:hAnsi="Times New Roman"/>
          <w:szCs w:val="21"/>
          <w:u w:val="single"/>
        </w:rPr>
      </w:pPr>
      <w:r>
        <w:rPr>
          <w:rFonts w:ascii="Times New Roman" w:hAnsi="Times New Roman"/>
          <w:szCs w:val="21"/>
        </w:rPr>
        <w:t>法定代表人或其委托代理人：</w:t>
      </w:r>
      <w:r>
        <w:rPr>
          <w:rFonts w:ascii="Times New Roman" w:hAnsi="Times New Roman"/>
          <w:szCs w:val="21"/>
          <w:u w:val="single"/>
        </w:rPr>
        <w:t xml:space="preserve">                           </w:t>
      </w:r>
      <w:r>
        <w:rPr>
          <w:rFonts w:ascii="Times New Roman" w:hAnsi="Times New Roman"/>
          <w:szCs w:val="21"/>
        </w:rPr>
        <w:t>（签字或盖章）</w:t>
      </w:r>
    </w:p>
    <w:p w14:paraId="6E2A16FD">
      <w:pPr>
        <w:adjustRightInd w:val="0"/>
        <w:snapToGrid w:val="0"/>
        <w:spacing w:before="48" w:beforeLines="20" w:after="48" w:afterLines="20" w:line="400" w:lineRule="exact"/>
        <w:ind w:left="109" w:leftChars="52" w:firstLine="315" w:firstLineChars="150"/>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6C02A6E7">
      <w:pPr>
        <w:adjustRightInd w:val="0"/>
        <w:snapToGrid w:val="0"/>
        <w:spacing w:before="48" w:beforeLines="20" w:after="48" w:afterLines="20" w:line="400" w:lineRule="exact"/>
        <w:ind w:firstLine="420" w:firstLineChars="200"/>
        <w:rPr>
          <w:rFonts w:ascii="Times New Roman" w:hAnsi="Times New Roman"/>
          <w:szCs w:val="21"/>
        </w:rPr>
      </w:pPr>
      <w:r>
        <w:rPr>
          <w:rFonts w:ascii="Times New Roman" w:hAnsi="Times New Roman"/>
          <w:szCs w:val="21"/>
        </w:rPr>
        <w:t>邮政编码：</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r>
        <w:rPr>
          <w:rFonts w:ascii="Times New Roman" w:hAnsi="Times New Roman"/>
          <w:szCs w:val="21"/>
        </w:rPr>
        <w:t xml:space="preserve"> </w:t>
      </w:r>
    </w:p>
    <w:p w14:paraId="26EAB2C2">
      <w:pPr>
        <w:adjustRightInd w:val="0"/>
        <w:snapToGrid w:val="0"/>
        <w:spacing w:before="48" w:beforeLines="20" w:after="48" w:afterLines="20" w:line="400" w:lineRule="exact"/>
        <w:ind w:firstLine="420" w:firstLineChars="200"/>
        <w:rPr>
          <w:rFonts w:ascii="Times New Roman" w:hAnsi="Times New Roman" w:eastAsia="黑体"/>
          <w:b/>
          <w:sz w:val="32"/>
          <w:szCs w:val="20"/>
        </w:rPr>
      </w:pPr>
      <w:r>
        <w:rPr>
          <w:rFonts w:ascii="Times New Roman" w:hAnsi="Times New Roman"/>
          <w:szCs w:val="21"/>
        </w:rPr>
        <w:t>日期：</w:t>
      </w:r>
      <w:r>
        <w:rPr>
          <w:rFonts w:ascii="Times New Roman" w:hAnsi="Times New Roman"/>
          <w:bCs/>
          <w:szCs w:val="32"/>
          <w:u w:val="single"/>
        </w:rPr>
        <w:t xml:space="preserve">           </w:t>
      </w:r>
      <w:r>
        <w:rPr>
          <w:rFonts w:ascii="Times New Roman" w:hAnsi="Times New Roman"/>
          <w:szCs w:val="21"/>
        </w:rPr>
        <w:t>年</w:t>
      </w:r>
      <w:r>
        <w:rPr>
          <w:rFonts w:ascii="Times New Roman" w:hAnsi="Times New Roman"/>
          <w:bCs/>
          <w:szCs w:val="32"/>
          <w:u w:val="single"/>
        </w:rPr>
        <w:t xml:space="preserve">           </w:t>
      </w:r>
      <w:r>
        <w:rPr>
          <w:rFonts w:ascii="Times New Roman" w:hAnsi="Times New Roman"/>
          <w:szCs w:val="21"/>
        </w:rPr>
        <w:t>月</w:t>
      </w:r>
      <w:r>
        <w:rPr>
          <w:rFonts w:ascii="Times New Roman" w:hAnsi="Times New Roman"/>
          <w:bCs/>
          <w:szCs w:val="32"/>
          <w:u w:val="single"/>
        </w:rPr>
        <w:t xml:space="preserve">           </w:t>
      </w:r>
      <w:r>
        <w:rPr>
          <w:rFonts w:hint="eastAsia" w:ascii="Times New Roman" w:hAnsi="Times New Roman"/>
          <w:bCs/>
          <w:szCs w:val="32"/>
          <w:u w:val="single"/>
        </w:rPr>
        <w:t xml:space="preserve">  </w:t>
      </w:r>
      <w:r>
        <w:rPr>
          <w:rFonts w:ascii="Times New Roman" w:hAnsi="Times New Roman"/>
          <w:szCs w:val="21"/>
        </w:rPr>
        <w:t>日</w:t>
      </w:r>
    </w:p>
    <w:p w14:paraId="6B26523E">
      <w:pPr>
        <w:widowControl/>
        <w:jc w:val="left"/>
        <w:rPr>
          <w:rFonts w:ascii="Times New Roman" w:hAnsi="Times New Roman" w:eastAsia="黑体"/>
          <w:sz w:val="24"/>
          <w:szCs w:val="24"/>
        </w:rPr>
      </w:pPr>
      <w:r>
        <w:rPr>
          <w:rFonts w:ascii="Times New Roman" w:hAnsi="Times New Roman"/>
          <w:b/>
          <w:sz w:val="24"/>
          <w:szCs w:val="24"/>
        </w:rPr>
        <w:br w:type="page"/>
      </w:r>
    </w:p>
    <w:p w14:paraId="3DDAEDED">
      <w:pPr>
        <w:pStyle w:val="4"/>
        <w:spacing w:before="0" w:after="0" w:line="360" w:lineRule="auto"/>
        <w:ind w:firstLine="137"/>
        <w:jc w:val="center"/>
        <w:rPr>
          <w:rFonts w:ascii="Times New Roman" w:hAnsi="Times New Roman"/>
        </w:rPr>
      </w:pPr>
      <w:r>
        <w:rPr>
          <w:rFonts w:ascii="Times New Roman" w:hAnsi="Times New Roman"/>
        </w:rPr>
        <w:t>二、分项报价表</w:t>
      </w:r>
    </w:p>
    <w:p w14:paraId="549C4C90">
      <w:pPr>
        <w:widowControl/>
        <w:jc w:val="left"/>
        <w:rPr>
          <w:rFonts w:ascii="Times New Roman" w:hAnsi="Times New Roman"/>
          <w:kern w:val="0"/>
        </w:rPr>
      </w:pPr>
      <w:bookmarkStart w:id="480" w:name="_Toc361508760"/>
      <w:r>
        <w:rPr>
          <w:rFonts w:hint="eastAsia" w:ascii="Times New Roman" w:hAnsi="Times New Roman"/>
          <w:kern w:val="0"/>
        </w:rPr>
        <w:t>（如有）</w:t>
      </w:r>
      <w:r>
        <w:rPr>
          <w:rFonts w:ascii="Times New Roman" w:hAnsi="Times New Roman"/>
          <w:kern w:val="0"/>
        </w:rPr>
        <w:br w:type="page"/>
      </w:r>
    </w:p>
    <w:p w14:paraId="78CD3A0C">
      <w:pPr>
        <w:pStyle w:val="4"/>
        <w:spacing w:before="0" w:after="0" w:line="360" w:lineRule="auto"/>
        <w:ind w:firstLine="137"/>
        <w:jc w:val="center"/>
        <w:rPr>
          <w:rFonts w:ascii="Times New Roman" w:hAnsi="Times New Roman"/>
        </w:rPr>
      </w:pPr>
      <w:r>
        <w:rPr>
          <w:rFonts w:ascii="Times New Roman" w:hAnsi="Times New Roman"/>
        </w:rPr>
        <w:t>三、其他资料</w:t>
      </w:r>
    </w:p>
    <w:p w14:paraId="79ABF5E8">
      <w:pPr>
        <w:tabs>
          <w:tab w:val="left" w:pos="5760"/>
        </w:tabs>
        <w:autoSpaceDE w:val="0"/>
        <w:autoSpaceDN w:val="0"/>
        <w:adjustRightInd w:val="0"/>
        <w:spacing w:line="300" w:lineRule="exact"/>
        <w:ind w:right="11" w:firstLine="420" w:firstLineChars="200"/>
        <w:rPr>
          <w:rFonts w:ascii="Times New Roman" w:hAnsi="Times New Roman" w:eastAsia="楷体"/>
        </w:rPr>
      </w:pPr>
      <w:r>
        <w:rPr>
          <w:rFonts w:ascii="Times New Roman" w:hAnsi="Times New Roman"/>
        </w:rPr>
        <w:t>投标人对照报价文件初步评审及详细评审条件，自行提供其他相关资料（如有）</w:t>
      </w:r>
    </w:p>
    <w:p w14:paraId="29AE2BC7">
      <w:pPr>
        <w:spacing w:line="440" w:lineRule="exact"/>
        <w:ind w:firstLine="2158" w:firstLineChars="1028"/>
        <w:rPr>
          <w:rFonts w:ascii="Times New Roman" w:hAnsi="Times New Roman"/>
        </w:rPr>
      </w:pPr>
    </w:p>
    <w:p w14:paraId="1A5C96F5">
      <w:pPr>
        <w:spacing w:line="440" w:lineRule="exact"/>
        <w:ind w:firstLine="2158" w:firstLineChars="1028"/>
        <w:rPr>
          <w:rFonts w:ascii="Times New Roman" w:hAnsi="Times New Roman"/>
        </w:rPr>
      </w:pPr>
    </w:p>
    <w:p w14:paraId="2B22BACD">
      <w:pPr>
        <w:spacing w:line="440" w:lineRule="exact"/>
        <w:ind w:firstLine="2158" w:firstLineChars="1028"/>
        <w:rPr>
          <w:rFonts w:ascii="Times New Roman" w:hAnsi="Times New Roman"/>
        </w:rPr>
      </w:pPr>
    </w:p>
    <w:p w14:paraId="42640FB0">
      <w:pPr>
        <w:spacing w:line="440" w:lineRule="exact"/>
        <w:ind w:firstLine="2158" w:firstLineChars="1028"/>
        <w:rPr>
          <w:rFonts w:ascii="Times New Roman" w:hAnsi="Times New Roman"/>
        </w:rPr>
      </w:pPr>
    </w:p>
    <w:p w14:paraId="16301EDA">
      <w:pPr>
        <w:spacing w:line="440" w:lineRule="exact"/>
        <w:ind w:firstLine="2158" w:firstLineChars="1028"/>
        <w:rPr>
          <w:rFonts w:ascii="Times New Roman" w:hAnsi="Times New Roman"/>
        </w:rPr>
      </w:pPr>
    </w:p>
    <w:p w14:paraId="124A8014">
      <w:pPr>
        <w:spacing w:line="440" w:lineRule="exact"/>
        <w:ind w:firstLine="2158" w:firstLineChars="1028"/>
        <w:rPr>
          <w:rFonts w:ascii="Times New Roman" w:hAnsi="Times New Roman"/>
        </w:rPr>
      </w:pPr>
    </w:p>
    <w:p w14:paraId="5A546E31">
      <w:pPr>
        <w:spacing w:line="440" w:lineRule="exact"/>
        <w:ind w:firstLine="2158" w:firstLineChars="1028"/>
        <w:rPr>
          <w:rFonts w:ascii="Times New Roman" w:hAnsi="Times New Roman"/>
        </w:rPr>
      </w:pPr>
    </w:p>
    <w:p w14:paraId="3C378858">
      <w:pPr>
        <w:spacing w:line="440" w:lineRule="exact"/>
        <w:ind w:firstLine="2158" w:firstLineChars="1028"/>
        <w:rPr>
          <w:rFonts w:ascii="Times New Roman" w:hAnsi="Times New Roman"/>
        </w:rPr>
      </w:pPr>
    </w:p>
    <w:p w14:paraId="02C171B5">
      <w:pPr>
        <w:spacing w:line="440" w:lineRule="exact"/>
        <w:ind w:firstLine="2158" w:firstLineChars="1028"/>
        <w:rPr>
          <w:rFonts w:ascii="Times New Roman" w:hAnsi="Times New Roman"/>
        </w:rPr>
      </w:pPr>
    </w:p>
    <w:p w14:paraId="72F14128">
      <w:pPr>
        <w:spacing w:line="440" w:lineRule="exact"/>
        <w:ind w:firstLine="2158" w:firstLineChars="1028"/>
        <w:rPr>
          <w:rFonts w:ascii="Times New Roman" w:hAnsi="Times New Roman"/>
        </w:rPr>
      </w:pPr>
    </w:p>
    <w:p w14:paraId="34DCDB60">
      <w:pPr>
        <w:spacing w:line="440" w:lineRule="exact"/>
        <w:ind w:firstLine="2158" w:firstLineChars="1028"/>
        <w:rPr>
          <w:rFonts w:ascii="Times New Roman" w:hAnsi="Times New Roman"/>
        </w:rPr>
      </w:pPr>
    </w:p>
    <w:p w14:paraId="44F4A864">
      <w:pPr>
        <w:spacing w:line="440" w:lineRule="exact"/>
        <w:ind w:firstLine="2158" w:firstLineChars="1028"/>
        <w:rPr>
          <w:rFonts w:ascii="Times New Roman" w:hAnsi="Times New Roman"/>
        </w:rPr>
      </w:pPr>
    </w:p>
    <w:p w14:paraId="27093A7E">
      <w:pPr>
        <w:spacing w:line="440" w:lineRule="exact"/>
        <w:ind w:firstLine="2158" w:firstLineChars="1028"/>
        <w:rPr>
          <w:rFonts w:ascii="Times New Roman" w:hAnsi="Times New Roman"/>
        </w:rPr>
      </w:pPr>
    </w:p>
    <w:p w14:paraId="499180C8">
      <w:pPr>
        <w:spacing w:line="440" w:lineRule="exact"/>
        <w:ind w:firstLine="2158" w:firstLineChars="1028"/>
        <w:rPr>
          <w:rFonts w:ascii="Times New Roman" w:hAnsi="Times New Roman"/>
        </w:rPr>
      </w:pPr>
    </w:p>
    <w:p w14:paraId="000B8524">
      <w:pPr>
        <w:spacing w:line="440" w:lineRule="exact"/>
        <w:ind w:firstLine="2158" w:firstLineChars="1028"/>
        <w:rPr>
          <w:rFonts w:ascii="Times New Roman" w:hAnsi="Times New Roman"/>
        </w:rPr>
      </w:pPr>
    </w:p>
    <w:p w14:paraId="6FBB9F4D">
      <w:pPr>
        <w:spacing w:line="440" w:lineRule="exact"/>
        <w:ind w:firstLine="2158" w:firstLineChars="1028"/>
        <w:rPr>
          <w:rFonts w:ascii="Times New Roman" w:hAnsi="Times New Roman"/>
        </w:rPr>
      </w:pPr>
    </w:p>
    <w:p w14:paraId="2ADEE0CF">
      <w:pPr>
        <w:spacing w:line="440" w:lineRule="exact"/>
        <w:ind w:firstLine="2158" w:firstLineChars="1028"/>
        <w:rPr>
          <w:rFonts w:ascii="Times New Roman" w:hAnsi="Times New Roman"/>
        </w:rPr>
      </w:pPr>
    </w:p>
    <w:p w14:paraId="62255383">
      <w:pPr>
        <w:spacing w:line="440" w:lineRule="exact"/>
        <w:ind w:firstLine="2158" w:firstLineChars="1028"/>
        <w:rPr>
          <w:rFonts w:ascii="Times New Roman" w:hAnsi="Times New Roman"/>
        </w:rPr>
      </w:pPr>
    </w:p>
    <w:p w14:paraId="4A35F878">
      <w:pPr>
        <w:spacing w:line="440" w:lineRule="exact"/>
        <w:ind w:firstLine="2158" w:firstLineChars="1028"/>
        <w:rPr>
          <w:rFonts w:ascii="Times New Roman" w:hAnsi="Times New Roman"/>
        </w:rPr>
      </w:pPr>
    </w:p>
    <w:p w14:paraId="2623605A">
      <w:pPr>
        <w:spacing w:line="440" w:lineRule="exact"/>
        <w:ind w:firstLine="2158" w:firstLineChars="1028"/>
        <w:rPr>
          <w:rFonts w:ascii="Times New Roman" w:hAnsi="Times New Roman"/>
        </w:rPr>
      </w:pPr>
    </w:p>
    <w:p w14:paraId="5196D6CC">
      <w:pPr>
        <w:spacing w:line="440" w:lineRule="exact"/>
        <w:rPr>
          <w:rFonts w:ascii="Times New Roman" w:hAnsi="Times New Roman"/>
        </w:rPr>
      </w:pPr>
    </w:p>
    <w:p w14:paraId="5BDC17DB">
      <w:pPr>
        <w:spacing w:line="440" w:lineRule="exact"/>
        <w:rPr>
          <w:rFonts w:ascii="Times New Roman" w:hAnsi="Times New Roman"/>
        </w:rPr>
      </w:pPr>
    </w:p>
    <w:p w14:paraId="1C2D2A09">
      <w:pPr>
        <w:spacing w:line="440" w:lineRule="exact"/>
        <w:rPr>
          <w:rFonts w:ascii="Times New Roman" w:hAnsi="Times New Roman"/>
        </w:rPr>
      </w:pPr>
    </w:p>
    <w:p w14:paraId="357D6076">
      <w:pPr>
        <w:spacing w:line="440" w:lineRule="exact"/>
        <w:rPr>
          <w:rFonts w:ascii="Times New Roman" w:hAnsi="Times New Roman"/>
        </w:rPr>
      </w:pPr>
    </w:p>
    <w:p w14:paraId="5874E357">
      <w:pPr>
        <w:widowControl/>
        <w:spacing w:line="360" w:lineRule="auto"/>
        <w:jc w:val="left"/>
        <w:rPr>
          <w:rFonts w:ascii="Times New Roman" w:hAnsi="Times New Roman" w:eastAsia="黑体"/>
          <w:sz w:val="32"/>
          <w:szCs w:val="32"/>
        </w:rPr>
      </w:pPr>
      <w:r>
        <w:rPr>
          <w:rFonts w:ascii="Times New Roman" w:hAnsi="Times New Roman"/>
        </w:rPr>
        <w:t>注：对照报价文件初步评审及详细评审条件，由投标人自行提供相关证明。如证明或声明与实际不符，将被取消投标或中标资格，其投标保证金按规定予以处理。</w:t>
      </w:r>
      <w:bookmarkEnd w:id="480"/>
    </w:p>
    <w:sectPr>
      <w:footerReference r:id="rId8" w:type="default"/>
      <w:footnotePr>
        <w:numFmt w:val="decimalEnclosedCircleChinese"/>
        <w:numRestart w:val="eachPage"/>
      </w:footnotePr>
      <w:pgSz w:w="12240" w:h="15840"/>
      <w:pgMar w:top="1440" w:right="1800" w:bottom="1440" w:left="1800" w:header="850" w:footer="720"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7D578D9-6362-4F8D-B0A2-969FE9135268}"/>
  </w:font>
  <w:font w:name="Arial">
    <w:panose1 w:val="020B0604020202020204"/>
    <w:charset w:val="01"/>
    <w:family w:val="swiss"/>
    <w:pitch w:val="default"/>
    <w:sig w:usb0="E0002EFF" w:usb1="C000785B" w:usb2="00000009" w:usb3="00000000" w:csb0="400001FF" w:csb1="FFFF0000"/>
    <w:embedRegular r:id="rId2" w:fontKey="{8A9F95B8-D91C-402C-85DD-0B07F1BA34A5}"/>
  </w:font>
  <w:font w:name="黑体">
    <w:panose1 w:val="02010609060101010101"/>
    <w:charset w:val="86"/>
    <w:family w:val="auto"/>
    <w:pitch w:val="default"/>
    <w:sig w:usb0="800002BF" w:usb1="38CF7CFA" w:usb2="00000016" w:usb3="00000000" w:csb0="00040001" w:csb1="00000000"/>
    <w:embedRegular r:id="rId3" w:fontKey="{6E4F6CB7-305F-4E5B-BDA1-0EB3D50C6D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FF6060EF-CBB3-49E0-9FA9-78C6D5DCD696}"/>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5" w:fontKey="{B9953D62-96A9-450D-9D6B-B876AF9A8D15}"/>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1" w:usb1="08080000" w:usb2="00000010" w:usb3="00000000" w:csb0="0010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6" w:fontKey="{FF286451-19CE-456A-86AA-A579D1D1EFEF}"/>
  </w:font>
  <w:font w:name="MS Mincho">
    <w:altName w:val="Yu Gothic UI"/>
    <w:panose1 w:val="02020609040205080304"/>
    <w:charset w:val="80"/>
    <w:family w:val="roman"/>
    <w:pitch w:val="default"/>
    <w:sig w:usb0="00000001" w:usb1="08070000" w:usb2="00000010" w:usb3="00000000" w:csb0="00020000" w:csb1="00000000"/>
    <w:embedRegular r:id="rId7" w:fontKey="{A64DD3A5-67E9-436E-B942-DC113FB1AE80}"/>
  </w:font>
  <w:font w:name="等线">
    <w:panose1 w:val="02010600030101010101"/>
    <w:charset w:val="86"/>
    <w:family w:val="auto"/>
    <w:pitch w:val="default"/>
    <w:sig w:usb0="A00002BF" w:usb1="38CF7CFA" w:usb2="00000016" w:usb3="00000000" w:csb0="0004000F" w:csb1="00000000"/>
    <w:embedRegular r:id="rId8" w:fontKey="{356E3428-55E7-4694-81BB-E7751DCF505B}"/>
  </w:font>
  <w:font w:name="仿宋">
    <w:panose1 w:val="02010609060101010101"/>
    <w:charset w:val="86"/>
    <w:family w:val="modern"/>
    <w:pitch w:val="default"/>
    <w:sig w:usb0="800002BF" w:usb1="38CF7CFA" w:usb2="00000016" w:usb3="00000000" w:csb0="00040001" w:csb1="00000000"/>
    <w:embedRegular r:id="rId9" w:fontKey="{5572CA2E-82F3-4378-8F6F-BEA4D8D49130}"/>
  </w:font>
  <w:font w:name="PMingLiU-ExtB">
    <w:panose1 w:val="02020500000000000000"/>
    <w:charset w:val="88"/>
    <w:family w:val="auto"/>
    <w:pitch w:val="default"/>
    <w:sig w:usb0="8000002F" w:usb1="02000008" w:usb2="00000000" w:usb3="00000000" w:csb0="0010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CCF4D">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70B11">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71205">
    <w:pPr>
      <w:pStyle w:val="25"/>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5DF3C9">
                          <w:pPr>
                            <w:pStyle w:val="2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L20894BAAC+AwAADgAAAGRycy9lMm9Eb2MueG1srVPBjtMwEL0j8Q+W&#10;7zTZI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UvbTz3gEAAL4DAAAOAAAAAAAA&#10;AAEAIAAAAB4BAABkcnMvZTJvRG9jLnhtbFBLBQYAAAAABgAGAFkBAABuBQAAAAA=&#10;">
              <v:fill on="f" focussize="0,0"/>
              <v:stroke on="f"/>
              <v:imagedata o:title=""/>
              <o:lock v:ext="edit" aspectratio="f"/>
              <v:textbox inset="0mm,0mm,0mm,0mm" style="mso-fit-shape-to-text:t;">
                <w:txbxContent>
                  <w:p w14:paraId="165DF3C9">
                    <w:pPr>
                      <w:pStyle w:val="2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F17BD2">
                          <w:pPr>
                            <w:pStyle w:val="25"/>
                            <w:jc w:val="center"/>
                            <w:rPr>
                              <w:rFonts w:hint="default" w:eastAsia="宋体"/>
                              <w:lang w:val="en-US" w:eastAsia="zh-CN"/>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19F17BD2">
                    <w:pPr>
                      <w:pStyle w:val="25"/>
                      <w:jc w:val="center"/>
                      <w:rPr>
                        <w:rFonts w:hint="default" w:eastAsia="宋体"/>
                        <w:lang w:val="en-US" w:eastAsia="zh-CN"/>
                      </w:rPr>
                    </w:pPr>
                  </w:p>
                </w:txbxContent>
              </v:textbox>
            </v:shape>
          </w:pict>
        </mc:Fallback>
      </mc:AlternateContent>
    </w:r>
  </w:p>
  <w:p w14:paraId="17BF281E">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34AA7">
    <w:pPr>
      <w:pStyle w:val="2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4416A6">
                          <w:pPr>
                            <w:pStyle w:val="2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rct4BAAC+AwAADgAAAGRycy9lMm9Eb2MueG1srVPNjtMwEL4j8Q6W&#10;7zTZC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wl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8yty3gEAAL4DAAAOAAAAAAAA&#10;AAEAIAAAAB4BAABkcnMvZTJvRG9jLnhtbFBLBQYAAAAABgAGAFkBAABuBQAAAAA=&#10;">
              <v:fill on="f" focussize="0,0"/>
              <v:stroke on="f"/>
              <v:imagedata o:title=""/>
              <o:lock v:ext="edit" aspectratio="f"/>
              <v:textbox inset="0mm,0mm,0mm,0mm" style="mso-fit-shape-to-text:t;">
                <w:txbxContent>
                  <w:p w14:paraId="474416A6">
                    <w:pPr>
                      <w:pStyle w:val="2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p w14:paraId="2B46A344">
    <w:pPr>
      <w:pStyle w:val="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453AA29B">
      <w:pPr>
        <w:pStyle w:val="32"/>
        <w:rPr>
          <w:rFonts w:hint="eastAsia"/>
          <w:color w:val="0000FF"/>
        </w:rPr>
      </w:pPr>
    </w:p>
  </w:footnote>
  <w:footnote w:id="1">
    <w:p w14:paraId="22A08F12">
      <w:pPr>
        <w:pStyle w:val="32"/>
        <w:rPr>
          <w:rFonts w:ascii="宋体" w:hAnsi="宋体"/>
        </w:rPr>
      </w:pPr>
      <w:r>
        <w:rPr>
          <w:rFonts w:ascii="宋体" w:hAnsi="宋体" w:cs="楷体"/>
          <w:bCs/>
          <w:snapToGrid w:val="0"/>
          <w:kern w:val="0"/>
          <w:vertAlign w:val="superscript"/>
        </w:rPr>
        <w:footnoteRef/>
      </w:r>
      <w:r>
        <w:rPr>
          <w:rFonts w:hint="eastAsia" w:ascii="宋体" w:hAnsi="宋体" w:cs="楷体"/>
          <w:bCs/>
          <w:snapToGrid w:val="0"/>
          <w:kern w:val="0"/>
          <w:vertAlign w:val="superscript"/>
        </w:rPr>
        <w:t xml:space="preserve"> </w:t>
      </w:r>
      <w:r>
        <w:rPr>
          <w:rFonts w:hint="eastAsia" w:ascii="宋体" w:hAnsi="宋体" w:cs="楷体"/>
          <w:bCs/>
          <w:snapToGrid w:val="0"/>
          <w:kern w:val="0"/>
        </w:rPr>
        <w:t>仅适用于多标段项目。</w:t>
      </w:r>
    </w:p>
  </w:footnote>
  <w:footnote w:id="2">
    <w:p w14:paraId="608D54D1">
      <w:pPr>
        <w:pStyle w:val="32"/>
        <w:rPr>
          <w:color w:val="0070C0"/>
        </w:rPr>
      </w:pPr>
      <w:r>
        <w:rPr>
          <w:rFonts w:eastAsia="楷体" w:cs="楷体"/>
          <w:bCs/>
          <w:snapToGrid w:val="0"/>
          <w:color w:val="0070C0"/>
          <w:kern w:val="0"/>
          <w:vertAlign w:val="superscript"/>
        </w:rPr>
        <w:footnoteRef/>
      </w:r>
      <w:r>
        <w:rPr>
          <w:rFonts w:hint="eastAsia" w:eastAsia="楷体" w:cs="楷体"/>
          <w:bCs/>
          <w:snapToGrid w:val="0"/>
          <w:color w:val="0070C0"/>
          <w:kern w:val="0"/>
          <w:vertAlign w:val="superscript"/>
        </w:rPr>
        <w:t xml:space="preserve"> </w:t>
      </w:r>
      <w:r>
        <w:rPr>
          <w:rFonts w:hint="eastAsia" w:eastAsia="楷体" w:cs="楷体"/>
          <w:bCs/>
          <w:snapToGrid w:val="0"/>
          <w:color w:val="0070C0"/>
          <w:kern w:val="0"/>
        </w:rPr>
        <w:t>仅适用于多标段项目。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4755A">
    <w:pPr>
      <w:pStyle w:val="27"/>
      <w:pBdr>
        <w:bottom w:val="none" w:color="auto" w:sz="0" w:space="1"/>
      </w:pBdr>
      <w:rPr>
        <w:rFonts w:hint="eastAsia"/>
        <w:sz w:val="16"/>
        <w:szCs w:val="18"/>
      </w:rPr>
    </w:pPr>
    <w:r>
      <w:rPr>
        <w:color w:val="000000"/>
        <w:u w:val="single"/>
      </w:rPr>
      <w:drawing>
        <wp:inline distT="0" distB="0" distL="114300" distR="114300">
          <wp:extent cx="457835" cy="443230"/>
          <wp:effectExtent l="0" t="0" r="18415" b="1397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color w:val="000000"/>
        <w:u w:val="single"/>
      </w:rPr>
      <w:t xml:space="preserve">            </w:t>
    </w:r>
    <w:r>
      <w:rPr>
        <w:rFonts w:hint="eastAsia"/>
        <w:sz w:val="24"/>
        <w:szCs w:val="24"/>
        <w:u w:val="single"/>
      </w:rPr>
      <w:t>合肥文旅博览集团有限公司公开招标-招标文件示范文本（服务类）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5367F1"/>
    <w:multiLevelType w:val="singleLevel"/>
    <w:tmpl w:val="A15367F1"/>
    <w:lvl w:ilvl="0" w:tentative="0">
      <w:start w:val="1"/>
      <w:numFmt w:val="decimal"/>
      <w:lvlText w:val="%1."/>
      <w:lvlJc w:val="left"/>
      <w:pPr>
        <w:tabs>
          <w:tab w:val="left" w:pos="312"/>
        </w:tabs>
      </w:pPr>
    </w:lvl>
  </w:abstractNum>
  <w:abstractNum w:abstractNumId="1">
    <w:nsid w:val="BADFC925"/>
    <w:multiLevelType w:val="singleLevel"/>
    <w:tmpl w:val="BADFC925"/>
    <w:lvl w:ilvl="0" w:tentative="0">
      <w:start w:val="1"/>
      <w:numFmt w:val="decimal"/>
      <w:lvlText w:val="%1."/>
      <w:lvlJc w:val="left"/>
      <w:pPr>
        <w:tabs>
          <w:tab w:val="left" w:pos="312"/>
        </w:tabs>
      </w:pPr>
    </w:lvl>
  </w:abstractNum>
  <w:abstractNum w:abstractNumId="2">
    <w:nsid w:val="D495152E"/>
    <w:multiLevelType w:val="singleLevel"/>
    <w:tmpl w:val="D495152E"/>
    <w:lvl w:ilvl="0" w:tentative="0">
      <w:start w:val="2"/>
      <w:numFmt w:val="decimal"/>
      <w:suff w:val="nothing"/>
      <w:lvlText w:val="（%1）"/>
      <w:lvlJc w:val="left"/>
    </w:lvl>
  </w:abstractNum>
  <w:abstractNum w:abstractNumId="3">
    <w:nsid w:val="D49AFCF1"/>
    <w:multiLevelType w:val="singleLevel"/>
    <w:tmpl w:val="D49AFCF1"/>
    <w:lvl w:ilvl="0" w:tentative="0">
      <w:start w:val="2"/>
      <w:numFmt w:val="chineseCounting"/>
      <w:suff w:val="nothing"/>
      <w:lvlText w:val="%1、"/>
      <w:lvlJc w:val="left"/>
      <w:rPr>
        <w:rFonts w:hint="eastAsia"/>
      </w:rPr>
    </w:lvl>
  </w:abstractNum>
  <w:abstractNum w:abstractNumId="4">
    <w:nsid w:val="5C7BFFBD"/>
    <w:multiLevelType w:val="singleLevel"/>
    <w:tmpl w:val="5C7BFFBD"/>
    <w:lvl w:ilvl="0" w:tentative="0">
      <w:start w:val="1"/>
      <w:numFmt w:val="decimal"/>
      <w:suff w:val="space"/>
      <w:lvlText w:val="%1."/>
      <w:lvlJc w:val="left"/>
    </w:lvl>
  </w:abstractNum>
  <w:abstractNum w:abstractNumId="5">
    <w:nsid w:val="67A3E3B6"/>
    <w:multiLevelType w:val="singleLevel"/>
    <w:tmpl w:val="67A3E3B6"/>
    <w:lvl w:ilvl="0" w:tentative="0">
      <w:start w:val="5"/>
      <w:numFmt w:val="chineseCounting"/>
      <w:suff w:val="nothing"/>
      <w:lvlText w:val="%1、"/>
      <w:lvlJc w:val="left"/>
      <w:rPr>
        <w:rFonts w:hint="eastAsia"/>
      </w:rPr>
    </w:lvl>
  </w:abstractNum>
  <w:abstractNum w:abstractNumId="6">
    <w:nsid w:val="67F87C8A"/>
    <w:multiLevelType w:val="singleLevel"/>
    <w:tmpl w:val="67F87C8A"/>
    <w:lvl w:ilvl="0" w:tentative="0">
      <w:start w:val="2"/>
      <w:numFmt w:val="decimal"/>
      <w:suff w:val="space"/>
      <w:lvlText w:val="%1."/>
      <w:lvlJc w:val="left"/>
    </w:lvl>
  </w:abstractNum>
  <w:num w:numId="1">
    <w:abstractNumId w:val="2"/>
  </w:num>
  <w:num w:numId="2">
    <w:abstractNumId w:val="0"/>
  </w:num>
  <w:num w:numId="3">
    <w:abstractNumId w:val="4"/>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numFmt w:val="decimalEnclosedCircleChinese"/>
    <w:numRestart w:val="eachPage"/>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kZjdiYzVhMzFhM2M3MmRmMDYxZDdmZmQ3YWQzOTYifQ=="/>
  </w:docVars>
  <w:rsids>
    <w:rsidRoot w:val="00172A27"/>
    <w:rsid w:val="000019FC"/>
    <w:rsid w:val="00002A60"/>
    <w:rsid w:val="00004603"/>
    <w:rsid w:val="0000507C"/>
    <w:rsid w:val="00007319"/>
    <w:rsid w:val="00007D2B"/>
    <w:rsid w:val="000106AE"/>
    <w:rsid w:val="000109BA"/>
    <w:rsid w:val="00011335"/>
    <w:rsid w:val="000113EC"/>
    <w:rsid w:val="00011684"/>
    <w:rsid w:val="00012703"/>
    <w:rsid w:val="0001485E"/>
    <w:rsid w:val="000154ED"/>
    <w:rsid w:val="00017A1E"/>
    <w:rsid w:val="00020140"/>
    <w:rsid w:val="00020F53"/>
    <w:rsid w:val="00021BFE"/>
    <w:rsid w:val="00022E7E"/>
    <w:rsid w:val="00023C7E"/>
    <w:rsid w:val="000248AC"/>
    <w:rsid w:val="000250D6"/>
    <w:rsid w:val="00025ACC"/>
    <w:rsid w:val="00026171"/>
    <w:rsid w:val="00026AA0"/>
    <w:rsid w:val="00026B9F"/>
    <w:rsid w:val="00027599"/>
    <w:rsid w:val="0002793E"/>
    <w:rsid w:val="00027FC6"/>
    <w:rsid w:val="000302AF"/>
    <w:rsid w:val="00030736"/>
    <w:rsid w:val="00032762"/>
    <w:rsid w:val="000351AE"/>
    <w:rsid w:val="000360DF"/>
    <w:rsid w:val="00041EC1"/>
    <w:rsid w:val="00043778"/>
    <w:rsid w:val="00045007"/>
    <w:rsid w:val="00046C42"/>
    <w:rsid w:val="00051CF8"/>
    <w:rsid w:val="00052967"/>
    <w:rsid w:val="0005357F"/>
    <w:rsid w:val="0005607C"/>
    <w:rsid w:val="00062AC6"/>
    <w:rsid w:val="000639BF"/>
    <w:rsid w:val="00065A9E"/>
    <w:rsid w:val="000667F4"/>
    <w:rsid w:val="000668F1"/>
    <w:rsid w:val="00067035"/>
    <w:rsid w:val="00070145"/>
    <w:rsid w:val="000712CC"/>
    <w:rsid w:val="0007298C"/>
    <w:rsid w:val="00073957"/>
    <w:rsid w:val="000766B2"/>
    <w:rsid w:val="00076AE9"/>
    <w:rsid w:val="0008132B"/>
    <w:rsid w:val="00081360"/>
    <w:rsid w:val="00081960"/>
    <w:rsid w:val="0008253E"/>
    <w:rsid w:val="000829D5"/>
    <w:rsid w:val="000857E2"/>
    <w:rsid w:val="00087558"/>
    <w:rsid w:val="0009240C"/>
    <w:rsid w:val="00092D51"/>
    <w:rsid w:val="00093FF8"/>
    <w:rsid w:val="000943B0"/>
    <w:rsid w:val="00094ACD"/>
    <w:rsid w:val="00094C66"/>
    <w:rsid w:val="0009505F"/>
    <w:rsid w:val="00097FC4"/>
    <w:rsid w:val="000A118B"/>
    <w:rsid w:val="000A25A8"/>
    <w:rsid w:val="000A287B"/>
    <w:rsid w:val="000A3C49"/>
    <w:rsid w:val="000A5C81"/>
    <w:rsid w:val="000A76B3"/>
    <w:rsid w:val="000B2147"/>
    <w:rsid w:val="000B33A9"/>
    <w:rsid w:val="000B574C"/>
    <w:rsid w:val="000B6549"/>
    <w:rsid w:val="000B65E2"/>
    <w:rsid w:val="000B676B"/>
    <w:rsid w:val="000B78C1"/>
    <w:rsid w:val="000C0018"/>
    <w:rsid w:val="000C0AF1"/>
    <w:rsid w:val="000C1A9B"/>
    <w:rsid w:val="000C1B63"/>
    <w:rsid w:val="000C2AB5"/>
    <w:rsid w:val="000C4246"/>
    <w:rsid w:val="000C4406"/>
    <w:rsid w:val="000C4710"/>
    <w:rsid w:val="000C4924"/>
    <w:rsid w:val="000C6FFB"/>
    <w:rsid w:val="000C7A13"/>
    <w:rsid w:val="000C7A74"/>
    <w:rsid w:val="000D1AE8"/>
    <w:rsid w:val="000D204D"/>
    <w:rsid w:val="000D3177"/>
    <w:rsid w:val="000D4336"/>
    <w:rsid w:val="000D49B4"/>
    <w:rsid w:val="000D5BEB"/>
    <w:rsid w:val="000D6CF4"/>
    <w:rsid w:val="000E08CB"/>
    <w:rsid w:val="000E2B1C"/>
    <w:rsid w:val="000E2EFB"/>
    <w:rsid w:val="000E37FB"/>
    <w:rsid w:val="000E4284"/>
    <w:rsid w:val="000E5673"/>
    <w:rsid w:val="000E6654"/>
    <w:rsid w:val="000E7256"/>
    <w:rsid w:val="000E7A15"/>
    <w:rsid w:val="000F2186"/>
    <w:rsid w:val="000F2747"/>
    <w:rsid w:val="000F2A12"/>
    <w:rsid w:val="000F2ECC"/>
    <w:rsid w:val="000F44D2"/>
    <w:rsid w:val="000F59FD"/>
    <w:rsid w:val="000F726F"/>
    <w:rsid w:val="001011FC"/>
    <w:rsid w:val="00102618"/>
    <w:rsid w:val="00102F0B"/>
    <w:rsid w:val="00105423"/>
    <w:rsid w:val="001079C5"/>
    <w:rsid w:val="001119B6"/>
    <w:rsid w:val="00111EB5"/>
    <w:rsid w:val="0011230B"/>
    <w:rsid w:val="0011365C"/>
    <w:rsid w:val="00113D0A"/>
    <w:rsid w:val="00115124"/>
    <w:rsid w:val="00116708"/>
    <w:rsid w:val="00116B1A"/>
    <w:rsid w:val="00117241"/>
    <w:rsid w:val="00117F0F"/>
    <w:rsid w:val="00123706"/>
    <w:rsid w:val="0012660F"/>
    <w:rsid w:val="001270CD"/>
    <w:rsid w:val="00131FEB"/>
    <w:rsid w:val="00134758"/>
    <w:rsid w:val="0014098E"/>
    <w:rsid w:val="001409BC"/>
    <w:rsid w:val="00141A8F"/>
    <w:rsid w:val="00145049"/>
    <w:rsid w:val="001504E1"/>
    <w:rsid w:val="00151F09"/>
    <w:rsid w:val="0015225D"/>
    <w:rsid w:val="001530C6"/>
    <w:rsid w:val="00153229"/>
    <w:rsid w:val="00153415"/>
    <w:rsid w:val="001578E5"/>
    <w:rsid w:val="00157CF2"/>
    <w:rsid w:val="0016012D"/>
    <w:rsid w:val="00163470"/>
    <w:rsid w:val="001637D7"/>
    <w:rsid w:val="00166C31"/>
    <w:rsid w:val="00166E27"/>
    <w:rsid w:val="00170389"/>
    <w:rsid w:val="0017237F"/>
    <w:rsid w:val="00172A27"/>
    <w:rsid w:val="001735B4"/>
    <w:rsid w:val="001748A3"/>
    <w:rsid w:val="0017646A"/>
    <w:rsid w:val="00180077"/>
    <w:rsid w:val="00182A5C"/>
    <w:rsid w:val="00182B11"/>
    <w:rsid w:val="00183748"/>
    <w:rsid w:val="00183B4A"/>
    <w:rsid w:val="00186361"/>
    <w:rsid w:val="0018661B"/>
    <w:rsid w:val="00186C85"/>
    <w:rsid w:val="001916FB"/>
    <w:rsid w:val="00192E19"/>
    <w:rsid w:val="00193C1D"/>
    <w:rsid w:val="001942C3"/>
    <w:rsid w:val="00195C6B"/>
    <w:rsid w:val="00197A3B"/>
    <w:rsid w:val="001A067F"/>
    <w:rsid w:val="001A093D"/>
    <w:rsid w:val="001A0CCF"/>
    <w:rsid w:val="001A0D01"/>
    <w:rsid w:val="001A2E05"/>
    <w:rsid w:val="001A304A"/>
    <w:rsid w:val="001A4491"/>
    <w:rsid w:val="001A4684"/>
    <w:rsid w:val="001A6C0E"/>
    <w:rsid w:val="001B014D"/>
    <w:rsid w:val="001B1289"/>
    <w:rsid w:val="001B174D"/>
    <w:rsid w:val="001B30C5"/>
    <w:rsid w:val="001B4065"/>
    <w:rsid w:val="001B4B62"/>
    <w:rsid w:val="001B5478"/>
    <w:rsid w:val="001B7FEF"/>
    <w:rsid w:val="001C08ED"/>
    <w:rsid w:val="001C122A"/>
    <w:rsid w:val="001C2434"/>
    <w:rsid w:val="001C30C7"/>
    <w:rsid w:val="001C3548"/>
    <w:rsid w:val="001C3E27"/>
    <w:rsid w:val="001C41E1"/>
    <w:rsid w:val="001C4420"/>
    <w:rsid w:val="001C691A"/>
    <w:rsid w:val="001D0371"/>
    <w:rsid w:val="001D1336"/>
    <w:rsid w:val="001D1E43"/>
    <w:rsid w:val="001D1F07"/>
    <w:rsid w:val="001D414D"/>
    <w:rsid w:val="001D52B0"/>
    <w:rsid w:val="001D7619"/>
    <w:rsid w:val="001E093F"/>
    <w:rsid w:val="001E1433"/>
    <w:rsid w:val="001E6E01"/>
    <w:rsid w:val="001E72A6"/>
    <w:rsid w:val="001E7957"/>
    <w:rsid w:val="001F2208"/>
    <w:rsid w:val="001F2734"/>
    <w:rsid w:val="001F285E"/>
    <w:rsid w:val="001F2D37"/>
    <w:rsid w:val="001F4134"/>
    <w:rsid w:val="001F41DB"/>
    <w:rsid w:val="001F45EE"/>
    <w:rsid w:val="001F4850"/>
    <w:rsid w:val="001F619D"/>
    <w:rsid w:val="001F7EBC"/>
    <w:rsid w:val="00200D20"/>
    <w:rsid w:val="0020300D"/>
    <w:rsid w:val="0020311E"/>
    <w:rsid w:val="00204A5C"/>
    <w:rsid w:val="00204F97"/>
    <w:rsid w:val="00205B7A"/>
    <w:rsid w:val="00207A0B"/>
    <w:rsid w:val="0021226E"/>
    <w:rsid w:val="00212A53"/>
    <w:rsid w:val="0021322F"/>
    <w:rsid w:val="00213B90"/>
    <w:rsid w:val="00215AF0"/>
    <w:rsid w:val="00215B68"/>
    <w:rsid w:val="002216E4"/>
    <w:rsid w:val="00221FAC"/>
    <w:rsid w:val="002229E2"/>
    <w:rsid w:val="0022434B"/>
    <w:rsid w:val="0023039F"/>
    <w:rsid w:val="00230836"/>
    <w:rsid w:val="00232867"/>
    <w:rsid w:val="00232E46"/>
    <w:rsid w:val="0023423F"/>
    <w:rsid w:val="002342C1"/>
    <w:rsid w:val="00236760"/>
    <w:rsid w:val="00237B0E"/>
    <w:rsid w:val="00237BCC"/>
    <w:rsid w:val="002430C2"/>
    <w:rsid w:val="00243A37"/>
    <w:rsid w:val="00246A0E"/>
    <w:rsid w:val="00247719"/>
    <w:rsid w:val="00250CB7"/>
    <w:rsid w:val="00251A49"/>
    <w:rsid w:val="002521B3"/>
    <w:rsid w:val="0025316D"/>
    <w:rsid w:val="002537FE"/>
    <w:rsid w:val="0025460A"/>
    <w:rsid w:val="002558D7"/>
    <w:rsid w:val="00255D0D"/>
    <w:rsid w:val="002606C8"/>
    <w:rsid w:val="00260C77"/>
    <w:rsid w:val="00261352"/>
    <w:rsid w:val="00263B60"/>
    <w:rsid w:val="00263F0B"/>
    <w:rsid w:val="00264EB1"/>
    <w:rsid w:val="00264EE9"/>
    <w:rsid w:val="002658FD"/>
    <w:rsid w:val="00267F60"/>
    <w:rsid w:val="0027188D"/>
    <w:rsid w:val="00271923"/>
    <w:rsid w:val="0027292C"/>
    <w:rsid w:val="00272A39"/>
    <w:rsid w:val="00274DC4"/>
    <w:rsid w:val="00276C71"/>
    <w:rsid w:val="0028128E"/>
    <w:rsid w:val="00281526"/>
    <w:rsid w:val="002829A2"/>
    <w:rsid w:val="0028346F"/>
    <w:rsid w:val="00285406"/>
    <w:rsid w:val="00290828"/>
    <w:rsid w:val="00292A65"/>
    <w:rsid w:val="00294445"/>
    <w:rsid w:val="00294A20"/>
    <w:rsid w:val="002951E8"/>
    <w:rsid w:val="002A0204"/>
    <w:rsid w:val="002A05B1"/>
    <w:rsid w:val="002A20A0"/>
    <w:rsid w:val="002A2A19"/>
    <w:rsid w:val="002A4926"/>
    <w:rsid w:val="002A5172"/>
    <w:rsid w:val="002A552C"/>
    <w:rsid w:val="002A65ED"/>
    <w:rsid w:val="002B0822"/>
    <w:rsid w:val="002B76D2"/>
    <w:rsid w:val="002C08CD"/>
    <w:rsid w:val="002C0C29"/>
    <w:rsid w:val="002C31DD"/>
    <w:rsid w:val="002C3CD8"/>
    <w:rsid w:val="002C636F"/>
    <w:rsid w:val="002C7B9B"/>
    <w:rsid w:val="002D1D41"/>
    <w:rsid w:val="002D2B90"/>
    <w:rsid w:val="002D6292"/>
    <w:rsid w:val="002D6F32"/>
    <w:rsid w:val="002D6FD5"/>
    <w:rsid w:val="002D7B78"/>
    <w:rsid w:val="002E01CA"/>
    <w:rsid w:val="002E0D88"/>
    <w:rsid w:val="002E1DAC"/>
    <w:rsid w:val="002E528D"/>
    <w:rsid w:val="002E590C"/>
    <w:rsid w:val="002E6D05"/>
    <w:rsid w:val="002F1233"/>
    <w:rsid w:val="002F2E8D"/>
    <w:rsid w:val="002F5C17"/>
    <w:rsid w:val="002F6968"/>
    <w:rsid w:val="002F711D"/>
    <w:rsid w:val="002F72A0"/>
    <w:rsid w:val="002F7F2B"/>
    <w:rsid w:val="00301C38"/>
    <w:rsid w:val="00301EBE"/>
    <w:rsid w:val="0030221C"/>
    <w:rsid w:val="00303602"/>
    <w:rsid w:val="00307F75"/>
    <w:rsid w:val="003103F4"/>
    <w:rsid w:val="00311324"/>
    <w:rsid w:val="00311BD5"/>
    <w:rsid w:val="003122C4"/>
    <w:rsid w:val="00312833"/>
    <w:rsid w:val="00314419"/>
    <w:rsid w:val="00314AF6"/>
    <w:rsid w:val="0031529A"/>
    <w:rsid w:val="0032031D"/>
    <w:rsid w:val="00321231"/>
    <w:rsid w:val="003214BA"/>
    <w:rsid w:val="00321647"/>
    <w:rsid w:val="00321989"/>
    <w:rsid w:val="00323A74"/>
    <w:rsid w:val="003243EC"/>
    <w:rsid w:val="003247CD"/>
    <w:rsid w:val="00330D54"/>
    <w:rsid w:val="00332962"/>
    <w:rsid w:val="00334029"/>
    <w:rsid w:val="003362AD"/>
    <w:rsid w:val="00342688"/>
    <w:rsid w:val="003443AF"/>
    <w:rsid w:val="0034440E"/>
    <w:rsid w:val="003455FB"/>
    <w:rsid w:val="00347641"/>
    <w:rsid w:val="00347899"/>
    <w:rsid w:val="00350F3E"/>
    <w:rsid w:val="0035125A"/>
    <w:rsid w:val="003517B4"/>
    <w:rsid w:val="003518D6"/>
    <w:rsid w:val="00354B7A"/>
    <w:rsid w:val="003560AF"/>
    <w:rsid w:val="003574D9"/>
    <w:rsid w:val="00360202"/>
    <w:rsid w:val="00360FB4"/>
    <w:rsid w:val="0036267B"/>
    <w:rsid w:val="00363966"/>
    <w:rsid w:val="00367DB3"/>
    <w:rsid w:val="0037208D"/>
    <w:rsid w:val="003741B0"/>
    <w:rsid w:val="00375481"/>
    <w:rsid w:val="003772AE"/>
    <w:rsid w:val="003777DD"/>
    <w:rsid w:val="0038240C"/>
    <w:rsid w:val="0038359A"/>
    <w:rsid w:val="003865F8"/>
    <w:rsid w:val="00386AA0"/>
    <w:rsid w:val="00387996"/>
    <w:rsid w:val="00387ED5"/>
    <w:rsid w:val="00391F03"/>
    <w:rsid w:val="003937D8"/>
    <w:rsid w:val="00393D89"/>
    <w:rsid w:val="0039407B"/>
    <w:rsid w:val="00395E10"/>
    <w:rsid w:val="00397531"/>
    <w:rsid w:val="003A184D"/>
    <w:rsid w:val="003A1ED8"/>
    <w:rsid w:val="003A2368"/>
    <w:rsid w:val="003A3386"/>
    <w:rsid w:val="003A593E"/>
    <w:rsid w:val="003A6715"/>
    <w:rsid w:val="003A6775"/>
    <w:rsid w:val="003B1B15"/>
    <w:rsid w:val="003B377F"/>
    <w:rsid w:val="003B3FDA"/>
    <w:rsid w:val="003B68A9"/>
    <w:rsid w:val="003C0D7D"/>
    <w:rsid w:val="003C2031"/>
    <w:rsid w:val="003C2BAB"/>
    <w:rsid w:val="003C2FA8"/>
    <w:rsid w:val="003C4858"/>
    <w:rsid w:val="003C4F70"/>
    <w:rsid w:val="003C4FF4"/>
    <w:rsid w:val="003C507E"/>
    <w:rsid w:val="003C584A"/>
    <w:rsid w:val="003C5BB3"/>
    <w:rsid w:val="003D0286"/>
    <w:rsid w:val="003D1170"/>
    <w:rsid w:val="003D1B8E"/>
    <w:rsid w:val="003D2D72"/>
    <w:rsid w:val="003D36EE"/>
    <w:rsid w:val="003D4394"/>
    <w:rsid w:val="003D68E6"/>
    <w:rsid w:val="003D6E0A"/>
    <w:rsid w:val="003D7020"/>
    <w:rsid w:val="003E32F6"/>
    <w:rsid w:val="003F1396"/>
    <w:rsid w:val="003F3518"/>
    <w:rsid w:val="003F504F"/>
    <w:rsid w:val="003F5B69"/>
    <w:rsid w:val="003F5BFB"/>
    <w:rsid w:val="00400DA7"/>
    <w:rsid w:val="00400F0A"/>
    <w:rsid w:val="00404741"/>
    <w:rsid w:val="00407637"/>
    <w:rsid w:val="004105EF"/>
    <w:rsid w:val="00412E6B"/>
    <w:rsid w:val="00413087"/>
    <w:rsid w:val="00415A1A"/>
    <w:rsid w:val="00422762"/>
    <w:rsid w:val="0042326A"/>
    <w:rsid w:val="00423F96"/>
    <w:rsid w:val="004249F9"/>
    <w:rsid w:val="00430075"/>
    <w:rsid w:val="00431653"/>
    <w:rsid w:val="00431F4F"/>
    <w:rsid w:val="0043351E"/>
    <w:rsid w:val="00433676"/>
    <w:rsid w:val="00433712"/>
    <w:rsid w:val="0043420D"/>
    <w:rsid w:val="0043445F"/>
    <w:rsid w:val="00434F26"/>
    <w:rsid w:val="00436504"/>
    <w:rsid w:val="004376CC"/>
    <w:rsid w:val="00437F47"/>
    <w:rsid w:val="004405C7"/>
    <w:rsid w:val="00440814"/>
    <w:rsid w:val="00441D39"/>
    <w:rsid w:val="00442AF8"/>
    <w:rsid w:val="0044514A"/>
    <w:rsid w:val="00446E7A"/>
    <w:rsid w:val="00447E59"/>
    <w:rsid w:val="00447E62"/>
    <w:rsid w:val="00450175"/>
    <w:rsid w:val="00450D3C"/>
    <w:rsid w:val="00457A06"/>
    <w:rsid w:val="00457D1D"/>
    <w:rsid w:val="00457DC2"/>
    <w:rsid w:val="00460EF3"/>
    <w:rsid w:val="00461F10"/>
    <w:rsid w:val="00465E37"/>
    <w:rsid w:val="00466339"/>
    <w:rsid w:val="0046780A"/>
    <w:rsid w:val="004706A7"/>
    <w:rsid w:val="004709E4"/>
    <w:rsid w:val="004733D3"/>
    <w:rsid w:val="0047369B"/>
    <w:rsid w:val="0047429E"/>
    <w:rsid w:val="00475492"/>
    <w:rsid w:val="00476927"/>
    <w:rsid w:val="004809EB"/>
    <w:rsid w:val="00480D1B"/>
    <w:rsid w:val="00481C83"/>
    <w:rsid w:val="0048344D"/>
    <w:rsid w:val="004848A0"/>
    <w:rsid w:val="00487315"/>
    <w:rsid w:val="004906E1"/>
    <w:rsid w:val="00491D87"/>
    <w:rsid w:val="004921D9"/>
    <w:rsid w:val="00492E79"/>
    <w:rsid w:val="004935E7"/>
    <w:rsid w:val="00493754"/>
    <w:rsid w:val="00493C05"/>
    <w:rsid w:val="00494530"/>
    <w:rsid w:val="00494624"/>
    <w:rsid w:val="00495001"/>
    <w:rsid w:val="00495BF7"/>
    <w:rsid w:val="00496549"/>
    <w:rsid w:val="004977CA"/>
    <w:rsid w:val="004A0C18"/>
    <w:rsid w:val="004A0F6C"/>
    <w:rsid w:val="004A112E"/>
    <w:rsid w:val="004A2E49"/>
    <w:rsid w:val="004A76F2"/>
    <w:rsid w:val="004A7A55"/>
    <w:rsid w:val="004B173F"/>
    <w:rsid w:val="004B1892"/>
    <w:rsid w:val="004B1C0F"/>
    <w:rsid w:val="004B3C1F"/>
    <w:rsid w:val="004B4C84"/>
    <w:rsid w:val="004B51E3"/>
    <w:rsid w:val="004B5467"/>
    <w:rsid w:val="004B5F46"/>
    <w:rsid w:val="004B6B6F"/>
    <w:rsid w:val="004B6ED7"/>
    <w:rsid w:val="004B7662"/>
    <w:rsid w:val="004C1B99"/>
    <w:rsid w:val="004C76DC"/>
    <w:rsid w:val="004D0866"/>
    <w:rsid w:val="004D0DD7"/>
    <w:rsid w:val="004D1209"/>
    <w:rsid w:val="004D2ABE"/>
    <w:rsid w:val="004D34EB"/>
    <w:rsid w:val="004D4247"/>
    <w:rsid w:val="004D4818"/>
    <w:rsid w:val="004D7237"/>
    <w:rsid w:val="004D73DC"/>
    <w:rsid w:val="004D794D"/>
    <w:rsid w:val="004D7FCB"/>
    <w:rsid w:val="004E0C05"/>
    <w:rsid w:val="004E2137"/>
    <w:rsid w:val="004E2C48"/>
    <w:rsid w:val="004E2CB1"/>
    <w:rsid w:val="004E3473"/>
    <w:rsid w:val="004E4A6C"/>
    <w:rsid w:val="004F0052"/>
    <w:rsid w:val="004F1425"/>
    <w:rsid w:val="004F1E50"/>
    <w:rsid w:val="004F2BD3"/>
    <w:rsid w:val="004F3309"/>
    <w:rsid w:val="004F5490"/>
    <w:rsid w:val="004F6E80"/>
    <w:rsid w:val="00501073"/>
    <w:rsid w:val="00501ABA"/>
    <w:rsid w:val="00501AEF"/>
    <w:rsid w:val="005034E3"/>
    <w:rsid w:val="00504CF3"/>
    <w:rsid w:val="00505EA7"/>
    <w:rsid w:val="00506A2D"/>
    <w:rsid w:val="0050739A"/>
    <w:rsid w:val="0050760D"/>
    <w:rsid w:val="005100DC"/>
    <w:rsid w:val="00510FCB"/>
    <w:rsid w:val="00511660"/>
    <w:rsid w:val="00512A0D"/>
    <w:rsid w:val="00517CCE"/>
    <w:rsid w:val="00517D83"/>
    <w:rsid w:val="0052145B"/>
    <w:rsid w:val="00521D0C"/>
    <w:rsid w:val="00522102"/>
    <w:rsid w:val="005229A0"/>
    <w:rsid w:val="00522D50"/>
    <w:rsid w:val="005237BD"/>
    <w:rsid w:val="005240C6"/>
    <w:rsid w:val="005247EB"/>
    <w:rsid w:val="00525789"/>
    <w:rsid w:val="00527D92"/>
    <w:rsid w:val="00531B84"/>
    <w:rsid w:val="00531BAF"/>
    <w:rsid w:val="00535BBC"/>
    <w:rsid w:val="00536DBC"/>
    <w:rsid w:val="00537781"/>
    <w:rsid w:val="00537B99"/>
    <w:rsid w:val="00537C89"/>
    <w:rsid w:val="005409DB"/>
    <w:rsid w:val="00542C62"/>
    <w:rsid w:val="0054392A"/>
    <w:rsid w:val="00543F5F"/>
    <w:rsid w:val="00544D08"/>
    <w:rsid w:val="00545698"/>
    <w:rsid w:val="00546149"/>
    <w:rsid w:val="005462B6"/>
    <w:rsid w:val="005530DC"/>
    <w:rsid w:val="00555089"/>
    <w:rsid w:val="005557A2"/>
    <w:rsid w:val="00556133"/>
    <w:rsid w:val="005565F1"/>
    <w:rsid w:val="00556ABB"/>
    <w:rsid w:val="00562259"/>
    <w:rsid w:val="005655BD"/>
    <w:rsid w:val="00573ADA"/>
    <w:rsid w:val="00573B46"/>
    <w:rsid w:val="00573C8F"/>
    <w:rsid w:val="00576C5E"/>
    <w:rsid w:val="00577C17"/>
    <w:rsid w:val="0058065B"/>
    <w:rsid w:val="00580957"/>
    <w:rsid w:val="00581BCB"/>
    <w:rsid w:val="0058248B"/>
    <w:rsid w:val="005824FB"/>
    <w:rsid w:val="005827A7"/>
    <w:rsid w:val="00582FA7"/>
    <w:rsid w:val="00584176"/>
    <w:rsid w:val="00585785"/>
    <w:rsid w:val="00585B39"/>
    <w:rsid w:val="00586041"/>
    <w:rsid w:val="00586955"/>
    <w:rsid w:val="00590284"/>
    <w:rsid w:val="00591620"/>
    <w:rsid w:val="00591B1C"/>
    <w:rsid w:val="005955BA"/>
    <w:rsid w:val="005963AA"/>
    <w:rsid w:val="00596B7A"/>
    <w:rsid w:val="005A0B59"/>
    <w:rsid w:val="005A245A"/>
    <w:rsid w:val="005A297F"/>
    <w:rsid w:val="005A2C7B"/>
    <w:rsid w:val="005A2CC7"/>
    <w:rsid w:val="005A328C"/>
    <w:rsid w:val="005A420F"/>
    <w:rsid w:val="005A5DB7"/>
    <w:rsid w:val="005A689F"/>
    <w:rsid w:val="005A7987"/>
    <w:rsid w:val="005B0F9A"/>
    <w:rsid w:val="005B1A42"/>
    <w:rsid w:val="005B1D03"/>
    <w:rsid w:val="005B36A8"/>
    <w:rsid w:val="005B46BD"/>
    <w:rsid w:val="005B4BDD"/>
    <w:rsid w:val="005B4DB1"/>
    <w:rsid w:val="005B6D33"/>
    <w:rsid w:val="005B70E5"/>
    <w:rsid w:val="005C0D70"/>
    <w:rsid w:val="005C162E"/>
    <w:rsid w:val="005C1B19"/>
    <w:rsid w:val="005C25C7"/>
    <w:rsid w:val="005C417A"/>
    <w:rsid w:val="005C578A"/>
    <w:rsid w:val="005C6319"/>
    <w:rsid w:val="005C682A"/>
    <w:rsid w:val="005C7A08"/>
    <w:rsid w:val="005D22FC"/>
    <w:rsid w:val="005D2B40"/>
    <w:rsid w:val="005D3D41"/>
    <w:rsid w:val="005D616A"/>
    <w:rsid w:val="005D736F"/>
    <w:rsid w:val="005E1EB4"/>
    <w:rsid w:val="005E2303"/>
    <w:rsid w:val="005E4F70"/>
    <w:rsid w:val="005E7CE8"/>
    <w:rsid w:val="005F1190"/>
    <w:rsid w:val="005F1628"/>
    <w:rsid w:val="005F162E"/>
    <w:rsid w:val="005F16C3"/>
    <w:rsid w:val="005F328B"/>
    <w:rsid w:val="005F4D70"/>
    <w:rsid w:val="005F6547"/>
    <w:rsid w:val="005F74F3"/>
    <w:rsid w:val="00600CDF"/>
    <w:rsid w:val="0060161F"/>
    <w:rsid w:val="00601E1E"/>
    <w:rsid w:val="006045A3"/>
    <w:rsid w:val="00604BBE"/>
    <w:rsid w:val="00605811"/>
    <w:rsid w:val="00605A28"/>
    <w:rsid w:val="00605D55"/>
    <w:rsid w:val="00610DD1"/>
    <w:rsid w:val="00613604"/>
    <w:rsid w:val="00613839"/>
    <w:rsid w:val="00614E98"/>
    <w:rsid w:val="00621AD0"/>
    <w:rsid w:val="0062295C"/>
    <w:rsid w:val="00623AD2"/>
    <w:rsid w:val="006259BD"/>
    <w:rsid w:val="006268D4"/>
    <w:rsid w:val="00627B16"/>
    <w:rsid w:val="00632B51"/>
    <w:rsid w:val="00633021"/>
    <w:rsid w:val="00633159"/>
    <w:rsid w:val="00633592"/>
    <w:rsid w:val="00633CD9"/>
    <w:rsid w:val="00635C67"/>
    <w:rsid w:val="00636681"/>
    <w:rsid w:val="00636962"/>
    <w:rsid w:val="006410D9"/>
    <w:rsid w:val="0064201E"/>
    <w:rsid w:val="0064474B"/>
    <w:rsid w:val="00644C71"/>
    <w:rsid w:val="006462FA"/>
    <w:rsid w:val="00647B81"/>
    <w:rsid w:val="00650AD6"/>
    <w:rsid w:val="00655C47"/>
    <w:rsid w:val="00656C19"/>
    <w:rsid w:val="00660744"/>
    <w:rsid w:val="00660AEB"/>
    <w:rsid w:val="00660EBB"/>
    <w:rsid w:val="00661021"/>
    <w:rsid w:val="006625F7"/>
    <w:rsid w:val="00663CC5"/>
    <w:rsid w:val="006654DE"/>
    <w:rsid w:val="00666A14"/>
    <w:rsid w:val="00670660"/>
    <w:rsid w:val="00672E2F"/>
    <w:rsid w:val="00683C1B"/>
    <w:rsid w:val="00684164"/>
    <w:rsid w:val="00684D69"/>
    <w:rsid w:val="00684E55"/>
    <w:rsid w:val="00685278"/>
    <w:rsid w:val="006861F4"/>
    <w:rsid w:val="00686AF3"/>
    <w:rsid w:val="006928F3"/>
    <w:rsid w:val="006930AC"/>
    <w:rsid w:val="00693B0E"/>
    <w:rsid w:val="00694734"/>
    <w:rsid w:val="00694F98"/>
    <w:rsid w:val="006952F5"/>
    <w:rsid w:val="006A1614"/>
    <w:rsid w:val="006A2572"/>
    <w:rsid w:val="006A350C"/>
    <w:rsid w:val="006A4E97"/>
    <w:rsid w:val="006A5596"/>
    <w:rsid w:val="006A576A"/>
    <w:rsid w:val="006A6224"/>
    <w:rsid w:val="006A6279"/>
    <w:rsid w:val="006A6715"/>
    <w:rsid w:val="006A73FD"/>
    <w:rsid w:val="006B4233"/>
    <w:rsid w:val="006B44AA"/>
    <w:rsid w:val="006B4615"/>
    <w:rsid w:val="006B4620"/>
    <w:rsid w:val="006B4787"/>
    <w:rsid w:val="006B4ED2"/>
    <w:rsid w:val="006B566B"/>
    <w:rsid w:val="006B5A94"/>
    <w:rsid w:val="006B6E3B"/>
    <w:rsid w:val="006C15BC"/>
    <w:rsid w:val="006C1B42"/>
    <w:rsid w:val="006C285C"/>
    <w:rsid w:val="006C28E0"/>
    <w:rsid w:val="006C2F07"/>
    <w:rsid w:val="006C56C9"/>
    <w:rsid w:val="006C67D7"/>
    <w:rsid w:val="006D144F"/>
    <w:rsid w:val="006D567B"/>
    <w:rsid w:val="006D671A"/>
    <w:rsid w:val="006D6EE7"/>
    <w:rsid w:val="006D72C7"/>
    <w:rsid w:val="006E0B76"/>
    <w:rsid w:val="006E1B7C"/>
    <w:rsid w:val="006E1CF0"/>
    <w:rsid w:val="006E2CBE"/>
    <w:rsid w:val="006E2EB3"/>
    <w:rsid w:val="006E3EAB"/>
    <w:rsid w:val="006E521B"/>
    <w:rsid w:val="006E6A0F"/>
    <w:rsid w:val="006E798E"/>
    <w:rsid w:val="006F2671"/>
    <w:rsid w:val="006F30B4"/>
    <w:rsid w:val="006F36D4"/>
    <w:rsid w:val="006F3F8C"/>
    <w:rsid w:val="006F46C3"/>
    <w:rsid w:val="006F4BD8"/>
    <w:rsid w:val="006F6E12"/>
    <w:rsid w:val="006F6FE1"/>
    <w:rsid w:val="007009AA"/>
    <w:rsid w:val="00701A84"/>
    <w:rsid w:val="007026E3"/>
    <w:rsid w:val="007036C3"/>
    <w:rsid w:val="00704725"/>
    <w:rsid w:val="00705859"/>
    <w:rsid w:val="00706041"/>
    <w:rsid w:val="0070604F"/>
    <w:rsid w:val="007070C0"/>
    <w:rsid w:val="007105B3"/>
    <w:rsid w:val="00710CE2"/>
    <w:rsid w:val="00711AF7"/>
    <w:rsid w:val="007123AF"/>
    <w:rsid w:val="00712A96"/>
    <w:rsid w:val="007145D7"/>
    <w:rsid w:val="00716734"/>
    <w:rsid w:val="007179E8"/>
    <w:rsid w:val="00720848"/>
    <w:rsid w:val="00720B1D"/>
    <w:rsid w:val="00721056"/>
    <w:rsid w:val="00723856"/>
    <w:rsid w:val="00723914"/>
    <w:rsid w:val="00723918"/>
    <w:rsid w:val="00723B0E"/>
    <w:rsid w:val="00724628"/>
    <w:rsid w:val="00725C65"/>
    <w:rsid w:val="00725C94"/>
    <w:rsid w:val="00726A6C"/>
    <w:rsid w:val="00726B23"/>
    <w:rsid w:val="00726DB7"/>
    <w:rsid w:val="00727E29"/>
    <w:rsid w:val="00731195"/>
    <w:rsid w:val="0073129B"/>
    <w:rsid w:val="00733083"/>
    <w:rsid w:val="007342E5"/>
    <w:rsid w:val="0073556A"/>
    <w:rsid w:val="0074266D"/>
    <w:rsid w:val="0074283E"/>
    <w:rsid w:val="00742B21"/>
    <w:rsid w:val="0074430A"/>
    <w:rsid w:val="00744517"/>
    <w:rsid w:val="00746647"/>
    <w:rsid w:val="00746A3F"/>
    <w:rsid w:val="00746E61"/>
    <w:rsid w:val="007474D1"/>
    <w:rsid w:val="0074765E"/>
    <w:rsid w:val="00747AE3"/>
    <w:rsid w:val="00750137"/>
    <w:rsid w:val="0075115C"/>
    <w:rsid w:val="007525B7"/>
    <w:rsid w:val="00752BB4"/>
    <w:rsid w:val="00755157"/>
    <w:rsid w:val="00755674"/>
    <w:rsid w:val="0075605F"/>
    <w:rsid w:val="00757355"/>
    <w:rsid w:val="00764689"/>
    <w:rsid w:val="007657DD"/>
    <w:rsid w:val="00766147"/>
    <w:rsid w:val="00766DD4"/>
    <w:rsid w:val="00766DF7"/>
    <w:rsid w:val="00767246"/>
    <w:rsid w:val="00770518"/>
    <w:rsid w:val="00771F84"/>
    <w:rsid w:val="007724D2"/>
    <w:rsid w:val="00772E30"/>
    <w:rsid w:val="007753BC"/>
    <w:rsid w:val="007769FC"/>
    <w:rsid w:val="00780470"/>
    <w:rsid w:val="00784ABB"/>
    <w:rsid w:val="00784C42"/>
    <w:rsid w:val="00786AF0"/>
    <w:rsid w:val="00787CB8"/>
    <w:rsid w:val="00787FE3"/>
    <w:rsid w:val="00790A94"/>
    <w:rsid w:val="00790EA4"/>
    <w:rsid w:val="007911B2"/>
    <w:rsid w:val="007918B6"/>
    <w:rsid w:val="00792E21"/>
    <w:rsid w:val="007951BA"/>
    <w:rsid w:val="007972F1"/>
    <w:rsid w:val="00797ACE"/>
    <w:rsid w:val="00797BC1"/>
    <w:rsid w:val="007A08F7"/>
    <w:rsid w:val="007A0FA8"/>
    <w:rsid w:val="007A1E5B"/>
    <w:rsid w:val="007A36C9"/>
    <w:rsid w:val="007A4457"/>
    <w:rsid w:val="007A46FC"/>
    <w:rsid w:val="007A5188"/>
    <w:rsid w:val="007A613C"/>
    <w:rsid w:val="007A6507"/>
    <w:rsid w:val="007A6512"/>
    <w:rsid w:val="007A67FD"/>
    <w:rsid w:val="007A683A"/>
    <w:rsid w:val="007B3C70"/>
    <w:rsid w:val="007B3D71"/>
    <w:rsid w:val="007B5213"/>
    <w:rsid w:val="007B7DDF"/>
    <w:rsid w:val="007C17E8"/>
    <w:rsid w:val="007C292F"/>
    <w:rsid w:val="007C2C70"/>
    <w:rsid w:val="007C3055"/>
    <w:rsid w:val="007C3DC6"/>
    <w:rsid w:val="007C4090"/>
    <w:rsid w:val="007C5377"/>
    <w:rsid w:val="007C5AF3"/>
    <w:rsid w:val="007C5B4D"/>
    <w:rsid w:val="007D05CA"/>
    <w:rsid w:val="007D07A2"/>
    <w:rsid w:val="007D11DC"/>
    <w:rsid w:val="007D16DC"/>
    <w:rsid w:val="007D1746"/>
    <w:rsid w:val="007D4C26"/>
    <w:rsid w:val="007D5CBB"/>
    <w:rsid w:val="007D6572"/>
    <w:rsid w:val="007E0563"/>
    <w:rsid w:val="007E16D0"/>
    <w:rsid w:val="007E4FE6"/>
    <w:rsid w:val="007E5E8F"/>
    <w:rsid w:val="007E6590"/>
    <w:rsid w:val="007E78FD"/>
    <w:rsid w:val="007F0715"/>
    <w:rsid w:val="007F33A5"/>
    <w:rsid w:val="007F4326"/>
    <w:rsid w:val="007F5012"/>
    <w:rsid w:val="007F6346"/>
    <w:rsid w:val="007F6A96"/>
    <w:rsid w:val="008016DA"/>
    <w:rsid w:val="00803D1B"/>
    <w:rsid w:val="0080418D"/>
    <w:rsid w:val="00804854"/>
    <w:rsid w:val="00805D01"/>
    <w:rsid w:val="00812980"/>
    <w:rsid w:val="008147E0"/>
    <w:rsid w:val="00814ACE"/>
    <w:rsid w:val="00816182"/>
    <w:rsid w:val="00822B05"/>
    <w:rsid w:val="00822C3A"/>
    <w:rsid w:val="00823971"/>
    <w:rsid w:val="00824343"/>
    <w:rsid w:val="00826534"/>
    <w:rsid w:val="00826C28"/>
    <w:rsid w:val="00830D14"/>
    <w:rsid w:val="00831D53"/>
    <w:rsid w:val="00831F2C"/>
    <w:rsid w:val="008331F8"/>
    <w:rsid w:val="00833E5B"/>
    <w:rsid w:val="00837F24"/>
    <w:rsid w:val="008409AB"/>
    <w:rsid w:val="00842D0A"/>
    <w:rsid w:val="0084602F"/>
    <w:rsid w:val="008461D3"/>
    <w:rsid w:val="00846565"/>
    <w:rsid w:val="0084664C"/>
    <w:rsid w:val="008475BA"/>
    <w:rsid w:val="00847755"/>
    <w:rsid w:val="008508EA"/>
    <w:rsid w:val="00851FB3"/>
    <w:rsid w:val="0085267C"/>
    <w:rsid w:val="00853959"/>
    <w:rsid w:val="00855A04"/>
    <w:rsid w:val="00855DA8"/>
    <w:rsid w:val="008567AE"/>
    <w:rsid w:val="008569C0"/>
    <w:rsid w:val="008602E0"/>
    <w:rsid w:val="008608BE"/>
    <w:rsid w:val="008609D0"/>
    <w:rsid w:val="008610EC"/>
    <w:rsid w:val="00861A35"/>
    <w:rsid w:val="008625DD"/>
    <w:rsid w:val="008631FE"/>
    <w:rsid w:val="0086397B"/>
    <w:rsid w:val="00863B71"/>
    <w:rsid w:val="00865A18"/>
    <w:rsid w:val="00873B5D"/>
    <w:rsid w:val="00873D24"/>
    <w:rsid w:val="008767C4"/>
    <w:rsid w:val="00877B50"/>
    <w:rsid w:val="00880C4E"/>
    <w:rsid w:val="00881FBD"/>
    <w:rsid w:val="00884568"/>
    <w:rsid w:val="00886D39"/>
    <w:rsid w:val="0089273E"/>
    <w:rsid w:val="00892E00"/>
    <w:rsid w:val="008936E5"/>
    <w:rsid w:val="00893EB2"/>
    <w:rsid w:val="008946EA"/>
    <w:rsid w:val="0089650D"/>
    <w:rsid w:val="0089687B"/>
    <w:rsid w:val="00897EB9"/>
    <w:rsid w:val="00897EF3"/>
    <w:rsid w:val="008A0266"/>
    <w:rsid w:val="008A0C4A"/>
    <w:rsid w:val="008A3781"/>
    <w:rsid w:val="008A4F8A"/>
    <w:rsid w:val="008A5A87"/>
    <w:rsid w:val="008A5BF1"/>
    <w:rsid w:val="008A6265"/>
    <w:rsid w:val="008B1A2A"/>
    <w:rsid w:val="008B24C0"/>
    <w:rsid w:val="008B2979"/>
    <w:rsid w:val="008B4958"/>
    <w:rsid w:val="008B4978"/>
    <w:rsid w:val="008B4D16"/>
    <w:rsid w:val="008B5E62"/>
    <w:rsid w:val="008C3E70"/>
    <w:rsid w:val="008C3EA4"/>
    <w:rsid w:val="008C4D93"/>
    <w:rsid w:val="008C5DE5"/>
    <w:rsid w:val="008D0EA5"/>
    <w:rsid w:val="008D1879"/>
    <w:rsid w:val="008D2B4F"/>
    <w:rsid w:val="008D34FD"/>
    <w:rsid w:val="008D43B6"/>
    <w:rsid w:val="008E0C18"/>
    <w:rsid w:val="008E1123"/>
    <w:rsid w:val="008E1387"/>
    <w:rsid w:val="008E6766"/>
    <w:rsid w:val="008E7EA7"/>
    <w:rsid w:val="008F2862"/>
    <w:rsid w:val="008F2C56"/>
    <w:rsid w:val="008F2DB6"/>
    <w:rsid w:val="008F54DE"/>
    <w:rsid w:val="008F6AF6"/>
    <w:rsid w:val="008F6BFE"/>
    <w:rsid w:val="008F78BF"/>
    <w:rsid w:val="00900FFC"/>
    <w:rsid w:val="0090152F"/>
    <w:rsid w:val="009038DF"/>
    <w:rsid w:val="00905AE6"/>
    <w:rsid w:val="009102B1"/>
    <w:rsid w:val="009102B9"/>
    <w:rsid w:val="009112D5"/>
    <w:rsid w:val="009117AF"/>
    <w:rsid w:val="0091205E"/>
    <w:rsid w:val="00912AFC"/>
    <w:rsid w:val="00912BA3"/>
    <w:rsid w:val="00912F1A"/>
    <w:rsid w:val="00913A8F"/>
    <w:rsid w:val="00913DA9"/>
    <w:rsid w:val="00915BD0"/>
    <w:rsid w:val="0091635B"/>
    <w:rsid w:val="009165B6"/>
    <w:rsid w:val="00916AF0"/>
    <w:rsid w:val="0091764F"/>
    <w:rsid w:val="00917B31"/>
    <w:rsid w:val="00921BF0"/>
    <w:rsid w:val="00921EF2"/>
    <w:rsid w:val="00922D1D"/>
    <w:rsid w:val="00923A54"/>
    <w:rsid w:val="009256BF"/>
    <w:rsid w:val="0092577B"/>
    <w:rsid w:val="00926831"/>
    <w:rsid w:val="00927B4A"/>
    <w:rsid w:val="00931126"/>
    <w:rsid w:val="00932762"/>
    <w:rsid w:val="009336D5"/>
    <w:rsid w:val="00934556"/>
    <w:rsid w:val="0093465B"/>
    <w:rsid w:val="009358E2"/>
    <w:rsid w:val="00936965"/>
    <w:rsid w:val="00937163"/>
    <w:rsid w:val="00937FC8"/>
    <w:rsid w:val="009403D4"/>
    <w:rsid w:val="00940FBB"/>
    <w:rsid w:val="00941301"/>
    <w:rsid w:val="00942FF5"/>
    <w:rsid w:val="00943150"/>
    <w:rsid w:val="00943B39"/>
    <w:rsid w:val="00943F58"/>
    <w:rsid w:val="0094443B"/>
    <w:rsid w:val="0094469F"/>
    <w:rsid w:val="009474ED"/>
    <w:rsid w:val="0094784E"/>
    <w:rsid w:val="009478B6"/>
    <w:rsid w:val="0094793B"/>
    <w:rsid w:val="009522E0"/>
    <w:rsid w:val="009524AF"/>
    <w:rsid w:val="00953D09"/>
    <w:rsid w:val="00955DC7"/>
    <w:rsid w:val="00955FB4"/>
    <w:rsid w:val="00956336"/>
    <w:rsid w:val="00956DBA"/>
    <w:rsid w:val="00956DCC"/>
    <w:rsid w:val="009573ED"/>
    <w:rsid w:val="00960133"/>
    <w:rsid w:val="0096197F"/>
    <w:rsid w:val="00962F4C"/>
    <w:rsid w:val="00964882"/>
    <w:rsid w:val="00964BFB"/>
    <w:rsid w:val="009678EF"/>
    <w:rsid w:val="00972547"/>
    <w:rsid w:val="00972737"/>
    <w:rsid w:val="00972764"/>
    <w:rsid w:val="009727B4"/>
    <w:rsid w:val="00972D10"/>
    <w:rsid w:val="009746C4"/>
    <w:rsid w:val="009763A1"/>
    <w:rsid w:val="009763A6"/>
    <w:rsid w:val="00976894"/>
    <w:rsid w:val="0098095B"/>
    <w:rsid w:val="00980ACF"/>
    <w:rsid w:val="00981293"/>
    <w:rsid w:val="009816BB"/>
    <w:rsid w:val="00982355"/>
    <w:rsid w:val="0098278D"/>
    <w:rsid w:val="00984168"/>
    <w:rsid w:val="009841D2"/>
    <w:rsid w:val="0098473F"/>
    <w:rsid w:val="00984DC3"/>
    <w:rsid w:val="00984E29"/>
    <w:rsid w:val="0098548A"/>
    <w:rsid w:val="009857A5"/>
    <w:rsid w:val="00987946"/>
    <w:rsid w:val="00990EF9"/>
    <w:rsid w:val="009914DB"/>
    <w:rsid w:val="00993DD3"/>
    <w:rsid w:val="00994BFA"/>
    <w:rsid w:val="0099765D"/>
    <w:rsid w:val="009A0562"/>
    <w:rsid w:val="009A1C6A"/>
    <w:rsid w:val="009A21F7"/>
    <w:rsid w:val="009A3CAE"/>
    <w:rsid w:val="009A5B3A"/>
    <w:rsid w:val="009A5B85"/>
    <w:rsid w:val="009A6828"/>
    <w:rsid w:val="009A682E"/>
    <w:rsid w:val="009A74A7"/>
    <w:rsid w:val="009A7C3F"/>
    <w:rsid w:val="009B115E"/>
    <w:rsid w:val="009B1508"/>
    <w:rsid w:val="009B15DC"/>
    <w:rsid w:val="009B46E3"/>
    <w:rsid w:val="009B54E6"/>
    <w:rsid w:val="009B5E19"/>
    <w:rsid w:val="009C04EA"/>
    <w:rsid w:val="009C0579"/>
    <w:rsid w:val="009C0FAB"/>
    <w:rsid w:val="009C13F6"/>
    <w:rsid w:val="009C1AAD"/>
    <w:rsid w:val="009C390B"/>
    <w:rsid w:val="009C42F0"/>
    <w:rsid w:val="009C45C5"/>
    <w:rsid w:val="009C5D2B"/>
    <w:rsid w:val="009C7594"/>
    <w:rsid w:val="009D0A2F"/>
    <w:rsid w:val="009D0A6C"/>
    <w:rsid w:val="009D0E76"/>
    <w:rsid w:val="009D38D1"/>
    <w:rsid w:val="009D51AE"/>
    <w:rsid w:val="009E280D"/>
    <w:rsid w:val="009E31DA"/>
    <w:rsid w:val="009E5448"/>
    <w:rsid w:val="009E5E5E"/>
    <w:rsid w:val="009E735D"/>
    <w:rsid w:val="009E77CE"/>
    <w:rsid w:val="009F079C"/>
    <w:rsid w:val="009F1125"/>
    <w:rsid w:val="009F1AC6"/>
    <w:rsid w:val="009F211C"/>
    <w:rsid w:val="009F292D"/>
    <w:rsid w:val="009F2AE3"/>
    <w:rsid w:val="009F3640"/>
    <w:rsid w:val="009F3D52"/>
    <w:rsid w:val="009F46DE"/>
    <w:rsid w:val="009F4C3D"/>
    <w:rsid w:val="009F56C6"/>
    <w:rsid w:val="009F5A7A"/>
    <w:rsid w:val="009F7053"/>
    <w:rsid w:val="00A00091"/>
    <w:rsid w:val="00A00218"/>
    <w:rsid w:val="00A01041"/>
    <w:rsid w:val="00A013E6"/>
    <w:rsid w:val="00A03139"/>
    <w:rsid w:val="00A03DF2"/>
    <w:rsid w:val="00A05978"/>
    <w:rsid w:val="00A059CF"/>
    <w:rsid w:val="00A05C35"/>
    <w:rsid w:val="00A06D64"/>
    <w:rsid w:val="00A0759E"/>
    <w:rsid w:val="00A1079F"/>
    <w:rsid w:val="00A138C1"/>
    <w:rsid w:val="00A14161"/>
    <w:rsid w:val="00A14AE6"/>
    <w:rsid w:val="00A15B98"/>
    <w:rsid w:val="00A161A9"/>
    <w:rsid w:val="00A20B4A"/>
    <w:rsid w:val="00A20C87"/>
    <w:rsid w:val="00A214E6"/>
    <w:rsid w:val="00A21F26"/>
    <w:rsid w:val="00A236AA"/>
    <w:rsid w:val="00A239C4"/>
    <w:rsid w:val="00A2469B"/>
    <w:rsid w:val="00A24AE5"/>
    <w:rsid w:val="00A26089"/>
    <w:rsid w:val="00A27544"/>
    <w:rsid w:val="00A27AD2"/>
    <w:rsid w:val="00A30172"/>
    <w:rsid w:val="00A304E6"/>
    <w:rsid w:val="00A31FBE"/>
    <w:rsid w:val="00A3231B"/>
    <w:rsid w:val="00A34898"/>
    <w:rsid w:val="00A36DE7"/>
    <w:rsid w:val="00A40359"/>
    <w:rsid w:val="00A40975"/>
    <w:rsid w:val="00A40C88"/>
    <w:rsid w:val="00A41804"/>
    <w:rsid w:val="00A443E0"/>
    <w:rsid w:val="00A445F5"/>
    <w:rsid w:val="00A455F6"/>
    <w:rsid w:val="00A51D94"/>
    <w:rsid w:val="00A549E2"/>
    <w:rsid w:val="00A577CC"/>
    <w:rsid w:val="00A57A63"/>
    <w:rsid w:val="00A60641"/>
    <w:rsid w:val="00A61A19"/>
    <w:rsid w:val="00A62D74"/>
    <w:rsid w:val="00A64CFB"/>
    <w:rsid w:val="00A652B7"/>
    <w:rsid w:val="00A660F9"/>
    <w:rsid w:val="00A67AA1"/>
    <w:rsid w:val="00A7108D"/>
    <w:rsid w:val="00A71467"/>
    <w:rsid w:val="00A71821"/>
    <w:rsid w:val="00A724FF"/>
    <w:rsid w:val="00A74B5E"/>
    <w:rsid w:val="00A75140"/>
    <w:rsid w:val="00A75A0E"/>
    <w:rsid w:val="00A75AAB"/>
    <w:rsid w:val="00A77C2A"/>
    <w:rsid w:val="00A8150A"/>
    <w:rsid w:val="00A81EEC"/>
    <w:rsid w:val="00A831DD"/>
    <w:rsid w:val="00A8366F"/>
    <w:rsid w:val="00A83DE4"/>
    <w:rsid w:val="00A83FBD"/>
    <w:rsid w:val="00A844FE"/>
    <w:rsid w:val="00A8455C"/>
    <w:rsid w:val="00A84C2F"/>
    <w:rsid w:val="00A86BC1"/>
    <w:rsid w:val="00A909F4"/>
    <w:rsid w:val="00A90FFC"/>
    <w:rsid w:val="00A91B9B"/>
    <w:rsid w:val="00A93CEE"/>
    <w:rsid w:val="00A95DBF"/>
    <w:rsid w:val="00A966C5"/>
    <w:rsid w:val="00A97265"/>
    <w:rsid w:val="00A97E29"/>
    <w:rsid w:val="00A97ECB"/>
    <w:rsid w:val="00AA77E6"/>
    <w:rsid w:val="00AB134A"/>
    <w:rsid w:val="00AB2223"/>
    <w:rsid w:val="00AB22FD"/>
    <w:rsid w:val="00AB249C"/>
    <w:rsid w:val="00AB2E17"/>
    <w:rsid w:val="00AB3141"/>
    <w:rsid w:val="00AB5EF7"/>
    <w:rsid w:val="00AB609D"/>
    <w:rsid w:val="00AB66B8"/>
    <w:rsid w:val="00AB6EDE"/>
    <w:rsid w:val="00AB74F6"/>
    <w:rsid w:val="00AC12CA"/>
    <w:rsid w:val="00AC1639"/>
    <w:rsid w:val="00AC2268"/>
    <w:rsid w:val="00AC3193"/>
    <w:rsid w:val="00AC3506"/>
    <w:rsid w:val="00AC3E69"/>
    <w:rsid w:val="00AC59DA"/>
    <w:rsid w:val="00AC6253"/>
    <w:rsid w:val="00AD0E44"/>
    <w:rsid w:val="00AD155A"/>
    <w:rsid w:val="00AD3EE6"/>
    <w:rsid w:val="00AD598A"/>
    <w:rsid w:val="00AD6D3C"/>
    <w:rsid w:val="00AD6F75"/>
    <w:rsid w:val="00AD7327"/>
    <w:rsid w:val="00AD75D8"/>
    <w:rsid w:val="00AD7CAC"/>
    <w:rsid w:val="00AD7DE4"/>
    <w:rsid w:val="00AE0352"/>
    <w:rsid w:val="00AE1BF7"/>
    <w:rsid w:val="00AE3D01"/>
    <w:rsid w:val="00AE4FC4"/>
    <w:rsid w:val="00AE5260"/>
    <w:rsid w:val="00AE5C75"/>
    <w:rsid w:val="00AE5CF7"/>
    <w:rsid w:val="00AE67B6"/>
    <w:rsid w:val="00AF08A4"/>
    <w:rsid w:val="00AF0D29"/>
    <w:rsid w:val="00AF3442"/>
    <w:rsid w:val="00AF3762"/>
    <w:rsid w:val="00AF383E"/>
    <w:rsid w:val="00AF49A0"/>
    <w:rsid w:val="00AF5D13"/>
    <w:rsid w:val="00AF6137"/>
    <w:rsid w:val="00AF67B7"/>
    <w:rsid w:val="00AF7CFA"/>
    <w:rsid w:val="00B0082B"/>
    <w:rsid w:val="00B00F0A"/>
    <w:rsid w:val="00B031A6"/>
    <w:rsid w:val="00B05183"/>
    <w:rsid w:val="00B05EB7"/>
    <w:rsid w:val="00B0641E"/>
    <w:rsid w:val="00B10A9D"/>
    <w:rsid w:val="00B118C3"/>
    <w:rsid w:val="00B11AF8"/>
    <w:rsid w:val="00B14A65"/>
    <w:rsid w:val="00B14CCF"/>
    <w:rsid w:val="00B17226"/>
    <w:rsid w:val="00B1739F"/>
    <w:rsid w:val="00B2037B"/>
    <w:rsid w:val="00B20435"/>
    <w:rsid w:val="00B216AE"/>
    <w:rsid w:val="00B2193F"/>
    <w:rsid w:val="00B22D70"/>
    <w:rsid w:val="00B2398A"/>
    <w:rsid w:val="00B255BB"/>
    <w:rsid w:val="00B27922"/>
    <w:rsid w:val="00B32FD2"/>
    <w:rsid w:val="00B33BC9"/>
    <w:rsid w:val="00B34081"/>
    <w:rsid w:val="00B34169"/>
    <w:rsid w:val="00B34E8F"/>
    <w:rsid w:val="00B36225"/>
    <w:rsid w:val="00B40AC5"/>
    <w:rsid w:val="00B40DB4"/>
    <w:rsid w:val="00B4140B"/>
    <w:rsid w:val="00B42D7A"/>
    <w:rsid w:val="00B43529"/>
    <w:rsid w:val="00B45828"/>
    <w:rsid w:val="00B50992"/>
    <w:rsid w:val="00B51807"/>
    <w:rsid w:val="00B51D11"/>
    <w:rsid w:val="00B52304"/>
    <w:rsid w:val="00B53724"/>
    <w:rsid w:val="00B568D1"/>
    <w:rsid w:val="00B5694B"/>
    <w:rsid w:val="00B56F9E"/>
    <w:rsid w:val="00B6040F"/>
    <w:rsid w:val="00B60D18"/>
    <w:rsid w:val="00B62589"/>
    <w:rsid w:val="00B6264C"/>
    <w:rsid w:val="00B66683"/>
    <w:rsid w:val="00B70AB4"/>
    <w:rsid w:val="00B7191C"/>
    <w:rsid w:val="00B71C61"/>
    <w:rsid w:val="00B71D8C"/>
    <w:rsid w:val="00B756FD"/>
    <w:rsid w:val="00B75BFA"/>
    <w:rsid w:val="00B77B29"/>
    <w:rsid w:val="00B82CF7"/>
    <w:rsid w:val="00B82E6C"/>
    <w:rsid w:val="00B835AC"/>
    <w:rsid w:val="00B83E5B"/>
    <w:rsid w:val="00B840FF"/>
    <w:rsid w:val="00B84643"/>
    <w:rsid w:val="00B84A8B"/>
    <w:rsid w:val="00B850F5"/>
    <w:rsid w:val="00B8792A"/>
    <w:rsid w:val="00B87E24"/>
    <w:rsid w:val="00B91C97"/>
    <w:rsid w:val="00B923D8"/>
    <w:rsid w:val="00B924CB"/>
    <w:rsid w:val="00B93035"/>
    <w:rsid w:val="00B95302"/>
    <w:rsid w:val="00B9654B"/>
    <w:rsid w:val="00B972C8"/>
    <w:rsid w:val="00BA0E0F"/>
    <w:rsid w:val="00BA0E28"/>
    <w:rsid w:val="00BA1742"/>
    <w:rsid w:val="00BA240A"/>
    <w:rsid w:val="00BA4783"/>
    <w:rsid w:val="00BA4A15"/>
    <w:rsid w:val="00BA5B3E"/>
    <w:rsid w:val="00BA6A1E"/>
    <w:rsid w:val="00BA779B"/>
    <w:rsid w:val="00BB14E3"/>
    <w:rsid w:val="00BB405B"/>
    <w:rsid w:val="00BB6955"/>
    <w:rsid w:val="00BB789F"/>
    <w:rsid w:val="00BC2FA5"/>
    <w:rsid w:val="00BC31D7"/>
    <w:rsid w:val="00BC6991"/>
    <w:rsid w:val="00BC7954"/>
    <w:rsid w:val="00BC7BDB"/>
    <w:rsid w:val="00BD0888"/>
    <w:rsid w:val="00BD0E92"/>
    <w:rsid w:val="00BD16CC"/>
    <w:rsid w:val="00BD2382"/>
    <w:rsid w:val="00BD2A71"/>
    <w:rsid w:val="00BD38A7"/>
    <w:rsid w:val="00BD4CB1"/>
    <w:rsid w:val="00BD4D58"/>
    <w:rsid w:val="00BD52F0"/>
    <w:rsid w:val="00BD5685"/>
    <w:rsid w:val="00BD58EC"/>
    <w:rsid w:val="00BD6AE4"/>
    <w:rsid w:val="00BD6C5E"/>
    <w:rsid w:val="00BD7122"/>
    <w:rsid w:val="00BD7C1C"/>
    <w:rsid w:val="00BE0628"/>
    <w:rsid w:val="00BE11E1"/>
    <w:rsid w:val="00BE1F7A"/>
    <w:rsid w:val="00BE3A6B"/>
    <w:rsid w:val="00BE40A3"/>
    <w:rsid w:val="00BE52C6"/>
    <w:rsid w:val="00BE5D62"/>
    <w:rsid w:val="00BE6BA9"/>
    <w:rsid w:val="00BF1EA6"/>
    <w:rsid w:val="00BF1F32"/>
    <w:rsid w:val="00BF2201"/>
    <w:rsid w:val="00BF3313"/>
    <w:rsid w:val="00BF4EBD"/>
    <w:rsid w:val="00BF6509"/>
    <w:rsid w:val="00BF76ED"/>
    <w:rsid w:val="00BF7CA8"/>
    <w:rsid w:val="00C000E6"/>
    <w:rsid w:val="00C004F6"/>
    <w:rsid w:val="00C02961"/>
    <w:rsid w:val="00C04D6B"/>
    <w:rsid w:val="00C0626E"/>
    <w:rsid w:val="00C0732C"/>
    <w:rsid w:val="00C10A53"/>
    <w:rsid w:val="00C1103E"/>
    <w:rsid w:val="00C11B1A"/>
    <w:rsid w:val="00C12C21"/>
    <w:rsid w:val="00C136A3"/>
    <w:rsid w:val="00C14627"/>
    <w:rsid w:val="00C14F7C"/>
    <w:rsid w:val="00C15196"/>
    <w:rsid w:val="00C1558A"/>
    <w:rsid w:val="00C16E65"/>
    <w:rsid w:val="00C16EC8"/>
    <w:rsid w:val="00C176D2"/>
    <w:rsid w:val="00C20690"/>
    <w:rsid w:val="00C2451E"/>
    <w:rsid w:val="00C25580"/>
    <w:rsid w:val="00C270ED"/>
    <w:rsid w:val="00C27890"/>
    <w:rsid w:val="00C33549"/>
    <w:rsid w:val="00C338AF"/>
    <w:rsid w:val="00C33ADF"/>
    <w:rsid w:val="00C349F2"/>
    <w:rsid w:val="00C358F5"/>
    <w:rsid w:val="00C37EB8"/>
    <w:rsid w:val="00C409F2"/>
    <w:rsid w:val="00C40EFF"/>
    <w:rsid w:val="00C4224C"/>
    <w:rsid w:val="00C426BD"/>
    <w:rsid w:val="00C42AF3"/>
    <w:rsid w:val="00C4512C"/>
    <w:rsid w:val="00C473A5"/>
    <w:rsid w:val="00C50F27"/>
    <w:rsid w:val="00C51630"/>
    <w:rsid w:val="00C51868"/>
    <w:rsid w:val="00C51943"/>
    <w:rsid w:val="00C51F0B"/>
    <w:rsid w:val="00C53510"/>
    <w:rsid w:val="00C53BF7"/>
    <w:rsid w:val="00C53DCB"/>
    <w:rsid w:val="00C55FDC"/>
    <w:rsid w:val="00C561A1"/>
    <w:rsid w:val="00C57185"/>
    <w:rsid w:val="00C60374"/>
    <w:rsid w:val="00C6197D"/>
    <w:rsid w:val="00C627F5"/>
    <w:rsid w:val="00C641CF"/>
    <w:rsid w:val="00C6453D"/>
    <w:rsid w:val="00C64A1B"/>
    <w:rsid w:val="00C65F10"/>
    <w:rsid w:val="00C65F60"/>
    <w:rsid w:val="00C66CD5"/>
    <w:rsid w:val="00C679AC"/>
    <w:rsid w:val="00C734CB"/>
    <w:rsid w:val="00C73F35"/>
    <w:rsid w:val="00C74CE6"/>
    <w:rsid w:val="00C750F1"/>
    <w:rsid w:val="00C75CB4"/>
    <w:rsid w:val="00C75D0D"/>
    <w:rsid w:val="00C763A1"/>
    <w:rsid w:val="00C77D07"/>
    <w:rsid w:val="00C8014F"/>
    <w:rsid w:val="00C807B9"/>
    <w:rsid w:val="00C81657"/>
    <w:rsid w:val="00C81AE8"/>
    <w:rsid w:val="00C83F54"/>
    <w:rsid w:val="00C8417F"/>
    <w:rsid w:val="00C8459E"/>
    <w:rsid w:val="00C857C9"/>
    <w:rsid w:val="00C86E6A"/>
    <w:rsid w:val="00C87499"/>
    <w:rsid w:val="00C87D83"/>
    <w:rsid w:val="00C909BD"/>
    <w:rsid w:val="00C913DA"/>
    <w:rsid w:val="00C9312C"/>
    <w:rsid w:val="00C95C1F"/>
    <w:rsid w:val="00C979CA"/>
    <w:rsid w:val="00C97B27"/>
    <w:rsid w:val="00CA039A"/>
    <w:rsid w:val="00CA0A07"/>
    <w:rsid w:val="00CA12BA"/>
    <w:rsid w:val="00CA1ACD"/>
    <w:rsid w:val="00CA3388"/>
    <w:rsid w:val="00CA34A1"/>
    <w:rsid w:val="00CA375A"/>
    <w:rsid w:val="00CA54D2"/>
    <w:rsid w:val="00CA5B4A"/>
    <w:rsid w:val="00CA6029"/>
    <w:rsid w:val="00CA62FB"/>
    <w:rsid w:val="00CB2000"/>
    <w:rsid w:val="00CB48A6"/>
    <w:rsid w:val="00CB5226"/>
    <w:rsid w:val="00CB58C9"/>
    <w:rsid w:val="00CB621C"/>
    <w:rsid w:val="00CB643C"/>
    <w:rsid w:val="00CB684E"/>
    <w:rsid w:val="00CB7254"/>
    <w:rsid w:val="00CB7C52"/>
    <w:rsid w:val="00CC02F2"/>
    <w:rsid w:val="00CC11D7"/>
    <w:rsid w:val="00CC188C"/>
    <w:rsid w:val="00CC4D57"/>
    <w:rsid w:val="00CC604B"/>
    <w:rsid w:val="00CC665D"/>
    <w:rsid w:val="00CC69FA"/>
    <w:rsid w:val="00CC6B34"/>
    <w:rsid w:val="00CC7C07"/>
    <w:rsid w:val="00CD0533"/>
    <w:rsid w:val="00CD09B4"/>
    <w:rsid w:val="00CD0C06"/>
    <w:rsid w:val="00CD0E2D"/>
    <w:rsid w:val="00CD30E3"/>
    <w:rsid w:val="00CD4B28"/>
    <w:rsid w:val="00CD680A"/>
    <w:rsid w:val="00CD6EE8"/>
    <w:rsid w:val="00CD737F"/>
    <w:rsid w:val="00CD7773"/>
    <w:rsid w:val="00CE26C9"/>
    <w:rsid w:val="00CE2CBF"/>
    <w:rsid w:val="00CE2DA6"/>
    <w:rsid w:val="00CE388F"/>
    <w:rsid w:val="00CE3D03"/>
    <w:rsid w:val="00CE691B"/>
    <w:rsid w:val="00CE78B9"/>
    <w:rsid w:val="00CF0FFC"/>
    <w:rsid w:val="00CF1A27"/>
    <w:rsid w:val="00CF3D4A"/>
    <w:rsid w:val="00CF48A1"/>
    <w:rsid w:val="00CF5CD9"/>
    <w:rsid w:val="00CF5DD7"/>
    <w:rsid w:val="00CF67F1"/>
    <w:rsid w:val="00CF73F2"/>
    <w:rsid w:val="00D01E53"/>
    <w:rsid w:val="00D01E73"/>
    <w:rsid w:val="00D02EC1"/>
    <w:rsid w:val="00D0314D"/>
    <w:rsid w:val="00D04387"/>
    <w:rsid w:val="00D05D5C"/>
    <w:rsid w:val="00D05F0E"/>
    <w:rsid w:val="00D100DB"/>
    <w:rsid w:val="00D1028B"/>
    <w:rsid w:val="00D138C5"/>
    <w:rsid w:val="00D13BA5"/>
    <w:rsid w:val="00D13DA8"/>
    <w:rsid w:val="00D14C32"/>
    <w:rsid w:val="00D163DB"/>
    <w:rsid w:val="00D17F26"/>
    <w:rsid w:val="00D2120A"/>
    <w:rsid w:val="00D21571"/>
    <w:rsid w:val="00D2225A"/>
    <w:rsid w:val="00D2665C"/>
    <w:rsid w:val="00D26D26"/>
    <w:rsid w:val="00D31A22"/>
    <w:rsid w:val="00D32CD6"/>
    <w:rsid w:val="00D355AF"/>
    <w:rsid w:val="00D361DD"/>
    <w:rsid w:val="00D36DB6"/>
    <w:rsid w:val="00D412D1"/>
    <w:rsid w:val="00D4185E"/>
    <w:rsid w:val="00D424F4"/>
    <w:rsid w:val="00D430A2"/>
    <w:rsid w:val="00D437AB"/>
    <w:rsid w:val="00D50BC2"/>
    <w:rsid w:val="00D516D1"/>
    <w:rsid w:val="00D5261B"/>
    <w:rsid w:val="00D529FE"/>
    <w:rsid w:val="00D53670"/>
    <w:rsid w:val="00D57E63"/>
    <w:rsid w:val="00D57F85"/>
    <w:rsid w:val="00D61146"/>
    <w:rsid w:val="00D61E00"/>
    <w:rsid w:val="00D62CFE"/>
    <w:rsid w:val="00D63B31"/>
    <w:rsid w:val="00D66F5E"/>
    <w:rsid w:val="00D70B9C"/>
    <w:rsid w:val="00D71664"/>
    <w:rsid w:val="00D71AF2"/>
    <w:rsid w:val="00D73671"/>
    <w:rsid w:val="00D742AE"/>
    <w:rsid w:val="00D7436E"/>
    <w:rsid w:val="00D74914"/>
    <w:rsid w:val="00D75F01"/>
    <w:rsid w:val="00D763A3"/>
    <w:rsid w:val="00D7651E"/>
    <w:rsid w:val="00D765FC"/>
    <w:rsid w:val="00D77DDB"/>
    <w:rsid w:val="00D80767"/>
    <w:rsid w:val="00D80CDC"/>
    <w:rsid w:val="00D80CFA"/>
    <w:rsid w:val="00D822BE"/>
    <w:rsid w:val="00D8264B"/>
    <w:rsid w:val="00D82AA0"/>
    <w:rsid w:val="00D879E6"/>
    <w:rsid w:val="00D87EE8"/>
    <w:rsid w:val="00D9028D"/>
    <w:rsid w:val="00D90E2B"/>
    <w:rsid w:val="00D91F21"/>
    <w:rsid w:val="00D935CD"/>
    <w:rsid w:val="00D94273"/>
    <w:rsid w:val="00D944A0"/>
    <w:rsid w:val="00D946E9"/>
    <w:rsid w:val="00D9480A"/>
    <w:rsid w:val="00D969B9"/>
    <w:rsid w:val="00D97B3B"/>
    <w:rsid w:val="00DA0D2E"/>
    <w:rsid w:val="00DA1D6D"/>
    <w:rsid w:val="00DA47F3"/>
    <w:rsid w:val="00DA4D8B"/>
    <w:rsid w:val="00DA5E05"/>
    <w:rsid w:val="00DA7EB6"/>
    <w:rsid w:val="00DB2502"/>
    <w:rsid w:val="00DB2FD5"/>
    <w:rsid w:val="00DB45CC"/>
    <w:rsid w:val="00DB5617"/>
    <w:rsid w:val="00DB5B44"/>
    <w:rsid w:val="00DB7E05"/>
    <w:rsid w:val="00DB7E41"/>
    <w:rsid w:val="00DC1BF6"/>
    <w:rsid w:val="00DC3A4D"/>
    <w:rsid w:val="00DC4FA6"/>
    <w:rsid w:val="00DC500F"/>
    <w:rsid w:val="00DC5CD3"/>
    <w:rsid w:val="00DC76AE"/>
    <w:rsid w:val="00DD0164"/>
    <w:rsid w:val="00DD0D99"/>
    <w:rsid w:val="00DD1043"/>
    <w:rsid w:val="00DD230C"/>
    <w:rsid w:val="00DD2358"/>
    <w:rsid w:val="00DD24ED"/>
    <w:rsid w:val="00DD66D8"/>
    <w:rsid w:val="00DE0C34"/>
    <w:rsid w:val="00DE15F3"/>
    <w:rsid w:val="00DE2824"/>
    <w:rsid w:val="00DE2DF3"/>
    <w:rsid w:val="00DE341D"/>
    <w:rsid w:val="00DE3B31"/>
    <w:rsid w:val="00DE3E3C"/>
    <w:rsid w:val="00DE451D"/>
    <w:rsid w:val="00DE55B4"/>
    <w:rsid w:val="00DE5785"/>
    <w:rsid w:val="00DE7014"/>
    <w:rsid w:val="00DE740F"/>
    <w:rsid w:val="00DE74C8"/>
    <w:rsid w:val="00DF0C07"/>
    <w:rsid w:val="00DF76EB"/>
    <w:rsid w:val="00E00B48"/>
    <w:rsid w:val="00E02DBA"/>
    <w:rsid w:val="00E03081"/>
    <w:rsid w:val="00E030EE"/>
    <w:rsid w:val="00E03560"/>
    <w:rsid w:val="00E04DEB"/>
    <w:rsid w:val="00E0723B"/>
    <w:rsid w:val="00E073DC"/>
    <w:rsid w:val="00E108C3"/>
    <w:rsid w:val="00E11F03"/>
    <w:rsid w:val="00E120B9"/>
    <w:rsid w:val="00E12705"/>
    <w:rsid w:val="00E12A19"/>
    <w:rsid w:val="00E13758"/>
    <w:rsid w:val="00E148F3"/>
    <w:rsid w:val="00E151DA"/>
    <w:rsid w:val="00E15382"/>
    <w:rsid w:val="00E15651"/>
    <w:rsid w:val="00E1677E"/>
    <w:rsid w:val="00E16EB2"/>
    <w:rsid w:val="00E20944"/>
    <w:rsid w:val="00E20F9C"/>
    <w:rsid w:val="00E21090"/>
    <w:rsid w:val="00E21BC2"/>
    <w:rsid w:val="00E21CBF"/>
    <w:rsid w:val="00E224DE"/>
    <w:rsid w:val="00E238A2"/>
    <w:rsid w:val="00E2415F"/>
    <w:rsid w:val="00E24C56"/>
    <w:rsid w:val="00E2730E"/>
    <w:rsid w:val="00E27DF5"/>
    <w:rsid w:val="00E3243B"/>
    <w:rsid w:val="00E325A3"/>
    <w:rsid w:val="00E335D8"/>
    <w:rsid w:val="00E33707"/>
    <w:rsid w:val="00E34005"/>
    <w:rsid w:val="00E37B56"/>
    <w:rsid w:val="00E413AB"/>
    <w:rsid w:val="00E43274"/>
    <w:rsid w:val="00E4665E"/>
    <w:rsid w:val="00E53A19"/>
    <w:rsid w:val="00E53F38"/>
    <w:rsid w:val="00E606CC"/>
    <w:rsid w:val="00E6144D"/>
    <w:rsid w:val="00E64E71"/>
    <w:rsid w:val="00E65074"/>
    <w:rsid w:val="00E65F29"/>
    <w:rsid w:val="00E67251"/>
    <w:rsid w:val="00E73E35"/>
    <w:rsid w:val="00E740D3"/>
    <w:rsid w:val="00E7414F"/>
    <w:rsid w:val="00E7492D"/>
    <w:rsid w:val="00E761CD"/>
    <w:rsid w:val="00E807BA"/>
    <w:rsid w:val="00E80F7E"/>
    <w:rsid w:val="00E8164C"/>
    <w:rsid w:val="00E82B5F"/>
    <w:rsid w:val="00E854D1"/>
    <w:rsid w:val="00E857A0"/>
    <w:rsid w:val="00E86C37"/>
    <w:rsid w:val="00E90D94"/>
    <w:rsid w:val="00E91219"/>
    <w:rsid w:val="00E912EE"/>
    <w:rsid w:val="00E91D02"/>
    <w:rsid w:val="00E95194"/>
    <w:rsid w:val="00E96F65"/>
    <w:rsid w:val="00E9735B"/>
    <w:rsid w:val="00E97C94"/>
    <w:rsid w:val="00EA1FDA"/>
    <w:rsid w:val="00EA2D44"/>
    <w:rsid w:val="00EA5324"/>
    <w:rsid w:val="00EA5BBB"/>
    <w:rsid w:val="00EA63B6"/>
    <w:rsid w:val="00EB06DC"/>
    <w:rsid w:val="00EB10A7"/>
    <w:rsid w:val="00EB2328"/>
    <w:rsid w:val="00EB48A2"/>
    <w:rsid w:val="00EB6C3F"/>
    <w:rsid w:val="00EB6DE7"/>
    <w:rsid w:val="00EB71F5"/>
    <w:rsid w:val="00EC1772"/>
    <w:rsid w:val="00EC66BD"/>
    <w:rsid w:val="00EC6890"/>
    <w:rsid w:val="00EC72A4"/>
    <w:rsid w:val="00ED0676"/>
    <w:rsid w:val="00ED1CB0"/>
    <w:rsid w:val="00ED3578"/>
    <w:rsid w:val="00ED44C2"/>
    <w:rsid w:val="00ED694A"/>
    <w:rsid w:val="00ED6E49"/>
    <w:rsid w:val="00ED76D9"/>
    <w:rsid w:val="00EE0A4E"/>
    <w:rsid w:val="00EE3523"/>
    <w:rsid w:val="00EE413F"/>
    <w:rsid w:val="00EE4722"/>
    <w:rsid w:val="00EE47C5"/>
    <w:rsid w:val="00EE52DE"/>
    <w:rsid w:val="00EE59F4"/>
    <w:rsid w:val="00EE61A3"/>
    <w:rsid w:val="00EE7253"/>
    <w:rsid w:val="00EE73E3"/>
    <w:rsid w:val="00EE7F09"/>
    <w:rsid w:val="00EF4BA3"/>
    <w:rsid w:val="00F0041E"/>
    <w:rsid w:val="00F009C2"/>
    <w:rsid w:val="00F016B4"/>
    <w:rsid w:val="00F0201E"/>
    <w:rsid w:val="00F02295"/>
    <w:rsid w:val="00F046BE"/>
    <w:rsid w:val="00F060A4"/>
    <w:rsid w:val="00F06124"/>
    <w:rsid w:val="00F07034"/>
    <w:rsid w:val="00F072FF"/>
    <w:rsid w:val="00F07523"/>
    <w:rsid w:val="00F07A75"/>
    <w:rsid w:val="00F10710"/>
    <w:rsid w:val="00F121AB"/>
    <w:rsid w:val="00F127F3"/>
    <w:rsid w:val="00F1326E"/>
    <w:rsid w:val="00F1336C"/>
    <w:rsid w:val="00F155B4"/>
    <w:rsid w:val="00F15D39"/>
    <w:rsid w:val="00F16B10"/>
    <w:rsid w:val="00F20EF4"/>
    <w:rsid w:val="00F22598"/>
    <w:rsid w:val="00F231AB"/>
    <w:rsid w:val="00F2324E"/>
    <w:rsid w:val="00F24BB1"/>
    <w:rsid w:val="00F24FA8"/>
    <w:rsid w:val="00F25573"/>
    <w:rsid w:val="00F257BF"/>
    <w:rsid w:val="00F27347"/>
    <w:rsid w:val="00F27C51"/>
    <w:rsid w:val="00F304EE"/>
    <w:rsid w:val="00F3148E"/>
    <w:rsid w:val="00F31887"/>
    <w:rsid w:val="00F341AE"/>
    <w:rsid w:val="00F347BC"/>
    <w:rsid w:val="00F35671"/>
    <w:rsid w:val="00F36FAB"/>
    <w:rsid w:val="00F400C4"/>
    <w:rsid w:val="00F405D8"/>
    <w:rsid w:val="00F41E90"/>
    <w:rsid w:val="00F43A2B"/>
    <w:rsid w:val="00F44E23"/>
    <w:rsid w:val="00F456C4"/>
    <w:rsid w:val="00F4710F"/>
    <w:rsid w:val="00F47D96"/>
    <w:rsid w:val="00F52B65"/>
    <w:rsid w:val="00F53A81"/>
    <w:rsid w:val="00F540B9"/>
    <w:rsid w:val="00F544A4"/>
    <w:rsid w:val="00F567CD"/>
    <w:rsid w:val="00F57D8D"/>
    <w:rsid w:val="00F60E88"/>
    <w:rsid w:val="00F615B1"/>
    <w:rsid w:val="00F66FD5"/>
    <w:rsid w:val="00F70DA6"/>
    <w:rsid w:val="00F725CC"/>
    <w:rsid w:val="00F73B29"/>
    <w:rsid w:val="00F757F6"/>
    <w:rsid w:val="00F75978"/>
    <w:rsid w:val="00F760A3"/>
    <w:rsid w:val="00F775BD"/>
    <w:rsid w:val="00F823B7"/>
    <w:rsid w:val="00F826E1"/>
    <w:rsid w:val="00F827EC"/>
    <w:rsid w:val="00F82B69"/>
    <w:rsid w:val="00F83074"/>
    <w:rsid w:val="00F86321"/>
    <w:rsid w:val="00F86FB0"/>
    <w:rsid w:val="00F91188"/>
    <w:rsid w:val="00F91819"/>
    <w:rsid w:val="00F93D23"/>
    <w:rsid w:val="00F94B57"/>
    <w:rsid w:val="00F94D5D"/>
    <w:rsid w:val="00F953E1"/>
    <w:rsid w:val="00F9546C"/>
    <w:rsid w:val="00F96CF9"/>
    <w:rsid w:val="00F974A1"/>
    <w:rsid w:val="00F97B72"/>
    <w:rsid w:val="00FA0772"/>
    <w:rsid w:val="00FA0C6D"/>
    <w:rsid w:val="00FA0CA0"/>
    <w:rsid w:val="00FA10A8"/>
    <w:rsid w:val="00FA1427"/>
    <w:rsid w:val="00FA45BA"/>
    <w:rsid w:val="00FA5296"/>
    <w:rsid w:val="00FA6C76"/>
    <w:rsid w:val="00FB09B2"/>
    <w:rsid w:val="00FB1F93"/>
    <w:rsid w:val="00FB3019"/>
    <w:rsid w:val="00FB30AA"/>
    <w:rsid w:val="00FB48DF"/>
    <w:rsid w:val="00FB5972"/>
    <w:rsid w:val="00FB632F"/>
    <w:rsid w:val="00FB6781"/>
    <w:rsid w:val="00FB6EAF"/>
    <w:rsid w:val="00FB7376"/>
    <w:rsid w:val="00FC1B0A"/>
    <w:rsid w:val="00FC2E93"/>
    <w:rsid w:val="00FC3BAF"/>
    <w:rsid w:val="00FC5824"/>
    <w:rsid w:val="00FC5AFE"/>
    <w:rsid w:val="00FC5D22"/>
    <w:rsid w:val="00FC6671"/>
    <w:rsid w:val="00FC70A4"/>
    <w:rsid w:val="00FC7D1A"/>
    <w:rsid w:val="00FC7D38"/>
    <w:rsid w:val="00FD01BA"/>
    <w:rsid w:val="00FD0CA5"/>
    <w:rsid w:val="00FD262A"/>
    <w:rsid w:val="00FD4012"/>
    <w:rsid w:val="00FD4EBA"/>
    <w:rsid w:val="00FD5A0C"/>
    <w:rsid w:val="00FE20F3"/>
    <w:rsid w:val="00FE4D45"/>
    <w:rsid w:val="00FE5279"/>
    <w:rsid w:val="00FE5412"/>
    <w:rsid w:val="00FE6874"/>
    <w:rsid w:val="00FE71EC"/>
    <w:rsid w:val="00FF0084"/>
    <w:rsid w:val="00FF05FE"/>
    <w:rsid w:val="00FF094D"/>
    <w:rsid w:val="00FF1F4C"/>
    <w:rsid w:val="00FF3FCC"/>
    <w:rsid w:val="00FF4C67"/>
    <w:rsid w:val="00FF4F25"/>
    <w:rsid w:val="00FF5587"/>
    <w:rsid w:val="00FF5922"/>
    <w:rsid w:val="00FF5A7C"/>
    <w:rsid w:val="00FF6B57"/>
    <w:rsid w:val="00FF70FD"/>
    <w:rsid w:val="00FF7DA5"/>
    <w:rsid w:val="0160084E"/>
    <w:rsid w:val="01802C9E"/>
    <w:rsid w:val="01A93FA3"/>
    <w:rsid w:val="01C64345"/>
    <w:rsid w:val="020654A2"/>
    <w:rsid w:val="020F0554"/>
    <w:rsid w:val="0237508D"/>
    <w:rsid w:val="03842DE7"/>
    <w:rsid w:val="03B149B7"/>
    <w:rsid w:val="03BD7C44"/>
    <w:rsid w:val="041F5699"/>
    <w:rsid w:val="04A722F0"/>
    <w:rsid w:val="04B14B52"/>
    <w:rsid w:val="04DF5E7E"/>
    <w:rsid w:val="05393890"/>
    <w:rsid w:val="05A30D0A"/>
    <w:rsid w:val="05AA653C"/>
    <w:rsid w:val="05C52273"/>
    <w:rsid w:val="0620235A"/>
    <w:rsid w:val="067505F5"/>
    <w:rsid w:val="0690045A"/>
    <w:rsid w:val="06FF01C2"/>
    <w:rsid w:val="07196328"/>
    <w:rsid w:val="072B4830"/>
    <w:rsid w:val="073F5BAB"/>
    <w:rsid w:val="077552AE"/>
    <w:rsid w:val="08690AAE"/>
    <w:rsid w:val="09205694"/>
    <w:rsid w:val="09F4422A"/>
    <w:rsid w:val="0A3960E0"/>
    <w:rsid w:val="0A8C6210"/>
    <w:rsid w:val="0AE80C2A"/>
    <w:rsid w:val="0B541368"/>
    <w:rsid w:val="0BB21981"/>
    <w:rsid w:val="0BDF6813"/>
    <w:rsid w:val="0D383FD7"/>
    <w:rsid w:val="0D5C45C0"/>
    <w:rsid w:val="0D621278"/>
    <w:rsid w:val="0DD95C10"/>
    <w:rsid w:val="0E220145"/>
    <w:rsid w:val="0E496719"/>
    <w:rsid w:val="0EB977F0"/>
    <w:rsid w:val="0ED2229C"/>
    <w:rsid w:val="0F0C3512"/>
    <w:rsid w:val="10911057"/>
    <w:rsid w:val="10E62E06"/>
    <w:rsid w:val="126A41D5"/>
    <w:rsid w:val="126C1D89"/>
    <w:rsid w:val="12B26B32"/>
    <w:rsid w:val="12CF5848"/>
    <w:rsid w:val="12D70244"/>
    <w:rsid w:val="132A0C0D"/>
    <w:rsid w:val="13D12EE6"/>
    <w:rsid w:val="13DE27AC"/>
    <w:rsid w:val="13F34E8B"/>
    <w:rsid w:val="14057021"/>
    <w:rsid w:val="142A06B7"/>
    <w:rsid w:val="162C08A7"/>
    <w:rsid w:val="16A4259B"/>
    <w:rsid w:val="1A051B3B"/>
    <w:rsid w:val="1A440A74"/>
    <w:rsid w:val="1A6C3230"/>
    <w:rsid w:val="1C19367C"/>
    <w:rsid w:val="1C4032FE"/>
    <w:rsid w:val="1C5A1606"/>
    <w:rsid w:val="1D70376F"/>
    <w:rsid w:val="1D8C7A62"/>
    <w:rsid w:val="1DF037E4"/>
    <w:rsid w:val="1E1E26C7"/>
    <w:rsid w:val="1E4D10F7"/>
    <w:rsid w:val="1E543091"/>
    <w:rsid w:val="1E5C2FE6"/>
    <w:rsid w:val="1EA05CC2"/>
    <w:rsid w:val="1ED3045A"/>
    <w:rsid w:val="1EE6018D"/>
    <w:rsid w:val="1F6A3BED"/>
    <w:rsid w:val="1F841668"/>
    <w:rsid w:val="1FBD24BE"/>
    <w:rsid w:val="20A470D3"/>
    <w:rsid w:val="20A83220"/>
    <w:rsid w:val="20DC28F8"/>
    <w:rsid w:val="20F52909"/>
    <w:rsid w:val="21D56297"/>
    <w:rsid w:val="2234120F"/>
    <w:rsid w:val="22513F1D"/>
    <w:rsid w:val="229323DA"/>
    <w:rsid w:val="22EC1AEA"/>
    <w:rsid w:val="23220258"/>
    <w:rsid w:val="23331A68"/>
    <w:rsid w:val="235506C6"/>
    <w:rsid w:val="25EA00DB"/>
    <w:rsid w:val="265B188A"/>
    <w:rsid w:val="26B91CE3"/>
    <w:rsid w:val="27CB43C4"/>
    <w:rsid w:val="27E06A0E"/>
    <w:rsid w:val="28726F43"/>
    <w:rsid w:val="28DB23E5"/>
    <w:rsid w:val="2AD92954"/>
    <w:rsid w:val="2AEF03C9"/>
    <w:rsid w:val="2B7D59D5"/>
    <w:rsid w:val="2D1914E4"/>
    <w:rsid w:val="2DB16813"/>
    <w:rsid w:val="2EE45D6B"/>
    <w:rsid w:val="2F642A08"/>
    <w:rsid w:val="2F875074"/>
    <w:rsid w:val="2FC71915"/>
    <w:rsid w:val="300D22BC"/>
    <w:rsid w:val="302B4C27"/>
    <w:rsid w:val="30B96F38"/>
    <w:rsid w:val="30C419B0"/>
    <w:rsid w:val="31472444"/>
    <w:rsid w:val="3161692C"/>
    <w:rsid w:val="321D2EFB"/>
    <w:rsid w:val="32333292"/>
    <w:rsid w:val="32777C4D"/>
    <w:rsid w:val="32917FB8"/>
    <w:rsid w:val="32A45F3D"/>
    <w:rsid w:val="335F4738"/>
    <w:rsid w:val="33F174D4"/>
    <w:rsid w:val="340F388A"/>
    <w:rsid w:val="342015F4"/>
    <w:rsid w:val="342310E4"/>
    <w:rsid w:val="349E47CE"/>
    <w:rsid w:val="34C401D1"/>
    <w:rsid w:val="351C02BA"/>
    <w:rsid w:val="35CD57AB"/>
    <w:rsid w:val="36161830"/>
    <w:rsid w:val="36396522"/>
    <w:rsid w:val="36DE2A23"/>
    <w:rsid w:val="37734130"/>
    <w:rsid w:val="378B0F42"/>
    <w:rsid w:val="37F61A68"/>
    <w:rsid w:val="38756651"/>
    <w:rsid w:val="38D41AF2"/>
    <w:rsid w:val="391B05DB"/>
    <w:rsid w:val="39C173D5"/>
    <w:rsid w:val="3A1C460B"/>
    <w:rsid w:val="3AF0653F"/>
    <w:rsid w:val="3B906F17"/>
    <w:rsid w:val="3BCB62E9"/>
    <w:rsid w:val="3C1F3212"/>
    <w:rsid w:val="3C856AFE"/>
    <w:rsid w:val="3EF827A7"/>
    <w:rsid w:val="3FE57C5F"/>
    <w:rsid w:val="3FF923CB"/>
    <w:rsid w:val="40270153"/>
    <w:rsid w:val="40A8309D"/>
    <w:rsid w:val="40CC3328"/>
    <w:rsid w:val="40CC6453"/>
    <w:rsid w:val="40F623B1"/>
    <w:rsid w:val="41436921"/>
    <w:rsid w:val="41F93484"/>
    <w:rsid w:val="42224789"/>
    <w:rsid w:val="43A23820"/>
    <w:rsid w:val="43A35D9D"/>
    <w:rsid w:val="43B23A39"/>
    <w:rsid w:val="44313425"/>
    <w:rsid w:val="452A22D2"/>
    <w:rsid w:val="45DE4E6B"/>
    <w:rsid w:val="45EF7D64"/>
    <w:rsid w:val="46104A2A"/>
    <w:rsid w:val="4720553A"/>
    <w:rsid w:val="47EB5D34"/>
    <w:rsid w:val="48531A13"/>
    <w:rsid w:val="48C2013F"/>
    <w:rsid w:val="496175DB"/>
    <w:rsid w:val="49A21187"/>
    <w:rsid w:val="49C820BA"/>
    <w:rsid w:val="4A04580E"/>
    <w:rsid w:val="4ADD7DE7"/>
    <w:rsid w:val="4B014F01"/>
    <w:rsid w:val="4B221C9D"/>
    <w:rsid w:val="4B240D2A"/>
    <w:rsid w:val="4B8F611F"/>
    <w:rsid w:val="4C121D12"/>
    <w:rsid w:val="4C997D3D"/>
    <w:rsid w:val="4CC01EE8"/>
    <w:rsid w:val="4DFA480C"/>
    <w:rsid w:val="4E1B32A4"/>
    <w:rsid w:val="4ECD1F20"/>
    <w:rsid w:val="4EE17B57"/>
    <w:rsid w:val="4FAB400F"/>
    <w:rsid w:val="5053019C"/>
    <w:rsid w:val="547846DC"/>
    <w:rsid w:val="54E911DC"/>
    <w:rsid w:val="55542306"/>
    <w:rsid w:val="55627866"/>
    <w:rsid w:val="5572737D"/>
    <w:rsid w:val="55BD7DEF"/>
    <w:rsid w:val="55D32E25"/>
    <w:rsid w:val="561536E8"/>
    <w:rsid w:val="575202EE"/>
    <w:rsid w:val="5757610C"/>
    <w:rsid w:val="58095F1D"/>
    <w:rsid w:val="581E2EF2"/>
    <w:rsid w:val="59017396"/>
    <w:rsid w:val="59373474"/>
    <w:rsid w:val="5943350B"/>
    <w:rsid w:val="59D416FF"/>
    <w:rsid w:val="59E940B2"/>
    <w:rsid w:val="5A0F6A95"/>
    <w:rsid w:val="5A56726E"/>
    <w:rsid w:val="5AE80A5A"/>
    <w:rsid w:val="5B265E46"/>
    <w:rsid w:val="5BAA348D"/>
    <w:rsid w:val="5C892AD5"/>
    <w:rsid w:val="5D094D33"/>
    <w:rsid w:val="5D3B279E"/>
    <w:rsid w:val="5E094E40"/>
    <w:rsid w:val="5EBD3D5F"/>
    <w:rsid w:val="5EC073AC"/>
    <w:rsid w:val="5FC5111D"/>
    <w:rsid w:val="6122434D"/>
    <w:rsid w:val="61932B55"/>
    <w:rsid w:val="61E76164"/>
    <w:rsid w:val="62AA45FB"/>
    <w:rsid w:val="62DC7FA9"/>
    <w:rsid w:val="62DD5458"/>
    <w:rsid w:val="633C1AC7"/>
    <w:rsid w:val="640C3587"/>
    <w:rsid w:val="643C1282"/>
    <w:rsid w:val="644D7933"/>
    <w:rsid w:val="64E323A8"/>
    <w:rsid w:val="64F0016A"/>
    <w:rsid w:val="661A3845"/>
    <w:rsid w:val="66E71E09"/>
    <w:rsid w:val="67D7768A"/>
    <w:rsid w:val="686D4100"/>
    <w:rsid w:val="693E77B0"/>
    <w:rsid w:val="694A66B2"/>
    <w:rsid w:val="699B3A08"/>
    <w:rsid w:val="69DB12D3"/>
    <w:rsid w:val="69E93980"/>
    <w:rsid w:val="6A7259FE"/>
    <w:rsid w:val="6C053855"/>
    <w:rsid w:val="6C0D76BF"/>
    <w:rsid w:val="6C3C1ACB"/>
    <w:rsid w:val="6D3451EC"/>
    <w:rsid w:val="6E234BBF"/>
    <w:rsid w:val="6E4770F5"/>
    <w:rsid w:val="6E645FA5"/>
    <w:rsid w:val="6E8201DA"/>
    <w:rsid w:val="6E95454B"/>
    <w:rsid w:val="6EAF0AC1"/>
    <w:rsid w:val="7036571F"/>
    <w:rsid w:val="705610BB"/>
    <w:rsid w:val="7059596B"/>
    <w:rsid w:val="706753AB"/>
    <w:rsid w:val="70A21732"/>
    <w:rsid w:val="70E1568B"/>
    <w:rsid w:val="711B1829"/>
    <w:rsid w:val="716D5171"/>
    <w:rsid w:val="71F57B76"/>
    <w:rsid w:val="721467C8"/>
    <w:rsid w:val="72252F02"/>
    <w:rsid w:val="722A12B4"/>
    <w:rsid w:val="736E6F7E"/>
    <w:rsid w:val="73857C10"/>
    <w:rsid w:val="73F92A0E"/>
    <w:rsid w:val="74431517"/>
    <w:rsid w:val="745B753D"/>
    <w:rsid w:val="758C782D"/>
    <w:rsid w:val="765336FE"/>
    <w:rsid w:val="766927D6"/>
    <w:rsid w:val="76815993"/>
    <w:rsid w:val="770E2C13"/>
    <w:rsid w:val="773B361B"/>
    <w:rsid w:val="77745A0B"/>
    <w:rsid w:val="777C6CC6"/>
    <w:rsid w:val="78223F37"/>
    <w:rsid w:val="789E5528"/>
    <w:rsid w:val="78CA27A8"/>
    <w:rsid w:val="79621750"/>
    <w:rsid w:val="79A94109"/>
    <w:rsid w:val="79CF3CB2"/>
    <w:rsid w:val="7A3208B0"/>
    <w:rsid w:val="7AC9412D"/>
    <w:rsid w:val="7B204531"/>
    <w:rsid w:val="7B6A44CF"/>
    <w:rsid w:val="7D057024"/>
    <w:rsid w:val="7EBF07B2"/>
    <w:rsid w:val="7ECB1729"/>
    <w:rsid w:val="7FF54C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qFormat="1"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unhideWhenUsed="0" w:uiPriority="0" w:semiHidden="0" w:name="annotation reference"/>
    <w:lsdException w:uiPriority="0" w:name="line number"/>
    <w:lsdException w:unhideWhenUsed="0" w:uiPriority="0" w:semiHidden="0" w:name="page number"/>
    <w:lsdException w:uiPriority="0" w:semiHidden="0" w:name="endnote reference"/>
    <w:lsdException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nhideWhenUsed="0" w:uiPriority="0" w:semiHidden="0" w:name="Body Text Indent 3"/>
    <w:lsdException w:uiPriority="0" w:name="Block Text"/>
    <w:lsdException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link w:val="5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5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5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5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5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5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5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6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5">
    <w:name w:val="Default Paragraph Font"/>
    <w:unhideWhenUsed/>
    <w:uiPriority w:val="1"/>
  </w:style>
  <w:style w:type="table" w:default="1" w:styleId="43">
    <w:name w:val="Normal Table"/>
    <w:unhideWhenUsed/>
    <w:qFormat/>
    <w:uiPriority w:val="99"/>
    <w:tblPr>
      <w:tblStyle w:val="43"/>
      <w:tblCellMar>
        <w:top w:w="0" w:type="dxa"/>
        <w:left w:w="108" w:type="dxa"/>
        <w:bottom w:w="0" w:type="dxa"/>
        <w:right w:w="108" w:type="dxa"/>
      </w:tblCellMar>
    </w:tblPr>
  </w:style>
  <w:style w:type="paragraph" w:styleId="11">
    <w:name w:val="toc 7"/>
    <w:basedOn w:val="1"/>
    <w:next w:val="1"/>
    <w:uiPriority w:val="39"/>
    <w:pPr>
      <w:ind w:left="1200" w:leftChars="1200"/>
    </w:pPr>
  </w:style>
  <w:style w:type="paragraph" w:styleId="12">
    <w:name w:val="Normal Indent"/>
    <w:basedOn w:val="1"/>
    <w:uiPriority w:val="0"/>
    <w:pPr>
      <w:ind w:firstLine="420"/>
    </w:pPr>
  </w:style>
  <w:style w:type="paragraph" w:styleId="13">
    <w:name w:val="Document Map"/>
    <w:basedOn w:val="1"/>
    <w:link w:val="61"/>
    <w:uiPriority w:val="0"/>
    <w:rPr>
      <w:rFonts w:ascii="宋体"/>
      <w:sz w:val="18"/>
      <w:szCs w:val="18"/>
    </w:rPr>
  </w:style>
  <w:style w:type="paragraph" w:styleId="14">
    <w:name w:val="annotation text"/>
    <w:basedOn w:val="1"/>
    <w:link w:val="62"/>
    <w:uiPriority w:val="0"/>
    <w:pPr>
      <w:jc w:val="left"/>
    </w:pPr>
    <w:rPr>
      <w:rFonts w:ascii="Times New Roman" w:hAnsi="Times New Roman"/>
      <w:szCs w:val="20"/>
    </w:rPr>
  </w:style>
  <w:style w:type="paragraph" w:styleId="15">
    <w:name w:val="Body Text 3"/>
    <w:basedOn w:val="1"/>
    <w:link w:val="63"/>
    <w:qFormat/>
    <w:uiPriority w:val="0"/>
    <w:rPr>
      <w:rFonts w:ascii="宋体"/>
      <w:sz w:val="24"/>
      <w:szCs w:val="20"/>
    </w:rPr>
  </w:style>
  <w:style w:type="paragraph" w:styleId="16">
    <w:name w:val="Body Text"/>
    <w:basedOn w:val="1"/>
    <w:link w:val="64"/>
    <w:unhideWhenUsed/>
    <w:uiPriority w:val="0"/>
    <w:pPr>
      <w:spacing w:after="120"/>
    </w:pPr>
    <w:rPr>
      <w:rFonts w:ascii="Times New Roman" w:hAnsi="Times New Roman"/>
      <w:szCs w:val="20"/>
    </w:rPr>
  </w:style>
  <w:style w:type="paragraph" w:styleId="17">
    <w:name w:val="Body Text Indent"/>
    <w:basedOn w:val="1"/>
    <w:link w:val="65"/>
    <w:uiPriority w:val="0"/>
    <w:pPr>
      <w:spacing w:after="120"/>
      <w:ind w:left="420" w:leftChars="200"/>
    </w:pPr>
    <w:rPr>
      <w:rFonts w:ascii="Times New Roman" w:hAnsi="Times New Roman"/>
      <w:szCs w:val="20"/>
    </w:rPr>
  </w:style>
  <w:style w:type="paragraph" w:styleId="18">
    <w:name w:val="toc 5"/>
    <w:basedOn w:val="1"/>
    <w:next w:val="1"/>
    <w:uiPriority w:val="39"/>
    <w:pPr>
      <w:ind w:left="800" w:leftChars="800"/>
    </w:pPr>
  </w:style>
  <w:style w:type="paragraph" w:styleId="19">
    <w:name w:val="toc 3"/>
    <w:basedOn w:val="1"/>
    <w:next w:val="1"/>
    <w:qFormat/>
    <w:uiPriority w:val="39"/>
    <w:pPr>
      <w:ind w:left="400" w:leftChars="400"/>
    </w:pPr>
  </w:style>
  <w:style w:type="paragraph" w:styleId="20">
    <w:name w:val="Plain Text"/>
    <w:basedOn w:val="1"/>
    <w:link w:val="66"/>
    <w:qFormat/>
    <w:uiPriority w:val="0"/>
    <w:rPr>
      <w:rFonts w:ascii="宋体"/>
    </w:rPr>
  </w:style>
  <w:style w:type="paragraph" w:styleId="21">
    <w:name w:val="toc 8"/>
    <w:basedOn w:val="1"/>
    <w:next w:val="1"/>
    <w:uiPriority w:val="39"/>
    <w:pPr>
      <w:ind w:left="1400" w:leftChars="1400"/>
    </w:pPr>
  </w:style>
  <w:style w:type="paragraph" w:styleId="22">
    <w:name w:val="Date"/>
    <w:basedOn w:val="1"/>
    <w:next w:val="1"/>
    <w:link w:val="67"/>
    <w:qFormat/>
    <w:uiPriority w:val="0"/>
    <w:pPr>
      <w:ind w:left="2500" w:leftChars="2500"/>
    </w:pPr>
    <w:rPr>
      <w:rFonts w:ascii="Times New Roman" w:hAnsi="Times New Roman"/>
      <w:szCs w:val="20"/>
    </w:rPr>
  </w:style>
  <w:style w:type="paragraph" w:styleId="23">
    <w:name w:val="endnote text"/>
    <w:basedOn w:val="1"/>
    <w:link w:val="68"/>
    <w:unhideWhenUsed/>
    <w:uiPriority w:val="0"/>
    <w:pPr>
      <w:snapToGrid w:val="0"/>
      <w:jc w:val="left"/>
    </w:pPr>
  </w:style>
  <w:style w:type="paragraph" w:styleId="24">
    <w:name w:val="Balloon Text"/>
    <w:basedOn w:val="1"/>
    <w:link w:val="69"/>
    <w:uiPriority w:val="0"/>
    <w:rPr>
      <w:rFonts w:ascii="Times New Roman" w:hAnsi="Times New Roman"/>
      <w:sz w:val="18"/>
      <w:szCs w:val="20"/>
    </w:rPr>
  </w:style>
  <w:style w:type="paragraph" w:styleId="25">
    <w:name w:val="footer"/>
    <w:basedOn w:val="1"/>
    <w:link w:val="70"/>
    <w:uiPriority w:val="99"/>
    <w:pPr>
      <w:tabs>
        <w:tab w:val="center" w:pos="4153"/>
        <w:tab w:val="right" w:pos="8306"/>
      </w:tabs>
      <w:snapToGrid w:val="0"/>
      <w:jc w:val="left"/>
    </w:pPr>
    <w:rPr>
      <w:sz w:val="18"/>
    </w:rPr>
  </w:style>
  <w:style w:type="paragraph" w:styleId="26">
    <w:name w:val="envelope return"/>
    <w:basedOn w:val="1"/>
    <w:unhideWhenUsed/>
    <w:qFormat/>
    <w:uiPriority w:val="99"/>
    <w:pPr>
      <w:snapToGrid w:val="0"/>
    </w:pPr>
    <w:rPr>
      <w:rFonts w:ascii="Arial" w:hAnsi="Arial"/>
    </w:rPr>
  </w:style>
  <w:style w:type="paragraph" w:styleId="27">
    <w:name w:val="header"/>
    <w:basedOn w:val="1"/>
    <w:link w:val="71"/>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uiPriority w:val="39"/>
    <w:pPr>
      <w:ind w:left="600" w:leftChars="600"/>
    </w:pPr>
  </w:style>
  <w:style w:type="paragraph" w:styleId="30">
    <w:name w:val="index heading"/>
    <w:basedOn w:val="1"/>
    <w:next w:val="31"/>
    <w:semiHidden/>
    <w:uiPriority w:val="0"/>
    <w:rPr>
      <w:rFonts w:ascii="Times New Roman" w:hAnsi="Times New Roman"/>
      <w:szCs w:val="24"/>
    </w:rPr>
  </w:style>
  <w:style w:type="paragraph" w:styleId="31">
    <w:name w:val="index 1"/>
    <w:basedOn w:val="1"/>
    <w:next w:val="1"/>
    <w:uiPriority w:val="0"/>
    <w:pPr>
      <w:spacing w:line="220" w:lineRule="exact"/>
      <w:jc w:val="center"/>
    </w:pPr>
    <w:rPr>
      <w:rFonts w:ascii="仿宋_GB2312" w:hAnsi="Times New Roman" w:eastAsia="仿宋_GB2312"/>
      <w:szCs w:val="21"/>
    </w:rPr>
  </w:style>
  <w:style w:type="paragraph" w:styleId="32">
    <w:name w:val="footnote text"/>
    <w:basedOn w:val="1"/>
    <w:link w:val="72"/>
    <w:unhideWhenUsed/>
    <w:qFormat/>
    <w:uiPriority w:val="0"/>
    <w:pPr>
      <w:snapToGrid w:val="0"/>
      <w:jc w:val="left"/>
    </w:pPr>
    <w:rPr>
      <w:rFonts w:ascii="Times New Roman" w:hAnsi="Times New Roman"/>
      <w:sz w:val="18"/>
      <w:szCs w:val="18"/>
    </w:rPr>
  </w:style>
  <w:style w:type="paragraph" w:styleId="33">
    <w:name w:val="toc 6"/>
    <w:basedOn w:val="1"/>
    <w:next w:val="1"/>
    <w:uiPriority w:val="39"/>
    <w:pPr>
      <w:ind w:left="1000" w:leftChars="1000"/>
    </w:pPr>
  </w:style>
  <w:style w:type="paragraph" w:styleId="34">
    <w:name w:val="Body Text Indent 3"/>
    <w:basedOn w:val="1"/>
    <w:link w:val="73"/>
    <w:uiPriority w:val="0"/>
    <w:pPr>
      <w:spacing w:after="120"/>
      <w:ind w:left="200" w:leftChars="200"/>
    </w:pPr>
    <w:rPr>
      <w:sz w:val="16"/>
      <w:szCs w:val="16"/>
    </w:rPr>
  </w:style>
  <w:style w:type="paragraph" w:styleId="35">
    <w:name w:val="index 9"/>
    <w:basedOn w:val="1"/>
    <w:next w:val="1"/>
    <w:semiHidden/>
    <w:uiPriority w:val="0"/>
    <w:pPr>
      <w:ind w:left="1600" w:leftChars="1600"/>
    </w:pPr>
    <w:rPr>
      <w:rFonts w:ascii="Times New Roman" w:hAnsi="Times New Roman"/>
      <w:szCs w:val="20"/>
    </w:rPr>
  </w:style>
  <w:style w:type="paragraph" w:styleId="36">
    <w:name w:val="toc 2"/>
    <w:basedOn w:val="1"/>
    <w:next w:val="1"/>
    <w:qFormat/>
    <w:uiPriority w:val="39"/>
    <w:pPr>
      <w:ind w:left="200" w:leftChars="200"/>
    </w:pPr>
  </w:style>
  <w:style w:type="paragraph" w:styleId="37">
    <w:name w:val="toc 9"/>
    <w:basedOn w:val="1"/>
    <w:next w:val="1"/>
    <w:uiPriority w:val="39"/>
    <w:pPr>
      <w:ind w:left="1600" w:leftChars="1600"/>
    </w:pPr>
  </w:style>
  <w:style w:type="paragraph" w:styleId="38">
    <w:name w:val="Normal (Web)"/>
    <w:basedOn w:val="1"/>
    <w:next w:val="1"/>
    <w:uiPriority w:val="99"/>
    <w:pPr>
      <w:widowControl/>
      <w:spacing w:before="100" w:beforeAutospacing="1" w:after="100" w:afterAutospacing="1"/>
      <w:jc w:val="left"/>
    </w:pPr>
    <w:rPr>
      <w:rFonts w:ascii="宋体" w:hAnsi="宋体" w:cs="宋体"/>
      <w:color w:val="000000"/>
      <w:kern w:val="0"/>
      <w:sz w:val="24"/>
      <w:szCs w:val="20"/>
    </w:rPr>
  </w:style>
  <w:style w:type="paragraph" w:styleId="39">
    <w:name w:val="Title"/>
    <w:basedOn w:val="1"/>
    <w:link w:val="74"/>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0">
    <w:name w:val="annotation subject"/>
    <w:basedOn w:val="14"/>
    <w:next w:val="14"/>
    <w:link w:val="75"/>
    <w:uiPriority w:val="0"/>
  </w:style>
  <w:style w:type="paragraph" w:styleId="41">
    <w:name w:val="Body Text First Indent"/>
    <w:basedOn w:val="1"/>
    <w:link w:val="76"/>
    <w:qFormat/>
    <w:uiPriority w:val="0"/>
    <w:pPr>
      <w:spacing w:line="312" w:lineRule="auto"/>
      <w:ind w:firstLine="420"/>
    </w:pPr>
    <w:rPr>
      <w:rFonts w:ascii="Times New Roman" w:hAnsi="Times New Roman"/>
      <w:szCs w:val="24"/>
    </w:rPr>
  </w:style>
  <w:style w:type="paragraph" w:styleId="42">
    <w:name w:val="Body Text First Indent 2"/>
    <w:basedOn w:val="17"/>
    <w:unhideWhenUsed/>
    <w:qFormat/>
    <w:uiPriority w:val="99"/>
    <w:pPr>
      <w:ind w:firstLine="420" w:firstLineChars="200"/>
    </w:pPr>
  </w:style>
  <w:style w:type="table" w:styleId="44">
    <w:name w:val="Table Grid"/>
    <w:basedOn w:val="43"/>
    <w:unhideWhenUsed/>
    <w:uiPriority w:val="0"/>
    <w:pPr>
      <w:widowControl w:val="0"/>
      <w:jc w:val="both"/>
    </w:pPr>
    <w:tblPr>
      <w:tblStyle w:val="4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endnote reference"/>
    <w:unhideWhenUsed/>
    <w:uiPriority w:val="0"/>
    <w:rPr>
      <w:vertAlign w:val="superscript"/>
    </w:rPr>
  </w:style>
  <w:style w:type="character" w:styleId="48">
    <w:name w:val="page number"/>
    <w:uiPriority w:val="0"/>
  </w:style>
  <w:style w:type="character" w:styleId="49">
    <w:name w:val="Hyperlink"/>
    <w:uiPriority w:val="99"/>
    <w:rPr>
      <w:color w:val="0000FF"/>
      <w:u w:val="single"/>
    </w:rPr>
  </w:style>
  <w:style w:type="character" w:styleId="50">
    <w:name w:val="annotation reference"/>
    <w:uiPriority w:val="0"/>
    <w:rPr>
      <w:sz w:val="21"/>
    </w:rPr>
  </w:style>
  <w:style w:type="character" w:styleId="51">
    <w:name w:val="footnote reference"/>
    <w:qFormat/>
    <w:uiPriority w:val="0"/>
    <w:rPr>
      <w:vertAlign w:val="superscript"/>
    </w:rPr>
  </w:style>
  <w:style w:type="character" w:customStyle="1" w:styleId="52">
    <w:name w:val="标题 1 字符"/>
    <w:link w:val="2"/>
    <w:uiPriority w:val="0"/>
    <w:rPr>
      <w:rFonts w:eastAsia="宋体"/>
      <w:b/>
      <w:kern w:val="44"/>
      <w:sz w:val="44"/>
    </w:rPr>
  </w:style>
  <w:style w:type="character" w:customStyle="1" w:styleId="53">
    <w:name w:val="标题 2 字符"/>
    <w:link w:val="3"/>
    <w:uiPriority w:val="0"/>
    <w:rPr>
      <w:rFonts w:ascii="Arial" w:hAnsi="Arial" w:eastAsia="黑体"/>
      <w:b/>
      <w:kern w:val="2"/>
      <w:sz w:val="32"/>
    </w:rPr>
  </w:style>
  <w:style w:type="character" w:customStyle="1" w:styleId="54">
    <w:name w:val="标题 3 字符"/>
    <w:link w:val="4"/>
    <w:uiPriority w:val="0"/>
    <w:rPr>
      <w:rFonts w:ascii="黑体" w:hAnsi="Calibri" w:eastAsia="黑体"/>
      <w:kern w:val="2"/>
      <w:sz w:val="28"/>
    </w:rPr>
  </w:style>
  <w:style w:type="character" w:customStyle="1" w:styleId="55">
    <w:name w:val="标题 4 字符"/>
    <w:link w:val="5"/>
    <w:uiPriority w:val="0"/>
    <w:rPr>
      <w:rFonts w:ascii="Arial" w:hAnsi="Arial" w:eastAsia="黑体"/>
      <w:b/>
      <w:bCs/>
      <w:kern w:val="2"/>
      <w:sz w:val="28"/>
      <w:szCs w:val="28"/>
    </w:rPr>
  </w:style>
  <w:style w:type="character" w:customStyle="1" w:styleId="56">
    <w:name w:val="标题 5 字符"/>
    <w:link w:val="6"/>
    <w:semiHidden/>
    <w:uiPriority w:val="9"/>
    <w:rPr>
      <w:rFonts w:eastAsia="宋体"/>
      <w:b/>
      <w:bCs/>
      <w:kern w:val="2"/>
      <w:sz w:val="28"/>
      <w:szCs w:val="28"/>
    </w:rPr>
  </w:style>
  <w:style w:type="character" w:customStyle="1" w:styleId="57">
    <w:name w:val="标题 6 字符"/>
    <w:link w:val="7"/>
    <w:uiPriority w:val="0"/>
    <w:rPr>
      <w:rFonts w:ascii="Arial" w:hAnsi="Arial" w:eastAsia="黑体"/>
      <w:b/>
      <w:bCs/>
      <w:sz w:val="24"/>
    </w:rPr>
  </w:style>
  <w:style w:type="character" w:customStyle="1" w:styleId="58">
    <w:name w:val="标题 7 字符"/>
    <w:link w:val="8"/>
    <w:uiPriority w:val="0"/>
    <w:rPr>
      <w:rFonts w:eastAsia="宋体"/>
      <w:b/>
      <w:bCs/>
      <w:sz w:val="24"/>
    </w:rPr>
  </w:style>
  <w:style w:type="character" w:customStyle="1" w:styleId="59">
    <w:name w:val="标题 8 字符"/>
    <w:link w:val="9"/>
    <w:uiPriority w:val="0"/>
    <w:rPr>
      <w:rFonts w:ascii="Arial" w:hAnsi="Arial" w:eastAsia="黑体"/>
      <w:sz w:val="24"/>
    </w:rPr>
  </w:style>
  <w:style w:type="character" w:customStyle="1" w:styleId="60">
    <w:name w:val="标题 9 字符"/>
    <w:link w:val="10"/>
    <w:uiPriority w:val="0"/>
    <w:rPr>
      <w:rFonts w:ascii="Arial" w:hAnsi="Arial" w:eastAsia="黑体"/>
      <w:sz w:val="21"/>
      <w:szCs w:val="21"/>
    </w:rPr>
  </w:style>
  <w:style w:type="character" w:customStyle="1" w:styleId="61">
    <w:name w:val="文档结构图 字符"/>
    <w:link w:val="13"/>
    <w:uiPriority w:val="0"/>
    <w:rPr>
      <w:rFonts w:ascii="宋体" w:hAnsi="Calibri" w:eastAsia="宋体" w:cs="宋体"/>
      <w:kern w:val="2"/>
      <w:sz w:val="18"/>
      <w:szCs w:val="18"/>
    </w:rPr>
  </w:style>
  <w:style w:type="character" w:customStyle="1" w:styleId="62">
    <w:name w:val="批注文字 字符"/>
    <w:link w:val="14"/>
    <w:uiPriority w:val="0"/>
    <w:rPr>
      <w:rFonts w:eastAsia="宋体"/>
      <w:kern w:val="2"/>
      <w:sz w:val="21"/>
    </w:rPr>
  </w:style>
  <w:style w:type="character" w:customStyle="1" w:styleId="63">
    <w:name w:val="正文文本 3 字符"/>
    <w:link w:val="15"/>
    <w:qFormat/>
    <w:uiPriority w:val="0"/>
    <w:rPr>
      <w:rFonts w:ascii="宋体" w:hAnsi="Calibri" w:eastAsia="宋体"/>
      <w:kern w:val="2"/>
      <w:sz w:val="24"/>
    </w:rPr>
  </w:style>
  <w:style w:type="character" w:customStyle="1" w:styleId="64">
    <w:name w:val="正文文本 字符"/>
    <w:link w:val="16"/>
    <w:uiPriority w:val="0"/>
    <w:rPr>
      <w:rFonts w:eastAsia="宋体"/>
      <w:kern w:val="2"/>
      <w:sz w:val="21"/>
    </w:rPr>
  </w:style>
  <w:style w:type="character" w:customStyle="1" w:styleId="65">
    <w:name w:val="正文文本缩进 字符"/>
    <w:link w:val="17"/>
    <w:uiPriority w:val="0"/>
    <w:rPr>
      <w:rFonts w:eastAsia="宋体"/>
      <w:kern w:val="2"/>
      <w:sz w:val="21"/>
    </w:rPr>
  </w:style>
  <w:style w:type="character" w:customStyle="1" w:styleId="66">
    <w:name w:val="纯文本 字符"/>
    <w:link w:val="20"/>
    <w:locked/>
    <w:uiPriority w:val="0"/>
    <w:rPr>
      <w:rFonts w:ascii="宋体" w:hAnsi="Calibri" w:eastAsia="宋体"/>
      <w:kern w:val="2"/>
      <w:sz w:val="21"/>
      <w:szCs w:val="22"/>
    </w:rPr>
  </w:style>
  <w:style w:type="character" w:customStyle="1" w:styleId="67">
    <w:name w:val="日期 字符"/>
    <w:link w:val="22"/>
    <w:qFormat/>
    <w:uiPriority w:val="0"/>
    <w:rPr>
      <w:rFonts w:eastAsia="宋体"/>
      <w:kern w:val="2"/>
      <w:sz w:val="21"/>
    </w:rPr>
  </w:style>
  <w:style w:type="character" w:customStyle="1" w:styleId="68">
    <w:name w:val="尾注文本 字符"/>
    <w:link w:val="23"/>
    <w:semiHidden/>
    <w:uiPriority w:val="0"/>
    <w:rPr>
      <w:rFonts w:ascii="Calibri" w:hAnsi="Calibri" w:eastAsia="宋体"/>
      <w:kern w:val="2"/>
      <w:sz w:val="21"/>
      <w:szCs w:val="22"/>
    </w:rPr>
  </w:style>
  <w:style w:type="character" w:customStyle="1" w:styleId="69">
    <w:name w:val="批注框文本 字符"/>
    <w:link w:val="24"/>
    <w:uiPriority w:val="0"/>
    <w:rPr>
      <w:rFonts w:eastAsia="宋体"/>
      <w:kern w:val="2"/>
      <w:sz w:val="18"/>
    </w:rPr>
  </w:style>
  <w:style w:type="character" w:customStyle="1" w:styleId="70">
    <w:name w:val="页脚 字符"/>
    <w:link w:val="25"/>
    <w:uiPriority w:val="99"/>
    <w:rPr>
      <w:rFonts w:ascii="Calibri" w:hAnsi="Calibri" w:eastAsia="宋体"/>
      <w:kern w:val="2"/>
      <w:sz w:val="18"/>
      <w:szCs w:val="22"/>
    </w:rPr>
  </w:style>
  <w:style w:type="character" w:customStyle="1" w:styleId="71">
    <w:name w:val="页眉 字符"/>
    <w:link w:val="27"/>
    <w:uiPriority w:val="0"/>
    <w:rPr>
      <w:rFonts w:eastAsia="宋体"/>
      <w:kern w:val="2"/>
      <w:sz w:val="18"/>
    </w:rPr>
  </w:style>
  <w:style w:type="character" w:customStyle="1" w:styleId="72">
    <w:name w:val="脚注文本 字符1"/>
    <w:link w:val="32"/>
    <w:qFormat/>
    <w:uiPriority w:val="0"/>
    <w:rPr>
      <w:rFonts w:eastAsia="宋体"/>
      <w:kern w:val="2"/>
      <w:sz w:val="18"/>
      <w:szCs w:val="18"/>
    </w:rPr>
  </w:style>
  <w:style w:type="character" w:customStyle="1" w:styleId="73">
    <w:name w:val="正文文本缩进 3 字符"/>
    <w:link w:val="34"/>
    <w:uiPriority w:val="0"/>
    <w:rPr>
      <w:rFonts w:ascii="Calibri" w:hAnsi="Calibri" w:eastAsia="宋体"/>
      <w:kern w:val="2"/>
      <w:sz w:val="16"/>
      <w:szCs w:val="16"/>
    </w:rPr>
  </w:style>
  <w:style w:type="character" w:customStyle="1" w:styleId="74">
    <w:name w:val="标题 字符"/>
    <w:link w:val="39"/>
    <w:uiPriority w:val="0"/>
    <w:rPr>
      <w:rFonts w:ascii="Arial" w:hAnsi="Arial" w:eastAsia="宋体"/>
      <w:b/>
      <w:sz w:val="32"/>
    </w:rPr>
  </w:style>
  <w:style w:type="character" w:customStyle="1" w:styleId="75">
    <w:name w:val="批注主题 字符"/>
    <w:link w:val="40"/>
    <w:uiPriority w:val="0"/>
    <w:rPr>
      <w:rFonts w:eastAsia="宋体"/>
      <w:kern w:val="2"/>
      <w:sz w:val="21"/>
    </w:rPr>
  </w:style>
  <w:style w:type="character" w:customStyle="1" w:styleId="76">
    <w:name w:val="正文首行缩进 字符"/>
    <w:link w:val="41"/>
    <w:qFormat/>
    <w:uiPriority w:val="0"/>
    <w:rPr>
      <w:rFonts w:eastAsia="宋体"/>
      <w:kern w:val="2"/>
      <w:sz w:val="21"/>
      <w:szCs w:val="24"/>
      <w:lang w:val="en-US" w:eastAsia="zh-CN" w:bidi="ar-SA"/>
    </w:rPr>
  </w:style>
  <w:style w:type="character" w:customStyle="1" w:styleId="77">
    <w:name w:val="脚注文本 字符"/>
    <w:semiHidden/>
    <w:uiPriority w:val="0"/>
    <w:rPr>
      <w:rFonts w:ascii="Calibri" w:hAnsi="Calibri" w:eastAsia="宋体"/>
      <w:kern w:val="2"/>
      <w:sz w:val="18"/>
      <w:szCs w:val="18"/>
    </w:rPr>
  </w:style>
  <w:style w:type="character" w:customStyle="1" w:styleId="78">
    <w:name w:val="style_kwd"/>
    <w:uiPriority w:val="0"/>
  </w:style>
  <w:style w:type="character" w:customStyle="1" w:styleId="79">
    <w:name w:val="批注文字 Char1"/>
    <w:uiPriority w:val="0"/>
    <w:rPr>
      <w:rFonts w:ascii="Times New Roman" w:hAnsi="Times New Roman" w:eastAsia="宋体" w:cs="Times New Roman"/>
      <w:sz w:val="20"/>
      <w:szCs w:val="20"/>
      <w:lang w:bidi="ar-SA"/>
    </w:rPr>
  </w:style>
  <w:style w:type="character" w:customStyle="1" w:styleId="80">
    <w:name w:val="批注文字 Char"/>
    <w:uiPriority w:val="0"/>
    <w:rPr>
      <w:sz w:val="24"/>
    </w:rPr>
  </w:style>
  <w:style w:type="character" w:customStyle="1" w:styleId="81">
    <w:name w:val="font161"/>
    <w:uiPriority w:val="0"/>
    <w:rPr>
      <w:b/>
      <w:bCs/>
      <w:sz w:val="32"/>
      <w:szCs w:val="32"/>
    </w:rPr>
  </w:style>
  <w:style w:type="character" w:customStyle="1" w:styleId="82">
    <w:name w:val="Comment Text Char"/>
    <w:uiPriority w:val="0"/>
  </w:style>
  <w:style w:type="character" w:customStyle="1" w:styleId="83">
    <w:name w:val="正文文本 Char"/>
    <w:uiPriority w:val="0"/>
    <w:rPr>
      <w:rFonts w:eastAsia="宋体"/>
      <w:kern w:val="2"/>
      <w:sz w:val="21"/>
      <w:szCs w:val="24"/>
      <w:lang w:val="en-US" w:eastAsia="zh-CN" w:bidi="ar-SA"/>
    </w:rPr>
  </w:style>
  <w:style w:type="character" w:customStyle="1" w:styleId="84">
    <w:name w:val="正文首行缩进 Char1"/>
    <w:uiPriority w:val="99"/>
    <w:rPr>
      <w:rFonts w:eastAsia="宋体"/>
      <w:kern w:val="2"/>
      <w:sz w:val="21"/>
    </w:rPr>
  </w:style>
  <w:style w:type="character" w:customStyle="1" w:styleId="85">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6">
    <w:name w:val="脚注文本 Char"/>
    <w:uiPriority w:val="0"/>
    <w:rPr>
      <w:kern w:val="2"/>
      <w:sz w:val="18"/>
      <w:szCs w:val="18"/>
    </w:rPr>
  </w:style>
  <w:style w:type="character" w:customStyle="1" w:styleId="87">
    <w:name w:val="标题 2 Char_0"/>
    <w:link w:val="88"/>
    <w:uiPriority w:val="0"/>
    <w:rPr>
      <w:rFonts w:ascii="黑体" w:hAnsi="宋体" w:eastAsia="黑体"/>
      <w:b/>
      <w:smallCaps/>
      <w:snapToGrid w:val="0"/>
      <w:sz w:val="36"/>
      <w:szCs w:val="24"/>
    </w:rPr>
  </w:style>
  <w:style w:type="paragraph" w:customStyle="1" w:styleId="88">
    <w:name w:val="标题 2_0"/>
    <w:basedOn w:val="1"/>
    <w:next w:val="89"/>
    <w:link w:val="87"/>
    <w:qFormat/>
    <w:uiPriority w:val="0"/>
    <w:pPr>
      <w:keepNext/>
      <w:keepLines/>
      <w:spacing w:before="260" w:after="260" w:line="500" w:lineRule="exact"/>
      <w:jc w:val="center"/>
      <w:outlineLvl w:val="1"/>
    </w:pPr>
    <w:rPr>
      <w:rFonts w:ascii="黑体" w:hAnsi="宋体" w:eastAsia="黑体"/>
      <w:b/>
      <w:smallCaps/>
      <w:snapToGrid w:val="0"/>
      <w:kern w:val="0"/>
      <w:sz w:val="36"/>
      <w:szCs w:val="24"/>
    </w:rPr>
  </w:style>
  <w:style w:type="paragraph" w:customStyle="1" w:styleId="89">
    <w:name w:val="正文_0"/>
    <w:qFormat/>
    <w:uiPriority w:val="0"/>
    <w:pPr>
      <w:widowControl w:val="0"/>
      <w:jc w:val="both"/>
    </w:pPr>
    <w:rPr>
      <w:kern w:val="2"/>
      <w:sz w:val="21"/>
      <w:szCs w:val="24"/>
      <w:lang w:val="en-US" w:eastAsia="zh-CN" w:bidi="ar-SA"/>
    </w:rPr>
  </w:style>
  <w:style w:type="paragraph" w:customStyle="1" w:styleId="90">
    <w:name w:val="Char"/>
    <w:basedOn w:val="1"/>
    <w:uiPriority w:val="0"/>
    <w:pPr>
      <w:widowControl/>
      <w:spacing w:after="160" w:line="240" w:lineRule="exact"/>
      <w:jc w:val="left"/>
    </w:pPr>
    <w:rPr>
      <w:rFonts w:ascii="Verdana" w:hAnsi="Verdana"/>
      <w:kern w:val="0"/>
      <w:sz w:val="20"/>
      <w:szCs w:val="20"/>
      <w:lang w:eastAsia="en-US"/>
    </w:rPr>
  </w:style>
  <w:style w:type="paragraph" w:customStyle="1" w:styleId="91">
    <w:name w:val="修订1"/>
    <w:uiPriority w:val="0"/>
    <w:rPr>
      <w:kern w:val="2"/>
      <w:sz w:val="21"/>
      <w:szCs w:val="24"/>
      <w:lang w:val="en-US" w:eastAsia="zh-CN" w:bidi="ar-SA"/>
    </w:rPr>
  </w:style>
  <w:style w:type="paragraph" w:styleId="92">
    <w:name w:val=""/>
    <w:uiPriority w:val="0"/>
    <w:rPr>
      <w:kern w:val="2"/>
      <w:sz w:val="21"/>
      <w:lang w:val="en-US" w:eastAsia="zh-CN" w:bidi="ar-SA"/>
    </w:rPr>
  </w:style>
  <w:style w:type="paragraph" w:customStyle="1" w:styleId="93">
    <w:name w:val="表格文字"/>
    <w:basedOn w:val="1"/>
    <w:uiPriority w:val="0"/>
    <w:pPr>
      <w:adjustRightInd w:val="0"/>
      <w:spacing w:line="420" w:lineRule="atLeast"/>
      <w:jc w:val="left"/>
      <w:textAlignment w:val="baseline"/>
    </w:pPr>
    <w:rPr>
      <w:rFonts w:ascii="Times New Roman" w:hAnsi="Times New Roman"/>
      <w:kern w:val="0"/>
      <w:szCs w:val="20"/>
    </w:rPr>
  </w:style>
  <w:style w:type="paragraph" w:customStyle="1" w:styleId="94">
    <w:name w:val="样式 标题 2 + Times New Roman 四号 非加粗 段前: 5 磅 段后: 0 磅 行距: 固定值 20..."/>
    <w:basedOn w:val="3"/>
    <w:uiPriority w:val="0"/>
    <w:pPr>
      <w:spacing w:before="100" w:after="0" w:line="400" w:lineRule="exact"/>
    </w:pPr>
    <w:rPr>
      <w:rFonts w:ascii="Times New Roman" w:hAnsi="Times New Roman" w:cs="宋体"/>
      <w:b w:val="0"/>
      <w:sz w:val="28"/>
    </w:rPr>
  </w:style>
  <w:style w:type="paragraph" w:customStyle="1" w:styleId="95">
    <w:name w:val="1"/>
    <w:basedOn w:val="1"/>
    <w:uiPriority w:val="0"/>
    <w:rPr>
      <w:rFonts w:ascii="Times New Roman" w:hAnsi="Times New Roman"/>
      <w:szCs w:val="20"/>
    </w:rPr>
  </w:style>
  <w:style w:type="paragraph" w:customStyle="1" w:styleId="96">
    <w:name w:val="我的正文"/>
    <w:basedOn w:val="1"/>
    <w:uiPriority w:val="0"/>
    <w:rPr>
      <w:rFonts w:ascii="宋体" w:hAnsi="宋体"/>
      <w:sz w:val="24"/>
      <w:szCs w:val="24"/>
    </w:rPr>
  </w:style>
  <w:style w:type="paragraph" w:customStyle="1" w:styleId="97">
    <w:name w:val="Char1"/>
    <w:basedOn w:val="1"/>
    <w:uiPriority w:val="0"/>
    <w:pPr>
      <w:tabs>
        <w:tab w:val="left" w:pos="360"/>
      </w:tabs>
    </w:pPr>
    <w:rPr>
      <w:rFonts w:ascii="Times New Roman" w:hAnsi="Times New Roman"/>
      <w:sz w:val="24"/>
      <w:szCs w:val="20"/>
    </w:rPr>
  </w:style>
  <w:style w:type="paragraph" w:customStyle="1" w:styleId="98">
    <w:name w:val="_Style 23"/>
    <w:basedOn w:val="1"/>
    <w:uiPriority w:val="0"/>
    <w:pPr>
      <w:widowControl/>
      <w:spacing w:after="160" w:line="240" w:lineRule="exact"/>
      <w:jc w:val="left"/>
    </w:pPr>
  </w:style>
  <w:style w:type="paragraph" w:customStyle="1" w:styleId="99">
    <w:name w:val="表格"/>
    <w:basedOn w:val="1"/>
    <w:uiPriority w:val="0"/>
    <w:pPr>
      <w:jc w:val="center"/>
      <w:textAlignment w:val="center"/>
    </w:pPr>
    <w:rPr>
      <w:rFonts w:ascii="华文细黑" w:hAnsi="华文细黑"/>
      <w:kern w:val="0"/>
      <w:szCs w:val="20"/>
    </w:rPr>
  </w:style>
  <w:style w:type="paragraph" w:customStyle="1" w:styleId="100">
    <w:name w:val="样式1"/>
    <w:basedOn w:val="1"/>
    <w:next w:val="5"/>
    <w:uiPriority w:val="0"/>
    <w:pPr>
      <w:spacing w:line="360" w:lineRule="auto"/>
      <w:ind w:firstLine="420" w:firstLineChars="200"/>
    </w:pPr>
    <w:rPr>
      <w:rFonts w:ascii="宋体" w:hAnsi="宋体"/>
      <w:szCs w:val="21"/>
    </w:rPr>
  </w:style>
  <w:style w:type="paragraph" w:customStyle="1" w:styleId="101">
    <w:name w:val="样式 标题 1 + 黑体 三号 非加粗 居中 段前: 6 磅 段后: 6 磅 行距: 固定值 20 磅"/>
    <w:basedOn w:val="2"/>
    <w:uiPriority w:val="0"/>
    <w:pPr>
      <w:spacing w:before="120" w:after="120" w:line="400" w:lineRule="exact"/>
      <w:jc w:val="center"/>
    </w:pPr>
    <w:rPr>
      <w:rFonts w:ascii="黑体" w:hAnsi="黑体" w:eastAsia="黑体" w:cs="宋体"/>
      <w:b w:val="0"/>
      <w:sz w:val="32"/>
    </w:rPr>
  </w:style>
  <w:style w:type="paragraph" w:styleId="102">
    <w:name w:val=""/>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3">
    <w:name w:val="6'"/>
    <w:basedOn w:val="1"/>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styleId="104">
    <w:name w:val="List Paragraph"/>
    <w:basedOn w:val="1"/>
    <w:qFormat/>
    <w:uiPriority w:val="0"/>
    <w:pPr>
      <w:ind w:firstLine="420" w:firstLineChars="200"/>
    </w:pPr>
  </w:style>
  <w:style w:type="paragraph" w:customStyle="1" w:styleId="105">
    <w:name w:val="样式 标题 3 + (中文) 黑体 小四 非加粗 段前: 7.8 磅 段后: 0 磅 行距: 固定值 20 磅"/>
    <w:basedOn w:val="4"/>
    <w:uiPriority w:val="0"/>
    <w:pPr>
      <w:spacing w:before="0" w:after="0" w:line="400" w:lineRule="exact"/>
      <w:ind w:firstLine="137"/>
    </w:pPr>
    <w:rPr>
      <w:rFonts w:hAnsi="Times New Roman" w:cs="宋体"/>
      <w:sz w:val="24"/>
    </w:rPr>
  </w:style>
  <w:style w:type="paragraph" w:customStyle="1" w:styleId="106">
    <w:name w:val="样式2"/>
    <w:basedOn w:val="4"/>
    <w:uiPriority w:val="0"/>
    <w:pPr>
      <w:spacing w:line="415" w:lineRule="auto"/>
      <w:ind w:firstLine="137"/>
    </w:pPr>
    <w:rPr>
      <w:rFonts w:hAnsi="Times New Roman"/>
      <w:bCs/>
      <w:i/>
      <w:szCs w:val="28"/>
    </w:rPr>
  </w:style>
  <w:style w:type="paragraph" w:customStyle="1" w:styleId="107">
    <w:name w:val="修订2"/>
    <w:uiPriority w:val="0"/>
    <w:rPr>
      <w:kern w:val="2"/>
      <w:sz w:val="21"/>
      <w:szCs w:val="24"/>
      <w:lang w:val="en-US" w:eastAsia="zh-CN" w:bidi="ar-SA"/>
    </w:rPr>
  </w:style>
  <w:style w:type="paragraph" w:customStyle="1" w:styleId="108">
    <w:name w:val="正文_3"/>
    <w:qFormat/>
    <w:uiPriority w:val="0"/>
    <w:pPr>
      <w:widowControl w:val="0"/>
      <w:jc w:val="both"/>
    </w:pPr>
    <w:rPr>
      <w:rFonts w:ascii="Calibri" w:hAnsi="Calibri"/>
      <w:kern w:val="2"/>
      <w:sz w:val="21"/>
      <w:szCs w:val="22"/>
      <w:lang w:val="en-US" w:eastAsia="zh-CN" w:bidi="ar-SA"/>
    </w:rPr>
  </w:style>
  <w:style w:type="paragraph" w:customStyle="1" w:styleId="109">
    <w:name w:val="正文_2_1_0"/>
    <w:qFormat/>
    <w:uiPriority w:val="0"/>
    <w:pPr>
      <w:widowControl w:val="0"/>
      <w:jc w:val="both"/>
    </w:pPr>
    <w:rPr>
      <w:rFonts w:ascii="Calibri" w:hAnsi="Calibri"/>
      <w:kern w:val="2"/>
      <w:sz w:val="21"/>
      <w:szCs w:val="22"/>
      <w:lang w:val="en-US" w:eastAsia="zh-CN" w:bidi="ar-SA"/>
    </w:rPr>
  </w:style>
  <w:style w:type="paragraph" w:customStyle="1" w:styleId="110">
    <w:name w:val="Default Paragraph Char Char Char Char"/>
    <w:basedOn w:val="1"/>
    <w:next w:val="1"/>
    <w:uiPriority w:val="0"/>
    <w:pPr>
      <w:widowControl/>
      <w:spacing w:line="360" w:lineRule="auto"/>
      <w:jc w:val="left"/>
    </w:pPr>
    <w:rPr>
      <w:rFonts w:ascii="Times New Roman" w:hAnsi="Times New Roman"/>
      <w:kern w:val="0"/>
      <w:szCs w:val="20"/>
      <w:lang w:eastAsia="en-US"/>
    </w:rPr>
  </w:style>
  <w:style w:type="character" w:customStyle="1" w:styleId="111">
    <w:name w:val="页眉 字符1"/>
    <w:semiHidden/>
    <w:locked/>
    <w:uiPriority w:val="99"/>
    <w:rPr>
      <w:rFonts w:eastAsia="宋体" w:cs="Calibri"/>
      <w:kern w:val="2"/>
      <w:sz w:val="18"/>
    </w:rPr>
  </w:style>
  <w:style w:type="paragraph" w:customStyle="1" w:styleId="112">
    <w:name w:val="表格内容"/>
    <w:basedOn w:val="1"/>
    <w:qFormat/>
    <w:uiPriority w:val="0"/>
    <w:pPr>
      <w:spacing w:line="300" w:lineRule="exact"/>
    </w:pPr>
    <w:rPr>
      <w:rFonts w:ascii="@仿宋_GB2312" w:hAnsi="@仿宋_GB2312" w:eastAsia="@仿宋_GB2312" w:cs="@仿宋_GB2312"/>
      <w:szCs w:val="20"/>
    </w:rPr>
  </w:style>
  <w:style w:type="paragraph" w:customStyle="1" w:styleId="113">
    <w:name w:val="Table Paragraph"/>
    <w:basedOn w:val="1"/>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105</Pages>
  <Words>43013</Words>
  <Characters>45020</Characters>
  <Lines>358</Lines>
  <Paragraphs>100</Paragraphs>
  <TotalTime>282</TotalTime>
  <ScaleCrop>false</ScaleCrop>
  <LinksUpToDate>false</LinksUpToDate>
  <CharactersWithSpaces>49218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2020-06-11T14:33:00Z</dcterms:created>
  <dc:creator>袁静</dc:creator>
  <cp:lastModifiedBy>孙硕</cp:lastModifiedBy>
  <cp:lastPrinted>2017-12-13T03:29:00Z</cp:lastPrinted>
  <dcterms:modified xsi:type="dcterms:W3CDTF">2026-01-30T06:24:59Z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CADE366D99CF4BDABEDF358A12A97324_13</vt:lpwstr>
  </property>
  <property fmtid="{D5CDD505-2E9C-101B-9397-08002B2CF9AE}" pid="4" name="KSOTemplateDocerSaveRecord">
    <vt:lpwstr>eyJoZGlkIjoiOTQxYmQ2MmY2ZGFiMGI4OTRkNDg5ZGZhNmI2ODJlOWQiLCJ1c2VySWQiOiIxNjA3OTI1MzMwIn0=</vt:lpwstr>
  </property>
</Properties>
</file>