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110"/>
        <w:tblOverlap w:val="never"/>
        <w:tblW w:w="99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7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32"/>
                <w:szCs w:val="32"/>
                <w:lang w:val="en-US" w:eastAsia="zh-CN" w:bidi="ar"/>
              </w:rPr>
              <w:t>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1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1260"/>
              </w:tabs>
              <w:adjustRightInd w:val="0"/>
              <w:snapToGrid w:val="0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P6室内球场围栏LED广告屏，亮度800cd，搭建尺寸：0.96米x5.76米2套、0.96米x7.68米2套、0.96米x12.48米一套，包含防撞垫，背部支架，配重、主电缆、接收卡、视频处理器、控制电脑、播放软件等。含：运输、拆装及现场服务人员、广告围栏屏、橡胶泡棉包边、85度斜角、后部遮挡处理、安全配重、箱体尺寸：960mmX960m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显示屏要求为新显示屏。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2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备用显示屏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至少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一块，尺寸960*960cm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3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仓库到场馆的往返运输费用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4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设备安装，调试、拆卸（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包含过程中所有转场的拆卸、安装及调试灯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5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赛季期间的屏幕维护，保养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"/>
              </w:rPr>
              <w:t>；</w:t>
            </w:r>
          </w:p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2.赛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季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期间的首场、总决赛及中途转场后的首场比赛，至少安排一名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bidi="ar"/>
              </w:rPr>
              <w:t>技术人员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驻场提供技术保障。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服务时间：2024年6月15日-9月30日</w:t>
            </w:r>
          </w:p>
          <w:p>
            <w:pPr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送货安装时间：2024年6月1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4日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>服务内容：1.联赛赛程期间提供符合赛事方规定的设备并提供相应的技术服务；</w:t>
            </w:r>
          </w:p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 xml:space="preserve">          2.联赛赛程期间提供球队全赛程LED广告屏租赁服务；</w:t>
            </w:r>
          </w:p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 w:bidi="ar"/>
              </w:rPr>
              <w:t xml:space="preserve">          3.如因赛事安排中途需要设备转场时，提供设备转场服务，转场费用包含在本次报价范围内。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u w:val="none"/>
                <w:lang w:val="en-US" w:eastAsia="zh-CN" w:bidi="ar"/>
              </w:rPr>
              <w:t>总价（ ）元，开具增值税专用发票，税率（ ）%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6348730" cy="3529965"/>
            <wp:effectExtent l="0" t="0" r="13970" b="13335"/>
            <wp:docPr id="1" name="图片 9" descr="afe5ca1404aee578636916443db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afe5ca1404aee578636916443db139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873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  <w:r>
        <w:br w:type="pag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现场搭建图</w:t>
      </w:r>
    </w:p>
    <w:p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3053715" cy="2031365"/>
            <wp:effectExtent l="0" t="0" r="13335" b="6985"/>
            <wp:docPr id="2" name="图片 10" descr="c68753600a339f9606b4dd3b601d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c68753600a339f9606b4dd3b601de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P6LED屏背面</w:t>
      </w:r>
    </w:p>
    <w:p>
      <w:pPr>
        <w:pStyle w:val="2"/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default" w:eastAsia="宋体"/>
          <w:lang w:val="en-US" w:eastAsia="zh-CN"/>
        </w:rPr>
        <w:drawing>
          <wp:inline distT="0" distB="0" distL="114300" distR="114300">
            <wp:extent cx="3262630" cy="2000885"/>
            <wp:effectExtent l="0" t="0" r="13970" b="18415"/>
            <wp:docPr id="3" name="图片 11" descr="aace7d1b7631916ddfca0cde5996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aace7d1b7631916ddfca0cde59965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P6LED屏正面</w:t>
      </w:r>
    </w:p>
    <w:p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66440" cy="2158365"/>
            <wp:effectExtent l="0" t="0" r="10160" b="13335"/>
            <wp:docPr id="4" name="图片 12" descr="2050f44bd3be184b09214052f02a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2050f44bd3be184b09214052f02a8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现场示意图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00000000"/>
    <w:rsid w:val="017F36B2"/>
    <w:rsid w:val="073C7A0C"/>
    <w:rsid w:val="5E900F8F"/>
    <w:rsid w:val="79914AD5"/>
    <w:rsid w:val="7ABC49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rFonts w:ascii="Times New Roman" w:eastAsia="宋体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442</Words>
  <Characters>508</Characters>
  <Lines>0</Lines>
  <Paragraphs>0</Paragraphs>
  <TotalTime>5</TotalTime>
  <ScaleCrop>false</ScaleCrop>
  <LinksUpToDate>false</LinksUpToDate>
  <CharactersWithSpaces>532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2024-06-03T07:13:00Z</dcterms:created>
  <dc:creator>Administrator</dc:creator>
  <cp:lastModifiedBy>常务副主任</cp:lastModifiedBy>
  <dcterms:modified xsi:type="dcterms:W3CDTF">2024-06-11T03:26:56Z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CE668C6CC5C24B18A67A0E1971F28CB9_13</vt:lpwstr>
  </property>
</Properties>
</file>