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14:textFill>
            <w14:solidFill>
              <w14:schemeClr w14:val="tx1"/>
            </w14:solidFill>
          </w14:textFill>
        </w:rPr>
        <w:t>货物类标准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7"/>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left="3085" w:leftChars="608" w:hanging="1808" w:hangingChars="563"/>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项目名称：合肥体育中心游泳馆及天鹅湖全民健身中心游</w:t>
      </w:r>
    </w:p>
    <w:p>
      <w:pPr>
        <w:tabs>
          <w:tab w:val="left" w:pos="2410"/>
        </w:tabs>
        <w:autoSpaceDE w:val="0"/>
        <w:autoSpaceDN w:val="0"/>
        <w:adjustRightInd w:val="0"/>
        <w:snapToGrid w:val="0"/>
        <w:spacing w:line="360" w:lineRule="auto"/>
        <w:jc w:val="left"/>
        <w:rPr>
          <w:rFonts w:hint="eastAsia" w:ascii="宋体" w:hAnsi="DotumChe" w:eastAsia="宋体" w:cs="宋体"/>
          <w:b/>
          <w:color w:val="000000" w:themeColor="text1"/>
          <w:spacing w:val="20"/>
          <w:kern w:val="0"/>
          <w:sz w:val="28"/>
          <w:szCs w:val="28"/>
          <w:lang w:eastAsia="zh-CN"/>
          <w14:textFill>
            <w14:solidFill>
              <w14:schemeClr w14:val="tx1"/>
            </w14:solidFill>
          </w14:textFill>
        </w:rPr>
      </w:pPr>
      <w:bookmarkStart w:id="153" w:name="_GoBack"/>
      <w:bookmarkEnd w:id="153"/>
      <w:r>
        <w:rPr>
          <w:rFonts w:hint="eastAsia" w:ascii="宋体" w:hAnsi="DotumChe" w:cs="宋体"/>
          <w:b/>
          <w:color w:val="000000" w:themeColor="text1"/>
          <w:spacing w:val="20"/>
          <w:kern w:val="0"/>
          <w:sz w:val="28"/>
          <w:szCs w:val="28"/>
          <w14:textFill>
            <w14:solidFill>
              <w14:schemeClr w14:val="tx1"/>
            </w14:solidFill>
          </w14:textFill>
        </w:rPr>
        <w:t>泳馆202</w:t>
      </w:r>
      <w:r>
        <w:rPr>
          <w:rFonts w:hint="eastAsia" w:ascii="宋体" w:hAnsi="DotumChe" w:cs="宋体"/>
          <w:b/>
          <w:color w:val="000000" w:themeColor="text1"/>
          <w:spacing w:val="20"/>
          <w:kern w:val="0"/>
          <w:sz w:val="28"/>
          <w:szCs w:val="28"/>
          <w:lang w:val="en-US" w:eastAsia="zh-CN"/>
          <w14:textFill>
            <w14:solidFill>
              <w14:schemeClr w14:val="tx1"/>
            </w14:solidFill>
          </w14:textFill>
        </w:rPr>
        <w:t>4</w:t>
      </w:r>
      <w:r>
        <w:rPr>
          <w:rFonts w:hint="eastAsia" w:ascii="宋体" w:hAnsi="DotumChe" w:cs="宋体"/>
          <w:b/>
          <w:color w:val="000000" w:themeColor="text1"/>
          <w:spacing w:val="20"/>
          <w:kern w:val="0"/>
          <w:sz w:val="28"/>
          <w:szCs w:val="28"/>
          <w14:textFill>
            <w14:solidFill>
              <w14:schemeClr w14:val="tx1"/>
            </w14:solidFill>
          </w14:textFill>
        </w:rPr>
        <w:t>年度水处理药剂及水质养护服务</w:t>
      </w:r>
      <w:r>
        <w:rPr>
          <w:rFonts w:hint="eastAsia" w:ascii="宋体" w:hAnsi="DotumChe" w:cs="宋体"/>
          <w:b/>
          <w:color w:val="000000" w:themeColor="text1"/>
          <w:spacing w:val="20"/>
          <w:kern w:val="0"/>
          <w:sz w:val="28"/>
          <w:szCs w:val="28"/>
          <w:lang w:eastAsia="zh-CN"/>
          <w14:textFill>
            <w14:solidFill>
              <w14:schemeClr w14:val="tx1"/>
            </w14:solidFill>
          </w14:textFill>
        </w:rPr>
        <w:t>（</w:t>
      </w:r>
      <w:r>
        <w:rPr>
          <w:rFonts w:hint="eastAsia" w:ascii="宋体" w:hAnsi="DotumChe" w:cs="宋体"/>
          <w:b/>
          <w:color w:val="000000" w:themeColor="text1"/>
          <w:spacing w:val="20"/>
          <w:kern w:val="0"/>
          <w:sz w:val="28"/>
          <w:szCs w:val="28"/>
          <w:lang w:val="en-US" w:eastAsia="zh-CN"/>
          <w14:textFill>
            <w14:solidFill>
              <w14:schemeClr w14:val="tx1"/>
            </w14:solidFill>
          </w14:textFill>
        </w:rPr>
        <w:t>二次</w:t>
      </w:r>
      <w:r>
        <w:rPr>
          <w:rFonts w:hint="eastAsia" w:ascii="宋体" w:hAnsi="DotumChe" w:cs="宋体"/>
          <w:b/>
          <w:color w:val="000000" w:themeColor="text1"/>
          <w:spacing w:val="20"/>
          <w:kern w:val="0"/>
          <w:sz w:val="28"/>
          <w:szCs w:val="28"/>
          <w:lang w:eastAsia="zh-CN"/>
          <w14:textFill>
            <w14:solidFill>
              <w14:schemeClr w14:val="tx1"/>
            </w14:solidFill>
          </w14:textFill>
        </w:rPr>
        <w:t>）</w:t>
      </w:r>
    </w:p>
    <w:p>
      <w:pPr>
        <w:tabs>
          <w:tab w:val="left" w:pos="2410"/>
        </w:tabs>
        <w:autoSpaceDE w:val="0"/>
        <w:autoSpaceDN w:val="0"/>
        <w:adjustRightInd w:val="0"/>
        <w:snapToGrid w:val="0"/>
        <w:spacing w:line="360" w:lineRule="auto"/>
        <w:ind w:firstLine="1284" w:firstLineChars="400"/>
        <w:jc w:val="left"/>
        <w:rPr>
          <w:rFonts w:hint="eastAsia" w:ascii="宋体" w:hAnsi="DotumChe" w:eastAsia="宋体" w:cs="宋体"/>
          <w:b/>
          <w:color w:val="000000" w:themeColor="text1"/>
          <w:spacing w:val="20"/>
          <w:kern w:val="0"/>
          <w:sz w:val="28"/>
          <w:szCs w:val="28"/>
          <w:lang w:eastAsia="zh-CN"/>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w:t>
      </w:r>
      <w:r>
        <w:rPr>
          <w:rFonts w:hint="eastAsia" w:ascii="宋体" w:hAnsi="DotumChe" w:cs="宋体"/>
          <w:b/>
          <w:color w:val="000000" w:themeColor="text1"/>
          <w:spacing w:val="20"/>
          <w:kern w:val="0"/>
          <w:sz w:val="28"/>
          <w:szCs w:val="28"/>
          <w:highlight w:val="none"/>
          <w:lang w:val="en-US" w:eastAsia="zh-CN"/>
          <w14:textFill>
            <w14:solidFill>
              <w14:schemeClr w14:val="tx1"/>
            </w14:solidFill>
          </w14:textFill>
        </w:rPr>
        <w:t>2024</w:t>
      </w:r>
      <w:r>
        <w:rPr>
          <w:rFonts w:hint="eastAsia" w:ascii="宋体" w:hAnsi="DotumChe" w:cs="宋体"/>
          <w:b/>
          <w:color w:val="000000" w:themeColor="text1"/>
          <w:spacing w:val="20"/>
          <w:kern w:val="0"/>
          <w:sz w:val="28"/>
          <w:szCs w:val="28"/>
          <w:highlight w:val="none"/>
          <w14:textFill>
            <w14:solidFill>
              <w14:schemeClr w14:val="tx1"/>
            </w14:solidFill>
          </w14:textFill>
        </w:rPr>
        <w:t>TYGSCG0</w:t>
      </w:r>
      <w:r>
        <w:rPr>
          <w:rFonts w:hint="eastAsia" w:ascii="宋体" w:hAnsi="DotumChe" w:cs="宋体"/>
          <w:b/>
          <w:color w:val="000000" w:themeColor="text1"/>
          <w:spacing w:val="20"/>
          <w:kern w:val="0"/>
          <w:sz w:val="28"/>
          <w:szCs w:val="28"/>
          <w:highlight w:val="none"/>
          <w:lang w:val="en-US" w:eastAsia="zh-CN"/>
          <w14:textFill>
            <w14:solidFill>
              <w14:schemeClr w14:val="tx1"/>
            </w14:solidFill>
          </w14:textFill>
        </w:rPr>
        <w:t>2</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4</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4</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19045295"/>
      <w:bookmarkEnd w:id="0"/>
      <w:bookmarkStart w:id="1" w:name="_Hlt533241375"/>
      <w:bookmarkEnd w:id="1"/>
      <w:bookmarkStart w:id="2" w:name="_Hlt526418134"/>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i w:val="0"/>
          <w:iCs w:val="0"/>
        </w:rPr>
        <w:fldChar w:fldCharType="begin"/>
      </w:r>
      <w:r>
        <w:rPr>
          <w:i w:val="0"/>
          <w:iCs w:val="0"/>
        </w:rPr>
        <w:instrText xml:space="preserve"> PAGEREF _Toc5344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10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i w:val="0"/>
          <w:iCs w:val="0"/>
        </w:rPr>
        <w:t>18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i w:val="0"/>
          <w:iCs w:val="0"/>
        </w:rPr>
        <w:fldChar w:fldCharType="begin"/>
      </w:r>
      <w:r>
        <w:rPr>
          <w:i w:val="0"/>
          <w:iCs w:val="0"/>
        </w:rPr>
        <w:instrText xml:space="preserve"> PAGEREF _Toc25959 \h </w:instrText>
      </w:r>
      <w:r>
        <w:rPr>
          <w:i w:val="0"/>
          <w:iCs w:val="0"/>
        </w:rPr>
        <w:fldChar w:fldCharType="separate"/>
      </w:r>
      <w:r>
        <w:rPr>
          <w:i w:val="0"/>
          <w:iCs w:val="0"/>
        </w:rPr>
        <w:t>30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i w:val="0"/>
          <w:iCs w:val="0"/>
        </w:rPr>
        <w:fldChar w:fldCharType="begin"/>
      </w:r>
      <w:r>
        <w:rPr>
          <w:i w:val="0"/>
          <w:iCs w:val="0"/>
        </w:rPr>
        <w:instrText xml:space="preserve"> PAGEREF _Toc23937 \h </w:instrText>
      </w:r>
      <w:r>
        <w:rPr>
          <w:i w:val="0"/>
          <w:iCs w:val="0"/>
        </w:rPr>
        <w:fldChar w:fldCharType="separate"/>
      </w:r>
      <w:r>
        <w:rPr>
          <w:i w:val="0"/>
          <w:iCs w:val="0"/>
        </w:rPr>
        <w:t>31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i w:val="0"/>
          <w:iCs w:val="0"/>
        </w:rPr>
        <w:fldChar w:fldCharType="begin"/>
      </w:r>
      <w:r>
        <w:rPr>
          <w:i w:val="0"/>
          <w:iCs w:val="0"/>
        </w:rPr>
        <w:instrText xml:space="preserve"> PAGEREF _Toc10885 \h </w:instrText>
      </w:r>
      <w:r>
        <w:rPr>
          <w:i w:val="0"/>
          <w:iCs w:val="0"/>
        </w:rPr>
        <w:fldChar w:fldCharType="separate"/>
      </w:r>
      <w:r>
        <w:rPr>
          <w:i w:val="0"/>
          <w:iCs w:val="0"/>
        </w:rPr>
        <w:t>32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四．投标响应表</w:t>
      </w:r>
      <w:r>
        <w:rPr>
          <w:i w:val="0"/>
          <w:iCs w:val="0"/>
        </w:rPr>
        <w:tab/>
      </w:r>
      <w:r>
        <w:rPr>
          <w:i w:val="0"/>
          <w:iCs w:val="0"/>
        </w:rPr>
        <w:fldChar w:fldCharType="begin"/>
      </w:r>
      <w:r>
        <w:rPr>
          <w:i w:val="0"/>
          <w:iCs w:val="0"/>
        </w:rPr>
        <w:instrText xml:space="preserve"> PAGEREF _Toc22836 \h </w:instrText>
      </w:r>
      <w:r>
        <w:rPr>
          <w:i w:val="0"/>
          <w:iCs w:val="0"/>
        </w:rPr>
        <w:fldChar w:fldCharType="separate"/>
      </w:r>
      <w:r>
        <w:rPr>
          <w:i w:val="0"/>
          <w:iCs w:val="0"/>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五.投标货物及报价表</w:t>
      </w:r>
      <w:r>
        <w:rPr>
          <w:i w:val="0"/>
          <w:iCs w:val="0"/>
        </w:rPr>
        <w:tab/>
      </w:r>
      <w:r>
        <w:rPr>
          <w:i w:val="0"/>
          <w:iCs w:val="0"/>
        </w:rPr>
        <w:fldChar w:fldCharType="begin"/>
      </w:r>
      <w:r>
        <w:rPr>
          <w:i w:val="0"/>
          <w:iCs w:val="0"/>
        </w:rPr>
        <w:instrText xml:space="preserve"> PAGEREF _Toc10981 \h </w:instrText>
      </w:r>
      <w:r>
        <w:rPr>
          <w:i w:val="0"/>
          <w:iCs w:val="0"/>
        </w:rPr>
        <w:fldChar w:fldCharType="separate"/>
      </w:r>
      <w:r>
        <w:rPr>
          <w:i w:val="0"/>
          <w:iCs w:val="0"/>
        </w:rPr>
        <w:t>34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六．投标授权书</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i w:val="0"/>
          <w:iCs w:val="0"/>
        </w:rPr>
        <w:t>35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七．投标人信用承诺</w:t>
      </w:r>
      <w:r>
        <w:rPr>
          <w:i w:val="0"/>
          <w:iCs w:val="0"/>
        </w:rPr>
        <w:tab/>
      </w:r>
      <w:r>
        <w:rPr>
          <w:i w:val="0"/>
          <w:iCs w:val="0"/>
        </w:rPr>
        <w:fldChar w:fldCharType="begin"/>
      </w:r>
      <w:r>
        <w:rPr>
          <w:i w:val="0"/>
          <w:iCs w:val="0"/>
        </w:rPr>
        <w:instrText xml:space="preserve"> PAGEREF _Toc14779 \h </w:instrText>
      </w:r>
      <w:r>
        <w:rPr>
          <w:i w:val="0"/>
          <w:iCs w:val="0"/>
        </w:rPr>
        <w:fldChar w:fldCharType="separate"/>
      </w:r>
      <w:r>
        <w:rPr>
          <w:i w:val="0"/>
          <w:iCs w:val="0"/>
        </w:rPr>
        <w:t>36</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八. 投标业绩</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i w:val="0"/>
          <w:iCs w:val="0"/>
        </w:rPr>
        <w:t>37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九．有关证明文件</w:t>
      </w:r>
      <w:r>
        <w:rPr>
          <w:i w:val="0"/>
          <w:iCs w:val="0"/>
        </w:rPr>
        <w:tab/>
      </w:r>
      <w:r>
        <w:rPr>
          <w:i w:val="0"/>
          <w:iCs w:val="0"/>
        </w:rPr>
        <w:fldChar w:fldCharType="begin"/>
      </w:r>
      <w:r>
        <w:rPr>
          <w:i w:val="0"/>
          <w:iCs w:val="0"/>
        </w:rPr>
        <w:instrText xml:space="preserve"> PAGEREF _Toc16606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十．生产厂商授权书</w:t>
      </w:r>
      <w:r>
        <w:rPr>
          <w:i w:val="0"/>
          <w:iCs w:val="0"/>
        </w:rPr>
        <w:tab/>
      </w:r>
      <w:r>
        <w:rPr>
          <w:i w:val="0"/>
          <w:iCs w:val="0"/>
        </w:rPr>
        <w:fldChar w:fldCharType="begin"/>
      </w:r>
      <w:r>
        <w:rPr>
          <w:i w:val="0"/>
          <w:iCs w:val="0"/>
        </w:rPr>
        <w:instrText xml:space="preserve"> PAGEREF _Toc2343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_Toc32245 </w:instrText>
      </w:r>
      <w:r>
        <w:rPr>
          <w:rFonts w:hint="eastAsia" w:ascii="宋体" w:hAnsi="宋体" w:cs="宋体"/>
          <w:i w:val="0"/>
          <w:iCs w:val="0"/>
          <w:szCs w:val="28"/>
        </w:rPr>
        <w:fldChar w:fldCharType="separate"/>
      </w:r>
      <w:r>
        <w:rPr>
          <w:rFonts w:hint="eastAsia" w:ascii="宋体" w:hAnsi="宋体"/>
          <w:bCs/>
          <w:i w:val="0"/>
          <w:iCs w:val="0"/>
          <w:szCs w:val="32"/>
          <w:lang w:val="zh-CN"/>
        </w:rPr>
        <w:t>十一．项目人员配备</w:t>
      </w:r>
      <w:r>
        <w:rPr>
          <w:i w:val="0"/>
          <w:iCs w:val="0"/>
        </w:rPr>
        <w:tab/>
      </w:r>
      <w:r>
        <w:rPr>
          <w:i w:val="0"/>
          <w:iCs w:val="0"/>
        </w:rPr>
        <w:fldChar w:fldCharType="begin"/>
      </w:r>
      <w:r>
        <w:rPr>
          <w:i w:val="0"/>
          <w:iCs w:val="0"/>
        </w:rPr>
        <w:instrText xml:space="preserve"> PAGEREF _Toc32245 \h </w:instrText>
      </w:r>
      <w:r>
        <w:rPr>
          <w:i w:val="0"/>
          <w:iCs w:val="0"/>
        </w:rPr>
        <w:fldChar w:fldCharType="separate"/>
      </w:r>
      <w:r>
        <w:rPr>
          <w:i w:val="0"/>
          <w:iCs w:val="0"/>
        </w:rPr>
        <w:t>39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_Toc10816 </w:instrText>
      </w:r>
      <w:r>
        <w:rPr>
          <w:rFonts w:hint="eastAsia" w:ascii="宋体" w:hAnsi="宋体" w:cs="宋体"/>
          <w:i w:val="0"/>
          <w:iCs w:val="0"/>
          <w:szCs w:val="28"/>
        </w:rPr>
        <w:fldChar w:fldCharType="separate"/>
      </w:r>
      <w:r>
        <w:rPr>
          <w:rFonts w:hint="eastAsia" w:ascii="宋体" w:hAnsi="宋体"/>
          <w:bCs/>
          <w:i w:val="0"/>
          <w:iCs w:val="0"/>
          <w:szCs w:val="32"/>
          <w:lang w:val="zh-CN"/>
        </w:rPr>
        <w:t>十二．售后服务体系与检测方案</w:t>
      </w:r>
      <w:r>
        <w:rPr>
          <w:i w:val="0"/>
          <w:iCs w:val="0"/>
        </w:rPr>
        <w:tab/>
      </w:r>
      <w:r>
        <w:rPr>
          <w:i w:val="0"/>
          <w:iCs w:val="0"/>
        </w:rPr>
        <w:fldChar w:fldCharType="begin"/>
      </w:r>
      <w:r>
        <w:rPr>
          <w:i w:val="0"/>
          <w:iCs w:val="0"/>
        </w:rPr>
        <w:instrText xml:space="preserve"> PAGEREF _Toc10816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_Toc27185 </w:instrText>
      </w:r>
      <w:r>
        <w:rPr>
          <w:rFonts w:hint="eastAsia" w:ascii="宋体" w:hAnsi="宋体" w:cs="宋体"/>
          <w:i w:val="0"/>
          <w:iCs w:val="0"/>
          <w:szCs w:val="28"/>
        </w:rPr>
        <w:fldChar w:fldCharType="separate"/>
      </w:r>
      <w:r>
        <w:rPr>
          <w:rFonts w:hint="eastAsia" w:ascii="宋体" w:hAnsi="宋体"/>
          <w:bCs/>
          <w:i w:val="0"/>
          <w:iCs w:val="0"/>
          <w:szCs w:val="32"/>
          <w:lang w:val="zh-CN"/>
        </w:rPr>
        <w:t>十三．产品质量承诺</w:t>
      </w:r>
      <w:r>
        <w:rPr>
          <w:i w:val="0"/>
          <w:iCs w:val="0"/>
        </w:rPr>
        <w:tab/>
      </w:r>
      <w:r>
        <w:rPr>
          <w:i w:val="0"/>
          <w:iCs w:val="0"/>
        </w:rPr>
        <w:fldChar w:fldCharType="begin"/>
      </w:r>
      <w:r>
        <w:rPr>
          <w:i w:val="0"/>
          <w:iCs w:val="0"/>
        </w:rPr>
        <w:instrText xml:space="preserve"> PAGEREF _Toc27185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_Toc27926 </w:instrText>
      </w:r>
      <w:r>
        <w:rPr>
          <w:rFonts w:hint="eastAsia" w:ascii="宋体" w:hAnsi="宋体" w:cs="宋体"/>
          <w:i w:val="0"/>
          <w:iCs w:val="0"/>
          <w:szCs w:val="28"/>
        </w:rPr>
        <w:fldChar w:fldCharType="separate"/>
      </w:r>
      <w:r>
        <w:rPr>
          <w:rFonts w:hint="eastAsia" w:ascii="宋体" w:hAnsi="宋体"/>
          <w:bCs/>
          <w:i w:val="0"/>
          <w:iCs w:val="0"/>
          <w:szCs w:val="32"/>
          <w:lang w:val="zh-CN"/>
        </w:rPr>
        <w:t>十</w:t>
      </w:r>
      <w:r>
        <w:rPr>
          <w:rFonts w:hint="eastAsia" w:ascii="宋体" w:hAnsi="宋体"/>
          <w:bCs/>
          <w:i w:val="0"/>
          <w:iCs w:val="0"/>
          <w:szCs w:val="32"/>
          <w:lang w:val="en-US" w:eastAsia="zh-CN"/>
        </w:rPr>
        <w:t>四</w:t>
      </w:r>
      <w:r>
        <w:rPr>
          <w:rFonts w:hint="eastAsia" w:ascii="宋体" w:hAnsi="宋体"/>
          <w:bCs/>
          <w:i w:val="0"/>
          <w:iCs w:val="0"/>
          <w:szCs w:val="32"/>
          <w:lang w:val="zh-CN"/>
        </w:rPr>
        <w:t>．</w:t>
      </w:r>
      <w:r>
        <w:rPr>
          <w:rFonts w:hint="eastAsia" w:ascii="宋体" w:hAnsi="宋体"/>
          <w:bCs/>
          <w:i w:val="0"/>
          <w:iCs w:val="0"/>
          <w:szCs w:val="32"/>
          <w:lang w:val="en-US" w:eastAsia="zh-CN"/>
        </w:rPr>
        <w:t>投标人认为需提供的其他资料</w:t>
      </w:r>
      <w:r>
        <w:rPr>
          <w:i w:val="0"/>
          <w:iCs w:val="0"/>
        </w:rPr>
        <w:tab/>
      </w:r>
      <w:r>
        <w:rPr>
          <w:i w:val="0"/>
          <w:iCs w:val="0"/>
        </w:rPr>
        <w:fldChar w:fldCharType="begin"/>
      </w:r>
      <w:r>
        <w:rPr>
          <w:i w:val="0"/>
          <w:iCs w:val="0"/>
        </w:rPr>
        <w:instrText xml:space="preserve"> PAGEREF _Toc27926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ascii="宋体" w:hAnsi="宋体"/>
          <w:b/>
          <w:bCs/>
          <w:color w:val="000000" w:themeColor="text1"/>
          <w:sz w:val="32"/>
          <w:szCs w:val="32"/>
          <w14:textFill>
            <w14:solidFill>
              <w14:schemeClr w14:val="tx1"/>
            </w14:solidFill>
          </w14:textFill>
        </w:rPr>
      </w:pPr>
      <w:bookmarkStart w:id="4" w:name="_Toc16593"/>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14:textFill>
            <w14:solidFill>
              <w14:schemeClr w14:val="tx1"/>
            </w14:solidFill>
          </w14:textFill>
        </w:rPr>
        <w:t>合肥体育中心游泳馆及天鹅湖全民健身中心游泳馆202</w:t>
      </w:r>
      <w:r>
        <w:rPr>
          <w:rFonts w:hint="eastAsia" w:ascii="宋体" w:hAnsi="宋体"/>
          <w:b/>
          <w:bCs/>
          <w:color w:val="000000" w:themeColor="text1"/>
          <w:sz w:val="24"/>
          <w:szCs w:val="24"/>
          <w:lang w:val="en-US" w:eastAsia="zh-CN"/>
          <w14:textFill>
            <w14:solidFill>
              <w14:schemeClr w14:val="tx1"/>
            </w14:solidFill>
          </w14:textFill>
        </w:rPr>
        <w:t>4</w:t>
      </w:r>
      <w:r>
        <w:rPr>
          <w:rFonts w:hint="eastAsia" w:ascii="宋体" w:hAnsi="宋体"/>
          <w:b/>
          <w:bCs/>
          <w:color w:val="000000" w:themeColor="text1"/>
          <w:sz w:val="24"/>
          <w:szCs w:val="24"/>
          <w14:textFill>
            <w14:solidFill>
              <w14:schemeClr w14:val="tx1"/>
            </w14:solidFill>
          </w14:textFill>
        </w:rPr>
        <w:t>年度水处理药剂及水质养护服务项目</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eastAsia="宋体"/>
          <w:color w:val="000000" w:themeColor="text1"/>
          <w:sz w:val="24"/>
          <w:szCs w:val="18"/>
          <w:lang w:val="en-US"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w:t>
      </w:r>
      <w:r>
        <w:rPr>
          <w:rFonts w:hint="eastAsia" w:ascii="宋体" w:hAnsi="宋体"/>
          <w:color w:val="000000" w:themeColor="text1"/>
          <w:sz w:val="24"/>
          <w:szCs w:val="18"/>
          <w:highlight w:val="none"/>
          <w:lang w:val="en-US" w:eastAsia="zh-CN"/>
          <w14:textFill>
            <w14:solidFill>
              <w14:schemeClr w14:val="tx1"/>
            </w14:solidFill>
          </w14:textFill>
        </w:rPr>
        <w:t>2024</w:t>
      </w:r>
      <w:r>
        <w:rPr>
          <w:rFonts w:hint="eastAsia" w:ascii="宋体" w:hAnsi="宋体"/>
          <w:color w:val="000000" w:themeColor="text1"/>
          <w:sz w:val="24"/>
          <w:szCs w:val="18"/>
          <w:highlight w:val="none"/>
          <w14:textFill>
            <w14:solidFill>
              <w14:schemeClr w14:val="tx1"/>
            </w14:solidFill>
          </w14:textFill>
        </w:rPr>
        <w:t>TYGSCG0</w:t>
      </w:r>
      <w:r>
        <w:rPr>
          <w:rFonts w:hint="eastAsia" w:ascii="宋体" w:hAnsi="宋体"/>
          <w:color w:val="000000" w:themeColor="text1"/>
          <w:sz w:val="24"/>
          <w:szCs w:val="18"/>
          <w:highlight w:val="none"/>
          <w:lang w:val="en-US" w:eastAsia="zh-CN"/>
          <w14:textFill>
            <w14:solidFill>
              <w14:schemeClr w14:val="tx1"/>
            </w14:solidFill>
          </w14:textFill>
        </w:rPr>
        <w:t>2</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2.项目名称：合肥体育中心游泳馆及天鹅湖全民健身中心游泳馆202</w:t>
      </w:r>
      <w:r>
        <w:rPr>
          <w:rFonts w:hint="eastAsia" w:ascii="宋体" w:hAnsi="宋体"/>
          <w:color w:val="000000" w:themeColor="text1"/>
          <w:sz w:val="24"/>
          <w:szCs w:val="18"/>
          <w:lang w:val="en-US" w:eastAsia="zh-CN"/>
          <w14:textFill>
            <w14:solidFill>
              <w14:schemeClr w14:val="tx1"/>
            </w14:solidFill>
          </w14:textFill>
        </w:rPr>
        <w:t>4</w:t>
      </w:r>
      <w:r>
        <w:rPr>
          <w:rFonts w:hint="eastAsia" w:ascii="宋体" w:hAnsi="宋体"/>
          <w:color w:val="000000" w:themeColor="text1"/>
          <w:sz w:val="24"/>
          <w:szCs w:val="18"/>
          <w14:textFill>
            <w14:solidFill>
              <w14:schemeClr w14:val="tx1"/>
            </w14:solidFill>
          </w14:textFill>
        </w:rPr>
        <w:t>年度水处理药剂及水质养护服务</w:t>
      </w:r>
    </w:p>
    <w:p>
      <w:pPr>
        <w:autoSpaceDE w:val="0"/>
        <w:autoSpaceDN w:val="0"/>
        <w:adjustRightInd w:val="0"/>
        <w:spacing w:line="360" w:lineRule="auto"/>
        <w:ind w:left="1681" w:leftChars="114" w:hanging="1442" w:hangingChars="601"/>
        <w:jc w:val="left"/>
        <w:rPr>
          <w:rFonts w:hint="default" w:ascii="宋体" w:hAnsi="宋体" w:eastAsia="宋体"/>
          <w:color w:val="000000" w:themeColor="text1"/>
          <w:sz w:val="24"/>
          <w:szCs w:val="18"/>
          <w:lang w:val="en-US"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r>
        <w:rPr>
          <w:rFonts w:hint="eastAsia" w:ascii="宋体" w:hAnsi="宋体"/>
          <w:color w:val="000000" w:themeColor="text1"/>
          <w:sz w:val="24"/>
          <w:szCs w:val="18"/>
          <w:lang w:eastAsia="zh-CN"/>
          <w14:textFill>
            <w14:solidFill>
              <w14:schemeClr w14:val="tx1"/>
            </w14:solidFill>
          </w14:textFill>
        </w:rPr>
        <w:t>、</w:t>
      </w:r>
      <w:r>
        <w:rPr>
          <w:rFonts w:hint="eastAsia" w:ascii="宋体" w:hAnsi="宋体"/>
          <w:color w:val="000000" w:themeColor="text1"/>
          <w:sz w:val="24"/>
          <w:szCs w:val="18"/>
          <w:lang w:val="en-US" w:eastAsia="zh-CN"/>
          <w14:textFill>
            <w14:solidFill>
              <w14:schemeClr w14:val="tx1"/>
            </w14:solidFill>
          </w14:textFill>
        </w:rPr>
        <w:t>天鹅湖全民健身中心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highlight w:val="none"/>
        </w:rPr>
      </w:pPr>
      <w:r>
        <w:rPr>
          <w:rFonts w:hint="eastAsia" w:ascii="宋体" w:hAnsi="宋体"/>
          <w:color w:val="auto"/>
          <w:sz w:val="24"/>
          <w:szCs w:val="18"/>
          <w:highlight w:val="none"/>
        </w:rPr>
        <w:t>7.项目概算:</w:t>
      </w:r>
      <w:r>
        <w:rPr>
          <w:rFonts w:hint="eastAsia" w:ascii="宋体" w:hAnsi="宋体"/>
          <w:color w:val="auto"/>
          <w:sz w:val="24"/>
          <w:szCs w:val="18"/>
          <w:highlight w:val="none"/>
          <w:lang w:val="en-US" w:eastAsia="zh-CN"/>
        </w:rPr>
        <w:t xml:space="preserve"> </w:t>
      </w:r>
      <w:r>
        <w:rPr>
          <w:rFonts w:hint="eastAsia" w:ascii="宋体" w:hAnsi="宋体"/>
          <w:color w:val="auto"/>
          <w:sz w:val="24"/>
          <w:szCs w:val="18"/>
          <w:highlight w:val="none"/>
        </w:rPr>
        <w:t>贰拾</w:t>
      </w:r>
      <w:r>
        <w:rPr>
          <w:rFonts w:hint="eastAsia" w:ascii="宋体" w:hAnsi="宋体"/>
          <w:color w:val="auto"/>
          <w:sz w:val="24"/>
          <w:szCs w:val="18"/>
          <w:highlight w:val="none"/>
          <w:lang w:val="en-US" w:eastAsia="zh-CN"/>
        </w:rPr>
        <w:t>伍</w:t>
      </w:r>
      <w:r>
        <w:rPr>
          <w:rFonts w:hint="eastAsia" w:ascii="宋体" w:hAnsi="宋体"/>
          <w:color w:val="auto"/>
          <w:sz w:val="24"/>
          <w:szCs w:val="18"/>
          <w:highlight w:val="none"/>
        </w:rPr>
        <w:t>万贰</w:t>
      </w:r>
      <w:r>
        <w:rPr>
          <w:rFonts w:hint="eastAsia" w:ascii="宋体" w:hAnsi="宋体"/>
          <w:color w:val="auto"/>
          <w:sz w:val="24"/>
          <w:szCs w:val="18"/>
          <w:highlight w:val="none"/>
          <w:lang w:val="en-US" w:eastAsia="zh-CN"/>
        </w:rPr>
        <w:t>仟元</w:t>
      </w:r>
      <w:r>
        <w:rPr>
          <w:rFonts w:hint="eastAsia" w:ascii="宋体" w:hAnsi="宋体"/>
          <w:color w:val="auto"/>
          <w:sz w:val="24"/>
          <w:szCs w:val="18"/>
          <w:highlight w:val="none"/>
        </w:rPr>
        <w:t>整（</w:t>
      </w:r>
      <w:r>
        <w:rPr>
          <w:rFonts w:ascii="宋体" w:hAnsi="宋体"/>
          <w:color w:val="auto"/>
          <w:sz w:val="24"/>
          <w:szCs w:val="18"/>
          <w:highlight w:val="none"/>
        </w:rPr>
        <w:t>¥</w:t>
      </w:r>
      <w:r>
        <w:rPr>
          <w:rFonts w:hint="eastAsia" w:ascii="宋体" w:hAnsi="宋体"/>
          <w:color w:val="auto"/>
          <w:sz w:val="24"/>
          <w:szCs w:val="18"/>
          <w:highlight w:val="none"/>
          <w:lang w:val="en-US" w:eastAsia="zh-CN"/>
        </w:rPr>
        <w:t>252</w:t>
      </w:r>
      <w:r>
        <w:rPr>
          <w:rFonts w:hint="eastAsia" w:ascii="宋体" w:hAnsi="宋体"/>
          <w:color w:val="auto"/>
          <w:sz w:val="24"/>
          <w:szCs w:val="18"/>
          <w:highlight w:val="none"/>
        </w:rPr>
        <w:t>,000</w:t>
      </w:r>
      <w:r>
        <w:rPr>
          <w:rFonts w:ascii="宋体" w:hAnsi="宋体"/>
          <w:color w:val="auto"/>
          <w:sz w:val="24"/>
          <w:szCs w:val="18"/>
          <w:highlight w:val="none"/>
        </w:rPr>
        <w:t>.00</w:t>
      </w:r>
      <w:r>
        <w:rPr>
          <w:rFonts w:hint="eastAsia" w:ascii="宋体" w:hAnsi="宋体"/>
          <w:color w:val="auto"/>
          <w:sz w:val="24"/>
          <w:szCs w:val="18"/>
          <w:highlight w:val="none"/>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货物</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1.具有独立承担民事责任的能力；</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2.经营范围须含有水处理药剂或化工经营许可；</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3.具有</w:t>
      </w:r>
      <w:r>
        <w:rPr>
          <w:rFonts w:hint="eastAsia" w:ascii="宋体" w:hAnsi="宋体"/>
          <w:color w:val="auto"/>
          <w:sz w:val="24"/>
          <w:szCs w:val="18"/>
          <w:lang w:val="en-US" w:eastAsia="zh-CN"/>
        </w:rPr>
        <w:t>一</w:t>
      </w:r>
      <w:r>
        <w:rPr>
          <w:rFonts w:hint="eastAsia" w:ascii="宋体" w:hAnsi="宋体"/>
          <w:color w:val="auto"/>
          <w:sz w:val="24"/>
          <w:szCs w:val="18"/>
        </w:rPr>
        <w:t>家及以上游泳馆药剂承包或供应服务业绩；</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4.本项目不接受联合体投标；</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5. 符合下列情形之一：</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1)开标日前两年内未被合肥市及其所辖县（市）公共资源交易监督管理局记不良行为记录或记不良行为记录累计未满10分的。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4)最近一次被合肥市及其所辖县（市）公共资源交易监督管理局记不良行为记录累计记分达20分(含20分)及以上且公布日距开标日超过24个月。</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6.投标人存在以下不良信用记录情形之一的，不得推荐为中标候选人，不得确定为中标人：</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1）投标人被人民法院列入失信被执行人的；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2）投标人或其法定代表人或拟派项目经理（项目负责人）被人民检察院列入行贿犯罪档案的；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3）投标人被工商行政管理部门列入企业经营异常名录的；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200"/>
        <w:jc w:val="left"/>
        <w:rPr>
          <w:rFonts w:hint="eastAsia" w:ascii="宋体" w:hAnsi="宋体"/>
          <w:color w:val="000000" w:themeColor="text1"/>
          <w:sz w:val="24"/>
          <w:szCs w:val="18"/>
          <w:highlight w:val="none"/>
          <w14:textFill>
            <w14:solidFill>
              <w14:schemeClr w14:val="tx1"/>
            </w14:solidFill>
          </w14:textFill>
        </w:rPr>
      </w:pPr>
      <w:r>
        <w:rPr>
          <w:rFonts w:hint="eastAsia" w:ascii="宋体" w:hAnsi="宋体"/>
          <w:bCs/>
          <w:color w:val="auto"/>
          <w:sz w:val="24"/>
          <w:szCs w:val="24"/>
          <w:highlight w:val="none"/>
        </w:rPr>
        <w:t>1.</w:t>
      </w:r>
      <w:r>
        <w:rPr>
          <w:rFonts w:hint="eastAsia" w:ascii="宋体" w:hAnsi="宋体" w:cs="宋体"/>
          <w:color w:val="auto"/>
          <w:kern w:val="0"/>
          <w:sz w:val="24"/>
          <w:szCs w:val="24"/>
          <w:highlight w:val="none"/>
        </w:rPr>
        <w:t>报名日期：</w:t>
      </w:r>
      <w:r>
        <w:rPr>
          <w:rFonts w:hint="eastAsia" w:ascii="宋体" w:hAnsi="宋体"/>
          <w:color w:val="000000" w:themeColor="text1"/>
          <w:sz w:val="24"/>
          <w:szCs w:val="18"/>
          <w:highlight w:val="none"/>
          <w14:textFill>
            <w14:solidFill>
              <w14:schemeClr w14:val="tx1"/>
            </w14:solidFill>
          </w14:textFill>
        </w:rPr>
        <w:t>202</w:t>
      </w:r>
      <w:r>
        <w:rPr>
          <w:rFonts w:hint="eastAsia" w:ascii="宋体" w:hAnsi="宋体"/>
          <w:color w:val="000000" w:themeColor="text1"/>
          <w:sz w:val="24"/>
          <w:szCs w:val="18"/>
          <w:highlight w:val="none"/>
          <w:lang w:val="en-US" w:eastAsia="zh-CN"/>
          <w14:textFill>
            <w14:solidFill>
              <w14:schemeClr w14:val="tx1"/>
            </w14:solidFill>
          </w14:textFill>
        </w:rPr>
        <w:t>4</w:t>
      </w:r>
      <w:r>
        <w:rPr>
          <w:rFonts w:hint="eastAsia" w:ascii="宋体" w:hAnsi="宋体"/>
          <w:color w:val="000000" w:themeColor="text1"/>
          <w:sz w:val="24"/>
          <w:szCs w:val="18"/>
          <w:highlight w:val="none"/>
          <w14:textFill>
            <w14:solidFill>
              <w14:schemeClr w14:val="tx1"/>
            </w14:solidFill>
          </w14:textFill>
        </w:rPr>
        <w:t>年</w:t>
      </w:r>
      <w:r>
        <w:rPr>
          <w:rFonts w:hint="eastAsia" w:ascii="宋体" w:hAnsi="宋体"/>
          <w:color w:val="000000" w:themeColor="text1"/>
          <w:sz w:val="24"/>
          <w:szCs w:val="18"/>
          <w:highlight w:val="none"/>
          <w:lang w:val="en-US" w:eastAsia="zh-CN"/>
          <w14:textFill>
            <w14:solidFill>
              <w14:schemeClr w14:val="tx1"/>
            </w14:solidFill>
          </w14:textFill>
        </w:rPr>
        <w:t>4</w:t>
      </w:r>
      <w:r>
        <w:rPr>
          <w:rFonts w:hint="eastAsia" w:ascii="宋体" w:hAnsi="宋体"/>
          <w:color w:val="000000" w:themeColor="text1"/>
          <w:sz w:val="24"/>
          <w:szCs w:val="18"/>
          <w:highlight w:val="none"/>
          <w14:textFill>
            <w14:solidFill>
              <w14:schemeClr w14:val="tx1"/>
            </w14:solidFill>
          </w14:textFill>
        </w:rPr>
        <w:t>月</w:t>
      </w:r>
      <w:r>
        <w:rPr>
          <w:rFonts w:hint="eastAsia" w:ascii="宋体" w:hAnsi="宋体"/>
          <w:color w:val="000000" w:themeColor="text1"/>
          <w:sz w:val="24"/>
          <w:szCs w:val="18"/>
          <w:highlight w:val="none"/>
          <w:lang w:val="en-US" w:eastAsia="zh-CN"/>
          <w14:textFill>
            <w14:solidFill>
              <w14:schemeClr w14:val="tx1"/>
            </w14:solidFill>
          </w14:textFill>
        </w:rPr>
        <w:t>7</w:t>
      </w:r>
      <w:r>
        <w:rPr>
          <w:rFonts w:hint="eastAsia" w:ascii="宋体" w:hAnsi="宋体"/>
          <w:color w:val="000000" w:themeColor="text1"/>
          <w:sz w:val="24"/>
          <w:szCs w:val="18"/>
          <w:highlight w:val="none"/>
          <w14:textFill>
            <w14:solidFill>
              <w14:schemeClr w14:val="tx1"/>
            </w14:solidFill>
          </w14:textFill>
        </w:rPr>
        <w:t>日09:00至202</w:t>
      </w:r>
      <w:r>
        <w:rPr>
          <w:rFonts w:hint="eastAsia" w:ascii="宋体" w:hAnsi="宋体"/>
          <w:color w:val="000000" w:themeColor="text1"/>
          <w:sz w:val="24"/>
          <w:szCs w:val="18"/>
          <w:highlight w:val="none"/>
          <w:lang w:val="en-US" w:eastAsia="zh-CN"/>
          <w14:textFill>
            <w14:solidFill>
              <w14:schemeClr w14:val="tx1"/>
            </w14:solidFill>
          </w14:textFill>
        </w:rPr>
        <w:t>4</w:t>
      </w:r>
      <w:r>
        <w:rPr>
          <w:rFonts w:hint="eastAsia" w:ascii="宋体" w:hAnsi="宋体"/>
          <w:color w:val="000000" w:themeColor="text1"/>
          <w:sz w:val="24"/>
          <w:szCs w:val="18"/>
          <w:highlight w:val="none"/>
          <w14:textFill>
            <w14:solidFill>
              <w14:schemeClr w14:val="tx1"/>
            </w14:solidFill>
          </w14:textFill>
        </w:rPr>
        <w:t>年</w:t>
      </w:r>
      <w:r>
        <w:rPr>
          <w:rFonts w:hint="eastAsia" w:ascii="宋体" w:hAnsi="宋体"/>
          <w:color w:val="000000" w:themeColor="text1"/>
          <w:sz w:val="24"/>
          <w:szCs w:val="18"/>
          <w:highlight w:val="none"/>
          <w:lang w:val="en-US" w:eastAsia="zh-CN"/>
          <w14:textFill>
            <w14:solidFill>
              <w14:schemeClr w14:val="tx1"/>
            </w14:solidFill>
          </w14:textFill>
        </w:rPr>
        <w:t>4</w:t>
      </w:r>
      <w:r>
        <w:rPr>
          <w:rFonts w:hint="eastAsia" w:ascii="宋体" w:hAnsi="宋体"/>
          <w:color w:val="000000" w:themeColor="text1"/>
          <w:sz w:val="24"/>
          <w:szCs w:val="18"/>
          <w:highlight w:val="none"/>
          <w14:textFill>
            <w14:solidFill>
              <w14:schemeClr w14:val="tx1"/>
            </w14:solidFill>
          </w14:textFill>
        </w:rPr>
        <w:t>月</w:t>
      </w:r>
      <w:r>
        <w:rPr>
          <w:rFonts w:hint="eastAsia" w:ascii="宋体" w:hAnsi="宋体"/>
          <w:color w:val="000000" w:themeColor="text1"/>
          <w:sz w:val="24"/>
          <w:szCs w:val="18"/>
          <w:highlight w:val="none"/>
          <w:lang w:val="en-US" w:eastAsia="zh-CN"/>
          <w14:textFill>
            <w14:solidFill>
              <w14:schemeClr w14:val="tx1"/>
            </w14:solidFill>
          </w14:textFill>
        </w:rPr>
        <w:t>13</w:t>
      </w:r>
      <w:r>
        <w:rPr>
          <w:rFonts w:hint="eastAsia" w:ascii="宋体" w:hAnsi="宋体"/>
          <w:color w:val="000000" w:themeColor="text1"/>
          <w:sz w:val="24"/>
          <w:szCs w:val="18"/>
          <w:highlight w:val="none"/>
          <w14:textFill>
            <w14:solidFill>
              <w14:schemeClr w14:val="tx1"/>
            </w14:solidFill>
          </w14:textFill>
        </w:rPr>
        <w:t>日17:00</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1.开标时间：202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15</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15：0</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autoSpaceDE w:val="0"/>
        <w:autoSpaceDN w:val="0"/>
        <w:adjustRightInd w:val="0"/>
        <w:spacing w:line="360" w:lineRule="auto"/>
        <w:ind w:firstLine="200"/>
        <w:jc w:val="left"/>
        <w:rPr>
          <w:highlight w:val="none"/>
        </w:rPr>
      </w:pP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15</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15：0</w:t>
      </w:r>
      <w:r>
        <w:rPr>
          <w:rFonts w:hint="eastAsia" w:ascii="宋体" w:hAnsi="宋体" w:cs="宋体"/>
          <w:color w:val="auto"/>
          <w:kern w:val="0"/>
          <w:sz w:val="24"/>
          <w:szCs w:val="24"/>
          <w:highlight w:val="none"/>
        </w:rPr>
        <w:t>0</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联 系 人：</w:t>
      </w:r>
      <w:r>
        <w:rPr>
          <w:rFonts w:hint="eastAsia" w:ascii="宋体" w:hAnsi="宋体" w:cs="宋体"/>
          <w:color w:val="auto"/>
          <w:kern w:val="0"/>
          <w:sz w:val="24"/>
          <w:szCs w:val="24"/>
          <w:highlight w:val="none"/>
          <w:lang w:val="en-US" w:eastAsia="zh-CN"/>
        </w:rPr>
        <w:t xml:space="preserve"> 樊工 15655956202  孙</w:t>
      </w:r>
      <w:r>
        <w:rPr>
          <w:rFonts w:hint="eastAsia" w:ascii="宋体" w:hAnsi="宋体" w:cs="宋体"/>
          <w:color w:val="auto"/>
          <w:kern w:val="0"/>
          <w:sz w:val="24"/>
          <w:szCs w:val="24"/>
          <w:highlight w:val="none"/>
        </w:rPr>
        <w:t>工</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0551--63363087</w:t>
      </w:r>
      <w:r>
        <w:rPr>
          <w:rFonts w:hint="eastAsia" w:ascii="宋体" w:hAnsi="宋体" w:cs="宋体"/>
          <w:color w:val="auto"/>
          <w:kern w:val="0"/>
          <w:sz w:val="24"/>
          <w:szCs w:val="24"/>
          <w:highlight w:val="none"/>
          <w:lang w:val="en-US" w:eastAsia="zh-CN"/>
        </w:rPr>
        <w:t xml:space="preserve"> </w:t>
      </w: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pStyle w:val="2"/>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outlineLvl w:val="0"/>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55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77" w:type="dxa"/>
            <w:vAlign w:val="center"/>
          </w:tcPr>
          <w:p>
            <w:pPr>
              <w:pStyle w:val="75"/>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6"/>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559"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77" w:type="dxa"/>
            <w:vAlign w:val="center"/>
          </w:tcPr>
          <w:p>
            <w:pPr>
              <w:pStyle w:val="75"/>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77" w:type="dxa"/>
            <w:vAlign w:val="center"/>
          </w:tcPr>
          <w:p>
            <w:pPr>
              <w:tabs>
                <w:tab w:val="left" w:pos="2410"/>
              </w:tabs>
              <w:autoSpaceDE w:val="0"/>
              <w:autoSpaceDN w:val="0"/>
              <w:adjustRightInd w:val="0"/>
              <w:snapToGrid w:val="0"/>
              <w:spacing w:line="360" w:lineRule="auto"/>
              <w:rPr>
                <w:rFonts w:ascii="宋体" w:hAnsi="宋体"/>
                <w:color w:val="000000" w:themeColor="text1"/>
                <w:kern w:val="0"/>
                <w:sz w:val="24"/>
                <w:szCs w:val="18"/>
                <w14:textFill>
                  <w14:solidFill>
                    <w14:schemeClr w14:val="tx1"/>
                  </w14:solidFill>
                </w14:textFill>
              </w:rPr>
            </w:pPr>
            <w:r>
              <w:rPr>
                <w:rFonts w:hint="eastAsia" w:ascii="宋体" w:hAnsi="宋体"/>
                <w:color w:val="000000" w:themeColor="text1"/>
                <w:kern w:val="0"/>
                <w:sz w:val="24"/>
                <w:szCs w:val="18"/>
                <w14:textFill>
                  <w14:solidFill>
                    <w14:schemeClr w14:val="tx1"/>
                  </w14:solidFill>
                </w14:textFill>
              </w:rPr>
              <w:t>合肥体育中心游泳馆及天鹅湖全民健身中心游泳馆202</w:t>
            </w:r>
            <w:r>
              <w:rPr>
                <w:rFonts w:hint="eastAsia" w:ascii="宋体" w:hAnsi="宋体"/>
                <w:color w:val="000000" w:themeColor="text1"/>
                <w:kern w:val="0"/>
                <w:sz w:val="24"/>
                <w:szCs w:val="18"/>
                <w:lang w:val="en-US" w:eastAsia="zh-CN"/>
                <w14:textFill>
                  <w14:solidFill>
                    <w14:schemeClr w14:val="tx1"/>
                  </w14:solidFill>
                </w14:textFill>
              </w:rPr>
              <w:t>4</w:t>
            </w:r>
            <w:r>
              <w:rPr>
                <w:rFonts w:hint="eastAsia" w:ascii="宋体" w:hAnsi="宋体"/>
                <w:color w:val="000000" w:themeColor="text1"/>
                <w:kern w:val="0"/>
                <w:sz w:val="24"/>
                <w:szCs w:val="18"/>
                <w14:textFill>
                  <w14:solidFill>
                    <w14:schemeClr w14:val="tx1"/>
                  </w14:solidFill>
                </w14:textFill>
              </w:rPr>
              <w:t>年度水处理药剂及水质养护服务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559" w:type="dxa"/>
            <w:vAlign w:val="center"/>
          </w:tcPr>
          <w:p>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p>
        </w:tc>
        <w:tc>
          <w:tcPr>
            <w:tcW w:w="7077" w:type="dxa"/>
            <w:vAlign w:val="center"/>
          </w:tcPr>
          <w:p>
            <w:pPr>
              <w:autoSpaceDE w:val="0"/>
              <w:autoSpaceDN w:val="0"/>
              <w:adjustRightInd w:val="0"/>
              <w:spacing w:line="430" w:lineRule="exact"/>
              <w:jc w:val="left"/>
              <w:rPr>
                <w:rFonts w:hint="eastAsia" w:ascii="宋体" w:hAnsi="宋体" w:eastAsia="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202</w:t>
            </w:r>
            <w:r>
              <w:rPr>
                <w:rFonts w:hint="eastAsia" w:ascii="宋体" w:hAnsi="宋体"/>
                <w:bCs/>
                <w:color w:val="000000" w:themeColor="text1"/>
                <w:sz w:val="24"/>
                <w:highlight w:val="none"/>
                <w:lang w:val="en-US" w:eastAsia="zh-CN"/>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TYGSCG0</w:t>
            </w:r>
            <w:r>
              <w:rPr>
                <w:rFonts w:hint="eastAsia" w:ascii="宋体" w:hAnsi="宋体"/>
                <w:bCs/>
                <w:color w:val="000000" w:themeColor="text1"/>
                <w:sz w:val="24"/>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货物</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559"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77"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77" w:type="dxa"/>
          </w:tcPr>
          <w:p>
            <w:pPr>
              <w:spacing w:line="360" w:lineRule="auto"/>
              <w:rPr>
                <w:rFonts w:ascii="宋体" w:hAnsi="宋体"/>
                <w:bCs/>
                <w:color w:val="auto"/>
                <w:sz w:val="24"/>
              </w:rPr>
            </w:pPr>
            <w:r>
              <w:rPr>
                <w:rFonts w:hint="eastAsia" w:ascii="宋体" w:hAnsi="宋体"/>
                <w:bCs/>
                <w:color w:val="auto"/>
                <w:sz w:val="24"/>
                <w:lang w:val="en-US" w:eastAsia="zh-CN"/>
              </w:rPr>
              <w:t>根据中标人实际送货量据实结算，按季度支付，全年费用不得超出中标总价（超出部分中标人自行承担），</w:t>
            </w: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77"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9</w:t>
            </w:r>
          </w:p>
        </w:tc>
        <w:tc>
          <w:tcPr>
            <w:tcW w:w="1559" w:type="dxa"/>
            <w:vAlign w:val="center"/>
          </w:tcPr>
          <w:p>
            <w:pPr>
              <w:spacing w:line="5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投标有效期</w:t>
            </w:r>
          </w:p>
        </w:tc>
        <w:tc>
          <w:tcPr>
            <w:tcW w:w="7077" w:type="dxa"/>
            <w:vAlign w:val="center"/>
          </w:tcPr>
          <w:p>
            <w:pPr>
              <w:spacing w:line="500" w:lineRule="exact"/>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供货地点</w:t>
            </w:r>
          </w:p>
        </w:tc>
        <w:tc>
          <w:tcPr>
            <w:tcW w:w="7077"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合肥体育中心游泳馆</w:t>
            </w:r>
            <w:r>
              <w:rPr>
                <w:rFonts w:hint="eastAsia" w:ascii="宋体" w:hAnsi="宋体"/>
                <w:color w:val="auto"/>
                <w:kern w:val="0"/>
                <w:sz w:val="24"/>
                <w:lang w:eastAsia="zh-CN"/>
              </w:rPr>
              <w:t>、</w:t>
            </w:r>
            <w:r>
              <w:rPr>
                <w:rFonts w:hint="eastAsia" w:ascii="宋体" w:hAnsi="宋体"/>
                <w:color w:val="auto"/>
                <w:kern w:val="0"/>
                <w:sz w:val="24"/>
              </w:rPr>
              <w:t>天鹅湖全民健身中心游泳馆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供货期限</w:t>
            </w:r>
          </w:p>
        </w:tc>
        <w:tc>
          <w:tcPr>
            <w:tcW w:w="7077" w:type="dxa"/>
            <w:vAlign w:val="center"/>
          </w:tcPr>
          <w:p>
            <w:pPr>
              <w:autoSpaceDE w:val="0"/>
              <w:autoSpaceDN w:val="0"/>
              <w:adjustRightInd w:val="0"/>
              <w:spacing w:line="440" w:lineRule="exact"/>
              <w:jc w:val="left"/>
              <w:rPr>
                <w:rFonts w:hint="eastAsia" w:ascii="宋体" w:hAnsi="宋体" w:eastAsia="宋体" w:cs="宋体"/>
                <w:b/>
                <w:color w:val="auto"/>
                <w:kern w:val="0"/>
                <w:sz w:val="24"/>
                <w:lang w:eastAsia="zh-CN"/>
              </w:rPr>
            </w:pPr>
            <w:r>
              <w:rPr>
                <w:rFonts w:hint="eastAsia" w:ascii="宋体" w:hAnsi="宋体"/>
                <w:color w:val="auto"/>
                <w:sz w:val="24"/>
              </w:rPr>
              <w:t>合肥体育中心游泳馆</w:t>
            </w:r>
            <w:r>
              <w:rPr>
                <w:rFonts w:hint="eastAsia" w:ascii="宋体" w:hAnsi="宋体"/>
                <w:color w:val="auto"/>
                <w:sz w:val="24"/>
                <w:lang w:eastAsia="zh-CN"/>
              </w:rPr>
              <w:t>、</w:t>
            </w:r>
            <w:r>
              <w:rPr>
                <w:rFonts w:hint="eastAsia" w:ascii="宋体" w:hAnsi="宋体"/>
                <w:color w:val="auto"/>
                <w:sz w:val="24"/>
              </w:rPr>
              <w:t>天鹅湖全民健身中心游泳馆：自合同签订之日起一年</w:t>
            </w:r>
            <w:r>
              <w:rPr>
                <w:rFonts w:hint="eastAsia" w:ascii="宋体" w:hAnsi="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踏勘现场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 xml:space="preserve">自行踏勘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77"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77"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559"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77"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1.履约保证金数额：中标价的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3.收受人为:□招标人、</w:t>
            </w:r>
            <w:r>
              <w:rPr>
                <w:rFonts w:ascii="宋体" w:hAnsi="宋体"/>
                <w:color w:val="000000" w:themeColor="text1"/>
                <w:sz w:val="24"/>
                <w:szCs w:val="24"/>
                <w14:textFill>
                  <w14:solidFill>
                    <w14:schemeClr w14:val="tx1"/>
                  </w14:solidFill>
                </w14:textFill>
              </w:rPr>
              <w:sym w:font="Wingdings" w:char="F0FE"/>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18</w:t>
            </w:r>
          </w:p>
        </w:tc>
        <w:tc>
          <w:tcPr>
            <w:tcW w:w="1559" w:type="dxa"/>
            <w:vAlign w:val="center"/>
          </w:tcPr>
          <w:p>
            <w:pPr>
              <w:spacing w:line="5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本地化服务</w:t>
            </w:r>
          </w:p>
        </w:tc>
        <w:tc>
          <w:tcPr>
            <w:tcW w:w="7077" w:type="dxa"/>
            <w:vAlign w:val="center"/>
          </w:tcPr>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本项目是否要求本地化服务能力：</w:t>
            </w:r>
            <w:r>
              <w:rPr>
                <w:rFonts w:hint="eastAsia" w:ascii="宋体" w:hAnsi="宋体"/>
                <w:b/>
                <w:color w:val="000000" w:themeColor="text1"/>
                <w:sz w:val="24"/>
                <w:highlight w:val="none"/>
                <w14:textFill>
                  <w14:solidFill>
                    <w14:schemeClr w14:val="tx1"/>
                  </w14:solidFill>
                </w14:textFill>
              </w:rPr>
              <w:sym w:font="Wingdings" w:char="F0FE"/>
            </w:r>
            <w:r>
              <w:rPr>
                <w:rFonts w:hint="eastAsia" w:ascii="宋体" w:hAnsi="宋体"/>
                <w:b/>
                <w:color w:val="000000" w:themeColor="text1"/>
                <w:sz w:val="24"/>
                <w:highlight w:val="none"/>
                <w14:textFill>
                  <w14:solidFill>
                    <w14:schemeClr w14:val="tx1"/>
                  </w14:solidFill>
                </w14:textFill>
              </w:rPr>
              <w:t>要求   □不要求</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本地化服务的能力是指具有下列条件之一：</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1.在本地具有固定的办公场所及人员；</w:t>
            </w:r>
          </w:p>
          <w:p>
            <w:pPr>
              <w:spacing w:line="5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2.投标人在本地注册成立或者本地有分支机构的；</w:t>
            </w:r>
          </w:p>
          <w:p>
            <w:pPr>
              <w:spacing w:line="500" w:lineRule="exac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3.承诺中标即设立本地化服务机构。</w:t>
            </w:r>
          </w:p>
        </w:tc>
      </w:tr>
    </w:tbl>
    <w:p>
      <w:pPr>
        <w:rPr>
          <w:color w:val="000000" w:themeColor="text1"/>
          <w14:textFill>
            <w14:solidFill>
              <w14:schemeClr w14:val="tx1"/>
            </w14:solidFill>
          </w14:textFill>
        </w:rPr>
      </w:pPr>
      <w:bookmarkStart w:id="8" w:name="_Hlt519045778"/>
      <w:bookmarkEnd w:id="8"/>
      <w:bookmarkStart w:id="9" w:name="_Hlt509650027"/>
      <w:bookmarkEnd w:id="9"/>
      <w:bookmarkStart w:id="10" w:name="_Toc7187421"/>
      <w:bookmarkStart w:id="11" w:name="_Toc459990137"/>
      <w:bookmarkStart w:id="12" w:name="_Toc508363589"/>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pPr>
    </w:p>
    <w:p>
      <w:pPr>
        <w:pStyle w:val="5"/>
        <w:spacing w:before="0" w:line="500" w:lineRule="exact"/>
        <w:jc w:val="center"/>
        <w:rPr>
          <w:rFonts w:ascii="宋体" w:hAnsi="宋体"/>
          <w:color w:val="000000" w:themeColor="text1"/>
          <w14:textFill>
            <w14:solidFill>
              <w14:schemeClr w14:val="tx1"/>
            </w14:solidFill>
          </w14:textFill>
        </w:rPr>
      </w:pPr>
      <w:bookmarkStart w:id="13" w:name="_Toc25871"/>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16969057"/>
      <w:bookmarkEnd w:id="15"/>
      <w:bookmarkStart w:id="16" w:name="_Hlt509650351"/>
      <w:bookmarkEnd w:id="16"/>
      <w:bookmarkStart w:id="17" w:name="_Hlt204508754"/>
      <w:bookmarkEnd w:id="17"/>
      <w:bookmarkStart w:id="18" w:name="_Toc23746"/>
      <w:bookmarkStart w:id="19" w:name="_Toc22888330"/>
      <w:bookmarkStart w:id="20" w:name="_Toc51505239"/>
      <w:bookmarkStart w:id="21" w:name="_Toc25480"/>
      <w:bookmarkStart w:id="22" w:name="_Toc27068"/>
      <w:bookmarkStart w:id="23" w:name="_Toc19733"/>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22888332"/>
      <w:bookmarkStart w:id="26" w:name="_Toc51505241"/>
      <w:bookmarkStart w:id="27" w:name="_Toc19773336"/>
      <w:bookmarkStart w:id="28" w:name="_Toc31055"/>
      <w:bookmarkStart w:id="29" w:name="_Toc459990139"/>
      <w:bookmarkStart w:id="30" w:name="_Toc7187423"/>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459990141"/>
      <w:bookmarkStart w:id="34" w:name="_Toc51696909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19773337"/>
      <w:bookmarkStart w:id="36" w:name="_Toc9817"/>
      <w:bookmarkStart w:id="37" w:name="_Toc22888333"/>
      <w:bookmarkStart w:id="38" w:name="_Toc7187424"/>
      <w:bookmarkStart w:id="39" w:name="_Toc51505242"/>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widowControl/>
        <w:spacing w:line="360" w:lineRule="auto"/>
        <w:ind w:firstLine="482"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3.2评标方法：</w:t>
      </w:r>
      <w:r>
        <w:rPr>
          <w:rFonts w:hint="eastAsia" w:ascii="宋体" w:hAnsi="宋体" w:cs="宋体"/>
          <w:color w:val="000000" w:themeColor="text1"/>
          <w:kern w:val="0"/>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w:t>
      </w:r>
      <w:r>
        <w:rPr>
          <w:rFonts w:ascii="宋体" w:hAnsi="宋体"/>
          <w:color w:val="000000" w:themeColor="text1"/>
          <w:sz w:val="24"/>
          <w:szCs w:val="24"/>
          <w:highlight w:val="none"/>
          <w14:textFill>
            <w14:solidFill>
              <w14:schemeClr w14:val="tx1"/>
            </w14:solidFill>
          </w14:textFill>
        </w:rPr>
        <w:t>和单</w:t>
      </w:r>
      <w:r>
        <w:rPr>
          <w:rFonts w:ascii="宋体" w:hAnsi="宋体"/>
          <w:color w:val="000000" w:themeColor="text1"/>
          <w:sz w:val="24"/>
          <w:szCs w:val="24"/>
          <w14:textFill>
            <w14:solidFill>
              <w14:schemeClr w14:val="tx1"/>
            </w14:solidFill>
          </w14:textFill>
        </w:rPr>
        <w:t>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19773338"/>
      <w:bookmarkStart w:id="41" w:name="_Toc7187425"/>
      <w:bookmarkStart w:id="42" w:name="_Toc51505243"/>
      <w:bookmarkStart w:id="43" w:name="_Toc22888334"/>
      <w:bookmarkStart w:id="44" w:name="_Toc20006"/>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7187426"/>
      <w:bookmarkStart w:id="46" w:name="_Toc51505244"/>
      <w:bookmarkStart w:id="47" w:name="_Toc22888335"/>
      <w:bookmarkStart w:id="48" w:name="_Toc20524"/>
      <w:bookmarkStart w:id="49" w:name="_Toc19773339"/>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51505245"/>
      <w:bookmarkStart w:id="51" w:name="_Toc7187427"/>
      <w:bookmarkStart w:id="52" w:name="_Toc2884"/>
      <w:bookmarkStart w:id="53" w:name="_Toc19773340"/>
      <w:bookmarkStart w:id="54" w:name="_Toc22888336"/>
      <w:r>
        <w:rPr>
          <w:rFonts w:hint="eastAsia" w:ascii="宋体" w:hAnsi="宋体"/>
          <w:b/>
          <w:bCs/>
          <w:color w:val="000000" w:themeColor="text1"/>
          <w:sz w:val="28"/>
          <w:szCs w:val="32"/>
          <w:lang w:val="en-US" w:eastAsia="zh-CN"/>
          <w14:textFill>
            <w14:solidFill>
              <w14:schemeClr w14:val="tx1"/>
            </w14:solidFill>
          </w14:textFill>
        </w:rPr>
        <w:t>七</w:t>
      </w:r>
      <w:r>
        <w:rPr>
          <w:rFonts w:hint="eastAsia" w:ascii="宋体" w:hAnsi="宋体"/>
          <w:b/>
          <w:bCs/>
          <w:color w:val="000000" w:themeColor="text1"/>
          <w:sz w:val="28"/>
          <w:szCs w:val="32"/>
          <w14:textFill>
            <w14:solidFill>
              <w14:schemeClr w14:val="tx1"/>
            </w14:solidFill>
          </w14:textFill>
        </w:rPr>
        <w:t>.异议处理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22888337"/>
      <w:bookmarkStart w:id="56" w:name="_Toc7187428"/>
      <w:bookmarkStart w:id="57" w:name="_Toc20014"/>
      <w:bookmarkStart w:id="58" w:name="_Toc19773341"/>
      <w:bookmarkStart w:id="59" w:name="_Toc51505246"/>
      <w:r>
        <w:rPr>
          <w:rFonts w:hint="eastAsia" w:ascii="宋体" w:hAnsi="宋体"/>
          <w:b/>
          <w:bCs/>
          <w:color w:val="000000" w:themeColor="text1"/>
          <w:sz w:val="28"/>
          <w:szCs w:val="32"/>
          <w:lang w:val="en-US" w:eastAsia="zh-CN"/>
          <w14:textFill>
            <w14:solidFill>
              <w14:schemeClr w14:val="tx1"/>
            </w14:solidFill>
          </w14:textFill>
        </w:rPr>
        <w:t>八</w:t>
      </w:r>
      <w:r>
        <w:rPr>
          <w:rFonts w:hint="eastAsia" w:ascii="宋体" w:hAnsi="宋体"/>
          <w:b/>
          <w:bCs/>
          <w:color w:val="000000" w:themeColor="text1"/>
          <w:sz w:val="28"/>
          <w:szCs w:val="32"/>
          <w14:textFill>
            <w14:solidFill>
              <w14:schemeClr w14:val="tx1"/>
            </w14:solidFill>
          </w14:textFill>
        </w:rPr>
        <w:t>．签订合同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8"/>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5"/>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8"/>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pStyle w:val="78"/>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肥体育中心建设标准可承办全国运动会及单项国际赛事的大型公共体育设施场馆，体育中心风格定位为开放式体育公园，是集体育运动和比赛、展览、办公、会议、餐饮、休闲为一体的综合性、智能化建筑体系。</w:t>
      </w:r>
    </w:p>
    <w:p>
      <w:pPr>
        <w:autoSpaceDE w:val="0"/>
        <w:autoSpaceDN w:val="0"/>
        <w:adjustRightInd w:val="0"/>
        <w:spacing w:line="360" w:lineRule="auto"/>
        <w:ind w:firstLine="354" w:firstLineChars="147"/>
        <w:jc w:val="left"/>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二、招标需求</w:t>
      </w:r>
    </w:p>
    <w:p>
      <w:pPr>
        <w:pStyle w:val="58"/>
        <w:keepNext w:val="0"/>
        <w:keepLines w:val="0"/>
        <w:pageBreakBefore w:val="0"/>
        <w:numPr>
          <w:ilvl w:val="0"/>
          <w:numId w:val="7"/>
        </w:numPr>
        <w:kinsoku/>
        <w:wordWrap/>
        <w:overflowPunct/>
        <w:topLinePunct w:val="0"/>
        <w:autoSpaceDE/>
        <w:autoSpaceDN/>
        <w:bidi w:val="0"/>
        <w:adjustRightInd/>
        <w:snapToGrid/>
        <w:spacing w:line="5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lang w:val="en-US" w:eastAsia="zh-CN" w:bidi="ar-SA"/>
          <w14:textFill>
            <w14:solidFill>
              <w14:schemeClr w14:val="tx1"/>
            </w14:solidFill>
          </w14:textFill>
        </w:rPr>
        <w:t>50m³（泳池实际容量以现场勘测为准，其中竞赛池或跳水池每年开放时间一般不超过3个月）】和天鹅</w:t>
      </w:r>
      <w:r>
        <w:rPr>
          <w:rFonts w:hint="eastAsia" w:ascii="宋体" w:hAnsi="宋体" w:eastAsia="宋体" w:cs="宋体"/>
          <w:color w:val="auto"/>
          <w:kern w:val="2"/>
          <w:sz w:val="24"/>
          <w:szCs w:val="24"/>
          <w:highlight w:val="none"/>
          <w:lang w:val="en-US" w:eastAsia="zh-CN" w:bidi="ar-SA"/>
        </w:rPr>
        <w:t>湖全民健身中心游泳馆（训练池、戏水池）202</w:t>
      </w: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年度的水处理药剂、水质</w:t>
      </w:r>
      <w:r>
        <w:rPr>
          <w:rFonts w:hint="eastAsia" w:ascii="宋体" w:hAnsi="宋体" w:cs="宋体"/>
          <w:color w:val="auto"/>
          <w:kern w:val="2"/>
          <w:sz w:val="24"/>
          <w:szCs w:val="24"/>
          <w:highlight w:val="none"/>
          <w:lang w:val="en-US" w:eastAsia="zh-CN" w:bidi="ar-SA"/>
        </w:rPr>
        <w:t>检测、养护</w:t>
      </w:r>
      <w:r>
        <w:rPr>
          <w:rFonts w:hint="eastAsia" w:ascii="宋体" w:hAnsi="宋体" w:eastAsia="宋体" w:cs="宋体"/>
          <w:color w:val="auto"/>
          <w:kern w:val="2"/>
          <w:sz w:val="24"/>
          <w:szCs w:val="24"/>
          <w:highlight w:val="none"/>
          <w:lang w:val="en-US" w:eastAsia="zh-CN" w:bidi="ar-SA"/>
        </w:rPr>
        <w:t>服务、自动投药设备的维护</w:t>
      </w:r>
      <w:r>
        <w:rPr>
          <w:rFonts w:hint="eastAsia" w:ascii="宋体" w:hAnsi="宋体" w:cs="宋体"/>
          <w:color w:val="auto"/>
          <w:kern w:val="2"/>
          <w:sz w:val="24"/>
          <w:szCs w:val="24"/>
          <w:highlight w:val="none"/>
          <w:lang w:val="en-US" w:eastAsia="zh-CN" w:bidi="ar-SA"/>
        </w:rPr>
        <w:t>等</w:t>
      </w:r>
      <w:r>
        <w:rPr>
          <w:rFonts w:hint="eastAsia" w:ascii="宋体" w:hAnsi="宋体" w:eastAsia="宋体" w:cs="宋体"/>
          <w:color w:val="auto"/>
          <w:kern w:val="2"/>
          <w:sz w:val="24"/>
          <w:szCs w:val="24"/>
          <w:highlight w:val="none"/>
          <w:lang w:val="en-US" w:eastAsia="zh-CN" w:bidi="ar-SA"/>
        </w:rPr>
        <w:t>（水处理药剂主要包括不限于</w:t>
      </w:r>
      <w:r>
        <w:rPr>
          <w:rFonts w:hint="eastAsia" w:ascii="宋体" w:hAnsi="宋体"/>
          <w:bCs/>
          <w:color w:val="auto"/>
          <w:sz w:val="24"/>
          <w:highlight w:val="none"/>
          <w:lang w:val="en-US" w:eastAsia="zh-CN"/>
        </w:rPr>
        <w:t>次氯酸钠</w:t>
      </w:r>
      <w:r>
        <w:rPr>
          <w:rFonts w:hint="eastAsia" w:ascii="宋体" w:hAnsi="宋体" w:eastAsia="宋体" w:cs="宋体"/>
          <w:color w:val="auto"/>
          <w:kern w:val="2"/>
          <w:sz w:val="24"/>
          <w:szCs w:val="24"/>
          <w:highlight w:val="none"/>
          <w:lang w:val="en-US" w:eastAsia="zh-CN" w:bidi="ar-SA"/>
        </w:rPr>
        <w:t>、杀菌剂、</w:t>
      </w:r>
      <w:r>
        <w:rPr>
          <w:rFonts w:hint="eastAsia" w:ascii="宋体" w:hAnsi="宋体" w:cs="宋体"/>
          <w:color w:val="auto"/>
          <w:kern w:val="2"/>
          <w:sz w:val="24"/>
          <w:szCs w:val="24"/>
          <w:highlight w:val="none"/>
          <w:lang w:val="en-US" w:eastAsia="zh-CN" w:bidi="ar-SA"/>
        </w:rPr>
        <w:t>超级浓缩</w:t>
      </w:r>
      <w:r>
        <w:rPr>
          <w:rFonts w:hint="eastAsia" w:ascii="宋体" w:hAnsi="宋体" w:eastAsia="宋体" w:cs="宋体"/>
          <w:color w:val="auto"/>
          <w:kern w:val="2"/>
          <w:sz w:val="24"/>
          <w:szCs w:val="24"/>
          <w:highlight w:val="none"/>
          <w:lang w:val="en-US" w:eastAsia="zh-CN" w:bidi="ar-SA"/>
        </w:rPr>
        <w:t>澄清剂、除藻剂、</w:t>
      </w:r>
      <w:r>
        <w:rPr>
          <w:rFonts w:hint="eastAsia" w:ascii="宋体" w:hAnsi="宋体" w:cs="宋体"/>
          <w:color w:val="auto"/>
          <w:kern w:val="2"/>
          <w:sz w:val="24"/>
          <w:szCs w:val="24"/>
          <w:highlight w:val="none"/>
          <w:lang w:val="en-US" w:eastAsia="zh-CN" w:bidi="ar-SA"/>
        </w:rPr>
        <w:t>氯</w:t>
      </w:r>
      <w:r>
        <w:rPr>
          <w:rFonts w:hint="eastAsia" w:ascii="宋体" w:hAnsi="宋体" w:eastAsia="宋体" w:cs="宋体"/>
          <w:color w:val="auto"/>
          <w:kern w:val="2"/>
          <w:sz w:val="24"/>
          <w:szCs w:val="24"/>
          <w:highlight w:val="none"/>
          <w:lang w:val="en-US" w:eastAsia="zh-CN" w:bidi="ar-SA"/>
        </w:rPr>
        <w:t>中和剂、PH降低剂、速溶</w:t>
      </w:r>
      <w:r>
        <w:rPr>
          <w:rFonts w:hint="eastAsia" w:ascii="宋体" w:hAnsi="宋体" w:cs="宋体"/>
          <w:color w:val="auto"/>
          <w:kern w:val="2"/>
          <w:sz w:val="24"/>
          <w:szCs w:val="24"/>
          <w:highlight w:val="none"/>
          <w:lang w:val="en-US" w:eastAsia="zh-CN" w:bidi="ar-SA"/>
        </w:rPr>
        <w:t>氯</w:t>
      </w:r>
      <w:r>
        <w:rPr>
          <w:rFonts w:hint="eastAsia" w:ascii="宋体" w:hAnsi="宋体" w:eastAsia="宋体" w:cs="宋体"/>
          <w:color w:val="auto"/>
          <w:kern w:val="2"/>
          <w:sz w:val="24"/>
          <w:szCs w:val="24"/>
          <w:highlight w:val="none"/>
          <w:lang w:val="en-US" w:eastAsia="zh-CN" w:bidi="ar-SA"/>
        </w:rPr>
        <w:t>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bidi="ar-SA"/>
        </w:rPr>
        <w:t>每次药剂送货上门</w:t>
      </w:r>
      <w:r>
        <w:rPr>
          <w:rFonts w:hint="eastAsia" w:ascii="宋体" w:hAnsi="宋体" w:eastAsia="宋体" w:cs="宋体"/>
          <w:color w:val="auto"/>
          <w:kern w:val="2"/>
          <w:sz w:val="24"/>
          <w:szCs w:val="24"/>
          <w:highlight w:val="none"/>
          <w:lang w:val="en-US" w:eastAsia="zh-CN" w:bidi="ar-SA"/>
        </w:rPr>
        <w:t>提供供货清单，</w:t>
      </w:r>
      <w:r>
        <w:rPr>
          <w:rFonts w:hint="eastAsia" w:ascii="宋体" w:hAnsi="宋体" w:cs="宋体"/>
          <w:color w:val="auto"/>
          <w:kern w:val="2"/>
          <w:sz w:val="24"/>
          <w:szCs w:val="24"/>
          <w:highlight w:val="none"/>
          <w:lang w:val="en-US" w:eastAsia="zh-CN" w:bidi="ar-SA"/>
        </w:rPr>
        <w:t>产品合格证，检验报告等，</w:t>
      </w:r>
      <w:r>
        <w:rPr>
          <w:rFonts w:hint="eastAsia" w:ascii="宋体" w:hAnsi="宋体" w:eastAsia="宋体" w:cs="宋体"/>
          <w:color w:val="auto"/>
          <w:kern w:val="2"/>
          <w:sz w:val="24"/>
          <w:szCs w:val="24"/>
          <w:highlight w:val="none"/>
          <w:lang w:val="en-US" w:eastAsia="zh-CN" w:bidi="ar-SA"/>
        </w:rPr>
        <w:t>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3、专人</w:t>
      </w:r>
      <w:r>
        <w:rPr>
          <w:rFonts w:hint="eastAsia" w:ascii="宋体" w:hAnsi="宋体" w:cs="宋体"/>
          <w:color w:val="auto"/>
          <w:kern w:val="2"/>
          <w:sz w:val="24"/>
          <w:szCs w:val="24"/>
          <w:highlight w:val="none"/>
          <w:lang w:val="en-US" w:eastAsia="zh-CN" w:bidi="ar-SA"/>
        </w:rPr>
        <w:t>定期</w:t>
      </w:r>
      <w:r>
        <w:rPr>
          <w:rFonts w:hint="eastAsia" w:ascii="宋体" w:hAnsi="宋体" w:eastAsia="宋体" w:cs="宋体"/>
          <w:color w:val="auto"/>
          <w:kern w:val="2"/>
          <w:sz w:val="24"/>
          <w:szCs w:val="24"/>
          <w:highlight w:val="none"/>
          <w:lang w:val="en-US" w:eastAsia="zh-CN" w:bidi="ar-SA"/>
        </w:rPr>
        <w:t>服务，定期提供游泳馆水质检测</w:t>
      </w:r>
      <w:r>
        <w:rPr>
          <w:rFonts w:hint="eastAsia" w:ascii="宋体" w:hAnsi="宋体" w:cs="宋体"/>
          <w:color w:val="auto"/>
          <w:kern w:val="2"/>
          <w:sz w:val="24"/>
          <w:szCs w:val="24"/>
          <w:highlight w:val="none"/>
          <w:lang w:val="en-US" w:eastAsia="zh-CN" w:bidi="ar-SA"/>
        </w:rPr>
        <w:t>并出具</w:t>
      </w:r>
      <w:r>
        <w:rPr>
          <w:rFonts w:hint="eastAsia" w:ascii="宋体" w:hAnsi="宋体" w:eastAsia="宋体" w:cs="宋体"/>
          <w:color w:val="auto"/>
          <w:kern w:val="2"/>
          <w:sz w:val="24"/>
          <w:szCs w:val="24"/>
          <w:highlight w:val="none"/>
          <w:lang w:val="en-US" w:eastAsia="zh-CN" w:bidi="ar-SA"/>
        </w:rPr>
        <w:t>分析工作报告（一周一次），对水质不合格情况</w:t>
      </w:r>
      <w:r>
        <w:rPr>
          <w:rFonts w:hint="eastAsia" w:ascii="宋体" w:hAnsi="宋体" w:cs="宋体"/>
          <w:color w:val="auto"/>
          <w:kern w:val="2"/>
          <w:sz w:val="24"/>
          <w:szCs w:val="24"/>
          <w:highlight w:val="none"/>
          <w:lang w:val="en-US" w:eastAsia="zh-CN" w:bidi="ar-SA"/>
        </w:rPr>
        <w:t>立即进行</w:t>
      </w:r>
      <w:r>
        <w:rPr>
          <w:rFonts w:hint="eastAsia" w:ascii="宋体" w:hAnsi="宋体" w:eastAsia="宋体" w:cs="宋体"/>
          <w:color w:val="auto"/>
          <w:kern w:val="2"/>
          <w:sz w:val="24"/>
          <w:szCs w:val="24"/>
          <w:highlight w:val="none"/>
          <w:lang w:val="en-US" w:eastAsia="zh-CN" w:bidi="ar-SA"/>
        </w:rPr>
        <w:t>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bookmarkStart w:id="63" w:name="_Hlk97909431"/>
      <w:r>
        <w:rPr>
          <w:rFonts w:hint="eastAsia" w:ascii="宋体" w:hAnsi="宋体" w:eastAsia="宋体" w:cs="宋体"/>
          <w:color w:val="auto"/>
          <w:kern w:val="2"/>
          <w:sz w:val="24"/>
          <w:szCs w:val="24"/>
          <w:highlight w:val="none"/>
          <w:lang w:val="en-US" w:eastAsia="zh-CN" w:bidi="ar-SA"/>
        </w:rPr>
        <w:t>负责游泳馆自动投药设备维护、维修及水质相关问题的处理工作</w:t>
      </w:r>
      <w:bookmarkEnd w:id="63"/>
      <w:r>
        <w:rPr>
          <w:rFonts w:hint="eastAsia" w:ascii="宋体" w:hAnsi="宋体" w:eastAsia="宋体" w:cs="宋体"/>
          <w:color w:val="auto"/>
          <w:kern w:val="2"/>
          <w:sz w:val="24"/>
          <w:szCs w:val="24"/>
          <w:highlight w:val="none"/>
          <w:lang w:val="en-US" w:eastAsia="zh-CN" w:bidi="ar-SA"/>
        </w:rPr>
        <w:t>，提供有效处理方案；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5、协助卫生主管部门对游泳馆水质检查准备工作，并承担因水质处理不达标的行政处罚责任；</w:t>
      </w:r>
    </w:p>
    <w:p>
      <w:pPr>
        <w:pStyle w:val="2"/>
        <w:ind w:left="0" w:lef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6、负责对游泳馆水质管理员进行专业技术培训，及日常工作对接、配合；</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、配合参与其它与游泳馆水质</w:t>
      </w:r>
      <w:r>
        <w:rPr>
          <w:rFonts w:hint="eastAsia" w:ascii="宋体" w:hAnsi="宋体" w:cs="宋体"/>
          <w:color w:val="auto"/>
          <w:kern w:val="2"/>
          <w:sz w:val="24"/>
          <w:szCs w:val="24"/>
          <w:highlight w:val="none"/>
          <w:lang w:val="en-US" w:eastAsia="zh-CN" w:bidi="ar-SA"/>
        </w:rPr>
        <w:t>检测养护等</w:t>
      </w:r>
      <w:r>
        <w:rPr>
          <w:rFonts w:hint="eastAsia" w:ascii="宋体" w:hAnsi="宋体" w:eastAsia="宋体" w:cs="宋体"/>
          <w:color w:val="auto"/>
          <w:kern w:val="2"/>
          <w:sz w:val="24"/>
          <w:szCs w:val="24"/>
          <w:highlight w:val="none"/>
          <w:lang w:val="en-US" w:eastAsia="zh-CN" w:bidi="ar-SA"/>
        </w:rPr>
        <w:t>相关工作。</w:t>
      </w:r>
    </w:p>
    <w:p>
      <w:pPr>
        <w:spacing w:line="360" w:lineRule="auto"/>
        <w:rPr>
          <w:rFonts w:ascii="宋体" w:hAnsi="宋体"/>
          <w:b/>
          <w:color w:val="000000" w:themeColor="text1"/>
          <w:kern w:val="0"/>
          <w:sz w:val="24"/>
          <w:szCs w:val="24"/>
          <w14:textFill>
            <w14:solidFill>
              <w14:schemeClr w14:val="tx1"/>
            </w14:solidFill>
          </w14:textFill>
        </w:rPr>
      </w:pPr>
    </w:p>
    <w:p>
      <w:pPr>
        <w:spacing w:line="360" w:lineRule="auto"/>
        <w:rPr>
          <w:rFonts w:hint="default"/>
          <w:lang w:val="en-US"/>
        </w:rPr>
      </w:pPr>
      <w:r>
        <w:rPr>
          <w:rFonts w:hint="eastAsia" w:ascii="宋体" w:hAnsi="宋体"/>
          <w:b/>
          <w:color w:val="000000" w:themeColor="text1"/>
          <w:kern w:val="0"/>
          <w:sz w:val="24"/>
          <w:szCs w:val="24"/>
          <w14:textFill>
            <w14:solidFill>
              <w14:schemeClr w14:val="tx1"/>
            </w14:solidFill>
          </w14:textFill>
        </w:rPr>
        <w:t>三、游泳池药剂项目清单</w:t>
      </w:r>
    </w:p>
    <w:tbl>
      <w:tblPr>
        <w:tblStyle w:val="50"/>
        <w:tblW w:w="9520" w:type="dxa"/>
        <w:tblInd w:w="-34" w:type="dxa"/>
        <w:tblLayout w:type="fixed"/>
        <w:tblCellMar>
          <w:top w:w="0" w:type="dxa"/>
          <w:left w:w="108" w:type="dxa"/>
          <w:bottom w:w="0" w:type="dxa"/>
          <w:right w:w="108" w:type="dxa"/>
        </w:tblCellMar>
      </w:tblPr>
      <w:tblGrid>
        <w:gridCol w:w="720"/>
        <w:gridCol w:w="1334"/>
        <w:gridCol w:w="2233"/>
        <w:gridCol w:w="1333"/>
        <w:gridCol w:w="1300"/>
        <w:gridCol w:w="1300"/>
        <w:gridCol w:w="1300"/>
      </w:tblGrid>
      <w:tr>
        <w:tblPrEx>
          <w:tblCellMar>
            <w:top w:w="0" w:type="dxa"/>
            <w:left w:w="108" w:type="dxa"/>
            <w:bottom w:w="0" w:type="dxa"/>
            <w:right w:w="108" w:type="dxa"/>
          </w:tblCellMar>
        </w:tblPrEx>
        <w:trPr>
          <w:trHeight w:val="499"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序号</w:t>
            </w:r>
          </w:p>
        </w:tc>
        <w:tc>
          <w:tcPr>
            <w:tcW w:w="133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图片</w:t>
            </w:r>
          </w:p>
        </w:tc>
        <w:tc>
          <w:tcPr>
            <w:tcW w:w="22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名称</w:t>
            </w:r>
          </w:p>
        </w:tc>
        <w:tc>
          <w:tcPr>
            <w:tcW w:w="13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规格</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lang w:val="en-US" w:eastAsia="zh-CN"/>
                <w14:textFill>
                  <w14:solidFill>
                    <w14:schemeClr w14:val="tx1"/>
                  </w14:solidFill>
                </w14:textFill>
              </w:rPr>
              <w:t xml:space="preserve">   数量</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单价</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小计</w:t>
            </w:r>
          </w:p>
        </w:tc>
      </w:tr>
      <w:tr>
        <w:tblPrEx>
          <w:tblCellMar>
            <w:top w:w="0" w:type="dxa"/>
            <w:left w:w="108" w:type="dxa"/>
            <w:bottom w:w="0" w:type="dxa"/>
            <w:right w:w="108" w:type="dxa"/>
          </w:tblCellMar>
        </w:tblPrEx>
        <w:trPr>
          <w:trHeight w:val="822"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507365" cy="666750"/>
                  <wp:effectExtent l="0" t="0" r="63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07365" cy="666750"/>
                          </a:xfrm>
                          <a:prstGeom prst="rect">
                            <a:avLst/>
                          </a:prstGeom>
                          <a:noFill/>
                          <a:ln w="9525">
                            <a:noFill/>
                          </a:ln>
                        </pic:spPr>
                      </pic:pic>
                    </a:graphicData>
                  </a:graphic>
                </wp:inline>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highlight w:val="none"/>
                <w:lang w:val="en-US" w:eastAsia="zh-CN"/>
                <w14:textFill>
                  <w14:solidFill>
                    <w14:schemeClr w14:val="tx1"/>
                  </w14:solidFill>
                </w14:textFill>
              </w:rPr>
            </w:pPr>
            <w:r>
              <w:rPr>
                <w:rFonts w:hint="eastAsia" w:ascii="宋体" w:hAnsi="宋体" w:cs="宋体"/>
                <w:color w:val="000000" w:themeColor="text1"/>
                <w:kern w:val="0"/>
                <w:sz w:val="22"/>
                <w:highlight w:val="none"/>
                <w:lang w:val="en-US" w:eastAsia="zh-CN"/>
                <w14:textFill>
                  <w14:solidFill>
                    <w14:schemeClr w14:val="tx1"/>
                  </w14:solidFill>
                </w14:textFill>
              </w:rPr>
              <w:t>速溶氯片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3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40005</wp:posOffset>
                  </wp:positionV>
                  <wp:extent cx="443865" cy="418465"/>
                  <wp:effectExtent l="0" t="0" r="635" b="63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443865"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次氯酸钠--液体</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1400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1312" behindDoc="0" locked="0" layoutInCell="1" allowOverlap="1">
                  <wp:simplePos x="0" y="0"/>
                  <wp:positionH relativeFrom="column">
                    <wp:posOffset>91440</wp:posOffset>
                  </wp:positionH>
                  <wp:positionV relativeFrom="paragraph">
                    <wp:posOffset>65405</wp:posOffset>
                  </wp:positionV>
                  <wp:extent cx="495300" cy="367030"/>
                  <wp:effectExtent l="0" t="0" r="0" b="127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495300"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PH降低剂（酸性）</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120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66"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4</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4384" behindDoc="0" locked="0" layoutInCell="1" allowOverlap="1">
                  <wp:simplePos x="0" y="0"/>
                  <wp:positionH relativeFrom="column">
                    <wp:posOffset>26035</wp:posOffset>
                  </wp:positionH>
                  <wp:positionV relativeFrom="paragraph">
                    <wp:posOffset>144780</wp:posOffset>
                  </wp:positionV>
                  <wp:extent cx="611505" cy="367030"/>
                  <wp:effectExtent l="0" t="0" r="10795" b="1270"/>
                  <wp:wrapNone/>
                  <wp:docPr id="3" name="图片 3" descr="臭氧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臭氧粉.jpg"/>
                          <pic:cNvPicPr>
                            <a:picLocks noChangeAspect="1"/>
                          </pic:cNvPicPr>
                        </pic:nvPicPr>
                        <pic:blipFill>
                          <a:blip r:embed="rId11"/>
                          <a:stretch>
                            <a:fillRect/>
                          </a:stretch>
                        </pic:blipFill>
                        <pic:spPr>
                          <a:xfrm>
                            <a:off x="0" y="0"/>
                            <a:ext cx="611505"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臭氧粉</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8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5</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2336" behindDoc="0" locked="0" layoutInCell="1" allowOverlap="1">
                  <wp:simplePos x="0" y="0"/>
                  <wp:positionH relativeFrom="column">
                    <wp:posOffset>-36195</wp:posOffset>
                  </wp:positionH>
                  <wp:positionV relativeFrom="paragraph">
                    <wp:posOffset>70485</wp:posOffset>
                  </wp:positionV>
                  <wp:extent cx="641985" cy="353695"/>
                  <wp:effectExtent l="0" t="0" r="5715" b="1905"/>
                  <wp:wrapNone/>
                  <wp:docPr id="4" name="图片 4" descr="超级浓缩澄清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超级浓缩澄清剂.jpg"/>
                          <pic:cNvPicPr>
                            <a:picLocks noChangeAspect="1"/>
                          </pic:cNvPicPr>
                        </pic:nvPicPr>
                        <pic:blipFill>
                          <a:blip r:embed="rId12"/>
                          <a:stretch>
                            <a:fillRect/>
                          </a:stretch>
                        </pic:blipFill>
                        <pic:spPr>
                          <a:xfrm>
                            <a:off x="0" y="0"/>
                            <a:ext cx="64198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超级浓缩澄清剂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350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9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6</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3360" behindDoc="0" locked="0" layoutInCell="1" allowOverlap="1">
                  <wp:simplePos x="0" y="0"/>
                  <wp:positionH relativeFrom="column">
                    <wp:posOffset>-5715</wp:posOffset>
                  </wp:positionH>
                  <wp:positionV relativeFrom="paragraph">
                    <wp:posOffset>63500</wp:posOffset>
                  </wp:positionV>
                  <wp:extent cx="591185" cy="373380"/>
                  <wp:effectExtent l="0" t="0" r="5715" b="7620"/>
                  <wp:wrapNone/>
                  <wp:docPr id="2" name="图片 2" descr="C:\Documents and Settings\admin\Application Data\Tencent\Users\971476026\QQ\WinTemp\RichOle\LCQ}U937BR{2LD%AC~[2N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Application Data\Tencent\Users\971476026\QQ\WinTemp\RichOle\LCQ}U937BR{2LD%AC~[2N69.jpg"/>
                          <pic:cNvPicPr>
                            <a:picLocks noChangeAspect="1"/>
                          </pic:cNvPicPr>
                        </pic:nvPicPr>
                        <pic:blipFill>
                          <a:blip r:embed="rId13"/>
                          <a:stretch>
                            <a:fillRect/>
                          </a:stretch>
                        </pic:blipFill>
                        <pic:spPr>
                          <a:xfrm>
                            <a:off x="0" y="0"/>
                            <a:ext cx="591185" cy="37338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氯中和剂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75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7</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5408" behindDoc="0" locked="0" layoutInCell="1" allowOverlap="1">
                  <wp:simplePos x="0" y="0"/>
                  <wp:positionH relativeFrom="column">
                    <wp:posOffset>97155</wp:posOffset>
                  </wp:positionH>
                  <wp:positionV relativeFrom="paragraph">
                    <wp:posOffset>13970</wp:posOffset>
                  </wp:positionV>
                  <wp:extent cx="466725" cy="443865"/>
                  <wp:effectExtent l="0" t="0" r="3175" b="63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466725" cy="4438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除藻剂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8</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6432" behindDoc="0" locked="0" layoutInCell="1" allowOverlap="1">
                  <wp:simplePos x="0" y="0"/>
                  <wp:positionH relativeFrom="column">
                    <wp:posOffset>98425</wp:posOffset>
                  </wp:positionH>
                  <wp:positionV relativeFrom="paragraph">
                    <wp:posOffset>26035</wp:posOffset>
                  </wp:positionV>
                  <wp:extent cx="384810" cy="418465"/>
                  <wp:effectExtent l="0" t="0" r="8890" b="63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384810"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尿素去除剂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0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9</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7456" behindDoc="0" locked="0" layoutInCell="1" allowOverlap="1">
                  <wp:simplePos x="0" y="0"/>
                  <wp:positionH relativeFrom="column">
                    <wp:posOffset>100965</wp:posOffset>
                  </wp:positionH>
                  <wp:positionV relativeFrom="paragraph">
                    <wp:posOffset>100965</wp:posOffset>
                  </wp:positionV>
                  <wp:extent cx="494665" cy="353695"/>
                  <wp:effectExtent l="0" t="0" r="635" b="190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49466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百灵达测试药片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250片/盒</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13"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kern w:val="0"/>
                <w:sz w:val="22"/>
                <w:lang w:val="en-US" w:eastAsia="zh-CN"/>
                <w14:textFill>
                  <w14:solidFill>
                    <w14:schemeClr w14:val="tx1"/>
                  </w14:solidFill>
                </w14:textFill>
              </w:rPr>
              <w:t>0</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8480" behindDoc="0" locked="0" layoutInCell="1" allowOverlap="1">
                  <wp:simplePos x="0" y="0"/>
                  <wp:positionH relativeFrom="column">
                    <wp:posOffset>50165</wp:posOffset>
                  </wp:positionH>
                  <wp:positionV relativeFrom="paragraph">
                    <wp:posOffset>48260</wp:posOffset>
                  </wp:positionV>
                  <wp:extent cx="598805" cy="392430"/>
                  <wp:effectExtent l="0" t="0" r="10795" b="127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98805" cy="3924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highlight w:val="none"/>
                <w14:textFill>
                  <w14:solidFill>
                    <w14:schemeClr w14:val="tx1"/>
                  </w14:solidFill>
                </w14:textFill>
              </w:rPr>
            </w:pPr>
            <w:r>
              <w:rPr>
                <w:rFonts w:hint="eastAsia" w:ascii="宋体" w:hAnsi="宋体" w:cs="宋体"/>
                <w:color w:val="000000" w:themeColor="text1"/>
                <w:kern w:val="0"/>
                <w:sz w:val="22"/>
                <w:highlight w:val="none"/>
                <w14:textFill>
                  <w14:solidFill>
                    <w14:schemeClr w14:val="tx1"/>
                  </w14:solidFill>
                </w14:textFill>
              </w:rPr>
              <w:t>彩虹二合一测试盒</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余氯、PH值</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8" w:hRule="atLeast"/>
        </w:trPr>
        <w:tc>
          <w:tcPr>
            <w:tcW w:w="7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eastAsia="zh-CN"/>
                <w14:textFill>
                  <w14:solidFill>
                    <w14:schemeClr w14:val="tx1"/>
                  </w14:solidFill>
                </w14:textFill>
              </w:rPr>
            </w:pPr>
            <w:r>
              <w:rPr>
                <w:rFonts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kern w:val="0"/>
                <w:sz w:val="22"/>
                <w:lang w:val="en-US" w:eastAsia="zh-CN"/>
                <w14:textFill>
                  <w14:solidFill>
                    <w14:schemeClr w14:val="tx1"/>
                  </w14:solidFill>
                </w14:textFill>
              </w:rPr>
              <w:t>1</w:t>
            </w:r>
          </w:p>
        </w:tc>
        <w:tc>
          <w:tcPr>
            <w:tcW w:w="1334"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70528" behindDoc="0" locked="0" layoutInCell="1" allowOverlap="1">
                  <wp:simplePos x="0" y="0"/>
                  <wp:positionH relativeFrom="column">
                    <wp:posOffset>431800</wp:posOffset>
                  </wp:positionH>
                  <wp:positionV relativeFrom="paragraph">
                    <wp:posOffset>125730</wp:posOffset>
                  </wp:positionV>
                  <wp:extent cx="276860" cy="353695"/>
                  <wp:effectExtent l="0" t="0" r="2540" b="190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276860" cy="353695"/>
                          </a:xfrm>
                          <a:prstGeom prst="rect">
                            <a:avLst/>
                          </a:prstGeom>
                          <a:noFill/>
                          <a:ln w="9525">
                            <a:noFill/>
                          </a:ln>
                        </pic:spPr>
                      </pic:pic>
                    </a:graphicData>
                  </a:graphic>
                </wp:anchor>
              </w:drawing>
            </w:r>
            <w:r>
              <w:rPr>
                <w:rFonts w:ascii="宋体" w:hAnsi="宋体" w:cs="宋体"/>
                <w:color w:val="000000" w:themeColor="text1"/>
                <w:kern w:val="0"/>
                <w:sz w:val="22"/>
                <w14:textFill>
                  <w14:solidFill>
                    <w14:schemeClr w14:val="tx1"/>
                  </w14:solidFill>
                </w14:textFill>
              </w:rPr>
              <w:drawing>
                <wp:anchor distT="0" distB="0" distL="114300" distR="114300" simplePos="0" relativeHeight="251669504" behindDoc="0" locked="0" layoutInCell="1" allowOverlap="1">
                  <wp:simplePos x="0" y="0"/>
                  <wp:positionH relativeFrom="column">
                    <wp:posOffset>3810</wp:posOffset>
                  </wp:positionH>
                  <wp:positionV relativeFrom="paragraph">
                    <wp:posOffset>118110</wp:posOffset>
                  </wp:positionV>
                  <wp:extent cx="328295" cy="353695"/>
                  <wp:effectExtent l="0" t="0" r="1905" b="190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328295" cy="353695"/>
                          </a:xfrm>
                          <a:prstGeom prst="rect">
                            <a:avLst/>
                          </a:prstGeom>
                          <a:noFill/>
                          <a:ln w="9525">
                            <a:noFill/>
                          </a:ln>
                        </pic:spPr>
                      </pic:pic>
                    </a:graphicData>
                  </a:graphic>
                </wp:anchor>
              </w:drawing>
            </w:r>
          </w:p>
        </w:tc>
        <w:tc>
          <w:tcPr>
            <w:tcW w:w="22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二合一测试盒补充液</w:t>
            </w:r>
          </w:p>
        </w:tc>
        <w:tc>
          <w:tcPr>
            <w:tcW w:w="13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250ML/瓶</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24</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12</w:t>
            </w:r>
          </w:p>
        </w:tc>
        <w:tc>
          <w:tcPr>
            <w:tcW w:w="1334"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709295" cy="742950"/>
                  <wp:effectExtent l="0" t="0" r="1905" b="635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0"/>
                          <a:stretch>
                            <a:fillRect/>
                          </a:stretch>
                        </pic:blipFill>
                        <pic:spPr>
                          <a:xfrm>
                            <a:off x="0" y="0"/>
                            <a:ext cx="709295" cy="742950"/>
                          </a:xfrm>
                          <a:prstGeom prst="rect">
                            <a:avLst/>
                          </a:prstGeom>
                          <a:noFill/>
                          <a:ln>
                            <a:noFill/>
                          </a:ln>
                        </pic:spPr>
                      </pic:pic>
                    </a:graphicData>
                  </a:graphic>
                </wp:inline>
              </w:drawing>
            </w:r>
          </w:p>
        </w:tc>
        <w:tc>
          <w:tcPr>
            <w:tcW w:w="22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百灵达三参数</w:t>
            </w:r>
          </w:p>
        </w:tc>
        <w:tc>
          <w:tcPr>
            <w:tcW w:w="13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余氯、氰尿酸、PH值等</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8220" w:type="dxa"/>
            <w:gridSpan w:val="6"/>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合计</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bl>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注：中标人须免费将所有货物送至招标人指定地点</w:t>
      </w:r>
    </w:p>
    <w:p>
      <w:pPr>
        <w:spacing w:line="360" w:lineRule="auto"/>
        <w:ind w:firstLine="482" w:firstLineChars="200"/>
        <w:rPr>
          <w:rFonts w:hint="eastAsia" w:ascii="宋体" w:hAnsi="宋体"/>
          <w:b/>
          <w:color w:val="000000" w:themeColor="text1"/>
          <w:sz w:val="24"/>
          <w:szCs w:val="28"/>
          <w14:textFill>
            <w14:solidFill>
              <w14:schemeClr w14:val="tx1"/>
            </w14:solidFill>
          </w14:textFill>
        </w:rPr>
      </w:pP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四、</w:t>
      </w:r>
      <w:r>
        <w:rPr>
          <w:rFonts w:hint="eastAsia" w:ascii="宋体" w:hAnsi="宋体"/>
          <w:b/>
          <w:color w:val="000000" w:themeColor="text1"/>
          <w:sz w:val="24"/>
          <w:szCs w:val="24"/>
          <w14:textFill>
            <w14:solidFill>
              <w14:schemeClr w14:val="tx1"/>
            </w14:solidFill>
          </w14:textFill>
        </w:rPr>
        <w:t>报价要求</w:t>
      </w:r>
    </w:p>
    <w:p>
      <w:pPr>
        <w:spacing w:line="360" w:lineRule="auto"/>
        <w:ind w:firstLine="481"/>
        <w:rPr>
          <w:rFonts w:ascii="宋体" w:hAnsi="宋体"/>
          <w:color w:val="000000" w:themeColor="text1"/>
          <w:sz w:val="24"/>
          <w:szCs w:val="28"/>
          <w14:textFill>
            <w14:solidFill>
              <w14:schemeClr w14:val="tx1"/>
            </w14:solidFill>
          </w14:textFill>
        </w:rPr>
      </w:pPr>
      <w:r>
        <w:rPr>
          <w:rFonts w:hint="eastAsia" w:ascii="宋体" w:hAnsi="宋体"/>
          <w:color w:val="auto"/>
          <w:sz w:val="24"/>
          <w:szCs w:val="28"/>
        </w:rPr>
        <w:t>投标人须报全年药剂的投标总价</w:t>
      </w:r>
      <w:r>
        <w:rPr>
          <w:rFonts w:hint="eastAsia" w:ascii="宋体" w:hAnsi="宋体"/>
          <w:color w:val="auto"/>
          <w:sz w:val="24"/>
          <w:szCs w:val="28"/>
          <w:lang w:val="en-US" w:eastAsia="zh-CN"/>
        </w:rPr>
        <w:t>及药剂单价</w:t>
      </w:r>
      <w:r>
        <w:rPr>
          <w:rFonts w:hint="eastAsia" w:ascii="宋体" w:hAnsi="宋体"/>
          <w:color w:val="auto"/>
          <w:sz w:val="24"/>
          <w:szCs w:val="28"/>
        </w:rPr>
        <w:t>，投标总价作为定标的依据。投标总价</w:t>
      </w:r>
      <w:r>
        <w:rPr>
          <w:rFonts w:hint="eastAsia" w:ascii="宋体" w:hAnsi="宋体"/>
          <w:color w:val="000000" w:themeColor="text1"/>
          <w:sz w:val="24"/>
          <w:szCs w:val="28"/>
          <w14:textFill>
            <w14:solidFill>
              <w14:schemeClr w14:val="tx1"/>
            </w14:solidFill>
          </w14:textFill>
        </w:rPr>
        <w:t>包括但不限于全年药剂产品（主要及辅助材料）的购买费、包装费、人工费、运输、装卸、加工（含加工过程中的主要及辅助材料损耗）、验收、维保、培训、利润、税金</w:t>
      </w:r>
      <w:r>
        <w:rPr>
          <w:rFonts w:hint="eastAsia" w:ascii="宋体" w:hAnsi="宋体"/>
          <w:color w:val="000000" w:themeColor="text1"/>
          <w:sz w:val="24"/>
          <w:szCs w:val="28"/>
          <w:lang w:eastAsia="zh-CN"/>
          <w14:textFill>
            <w14:solidFill>
              <w14:schemeClr w14:val="tx1"/>
            </w14:solidFill>
          </w14:textFill>
        </w:rPr>
        <w:t>、</w:t>
      </w:r>
      <w:r>
        <w:rPr>
          <w:rFonts w:hint="eastAsia" w:ascii="宋体" w:hAnsi="宋体"/>
          <w:color w:val="000000" w:themeColor="text1"/>
          <w:sz w:val="24"/>
          <w:szCs w:val="28"/>
          <w:lang w:val="en-US" w:eastAsia="zh-CN"/>
          <w14:textFill>
            <w14:solidFill>
              <w14:schemeClr w14:val="tx1"/>
            </w14:solidFill>
          </w14:textFill>
        </w:rPr>
        <w:t>水质养护及投药设备维护</w:t>
      </w:r>
      <w:r>
        <w:rPr>
          <w:rFonts w:hint="eastAsia" w:ascii="宋体" w:hAnsi="宋体"/>
          <w:color w:val="000000" w:themeColor="text1"/>
          <w:sz w:val="24"/>
          <w:szCs w:val="28"/>
          <w14:textFill>
            <w14:solidFill>
              <w14:schemeClr w14:val="tx1"/>
            </w14:solidFill>
          </w14:textFill>
        </w:rPr>
        <w:t>等完成招标需求全部</w:t>
      </w:r>
      <w:r>
        <w:rPr>
          <w:rFonts w:hint="eastAsia" w:ascii="宋体" w:hAnsi="宋体"/>
          <w:bCs/>
          <w:color w:val="000000" w:themeColor="text1"/>
          <w:sz w:val="24"/>
          <w14:textFill>
            <w14:solidFill>
              <w14:schemeClr w14:val="tx1"/>
            </w14:solidFill>
          </w14:textFill>
        </w:rPr>
        <w:t>内容</w:t>
      </w:r>
      <w:r>
        <w:rPr>
          <w:rFonts w:hint="eastAsia" w:ascii="宋体" w:hAnsi="宋体"/>
          <w:color w:val="000000" w:themeColor="text1"/>
          <w:sz w:val="24"/>
          <w:szCs w:val="28"/>
          <w:lang w:val="en-US" w:eastAsia="zh-CN"/>
          <w14:textFill>
            <w14:solidFill>
              <w14:schemeClr w14:val="tx1"/>
            </w14:solidFill>
          </w14:textFill>
        </w:rPr>
        <w:t>及</w:t>
      </w:r>
      <w:r>
        <w:rPr>
          <w:rFonts w:hint="eastAsia" w:ascii="宋体" w:hAnsi="宋体"/>
          <w:color w:val="000000" w:themeColor="text1"/>
          <w:sz w:val="24"/>
          <w:szCs w:val="28"/>
          <w14:textFill>
            <w14:solidFill>
              <w14:schemeClr w14:val="tx1"/>
            </w14:solidFill>
          </w14:textFill>
        </w:rPr>
        <w:t>费用</w:t>
      </w:r>
      <w:r>
        <w:rPr>
          <w:rFonts w:hint="eastAsia" w:ascii="宋体" w:hAnsi="宋体"/>
          <w:color w:val="000000" w:themeColor="text1"/>
          <w:sz w:val="24"/>
          <w:szCs w:val="28"/>
          <w:lang w:eastAsia="zh-CN"/>
          <w14:textFill>
            <w14:solidFill>
              <w14:schemeClr w14:val="tx1"/>
            </w14:solidFill>
          </w14:textFill>
        </w:rPr>
        <w:t>，</w:t>
      </w:r>
      <w:r>
        <w:rPr>
          <w:rFonts w:hint="eastAsia" w:ascii="宋体" w:hAnsi="宋体"/>
          <w:color w:val="000000" w:themeColor="text1"/>
          <w:sz w:val="24"/>
          <w:szCs w:val="28"/>
          <w14:textFill>
            <w14:solidFill>
              <w14:schemeClr w14:val="tx1"/>
            </w14:solidFill>
          </w14:textFill>
        </w:rPr>
        <w:t>投标报价总价不得高于项目概算。</w:t>
      </w:r>
    </w:p>
    <w:p>
      <w:pPr>
        <w:spacing w:line="360" w:lineRule="auto"/>
        <w:ind w:firstLine="481"/>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五、服务要求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对</w:t>
      </w:r>
      <w:r>
        <w:rPr>
          <w:rFonts w:hint="eastAsia" w:ascii="宋体" w:hAnsi="宋体"/>
          <w:bCs/>
          <w:color w:val="000000" w:themeColor="text1"/>
          <w:sz w:val="24"/>
          <w14:textFill>
            <w14:solidFill>
              <w14:schemeClr w14:val="tx1"/>
            </w14:solidFill>
          </w14:textFill>
        </w:rPr>
        <w:t>泳池药剂在线水质监测设备及自动投药系统</w:t>
      </w:r>
      <w:r>
        <w:rPr>
          <w:rFonts w:hint="eastAsia" w:ascii="宋体" w:hAnsi="宋体"/>
          <w:bCs/>
          <w:color w:val="000000" w:themeColor="text1"/>
          <w:sz w:val="24"/>
          <w:lang w:val="en-US" w:eastAsia="zh-CN"/>
          <w14:textFill>
            <w14:solidFill>
              <w14:schemeClr w14:val="tx1"/>
            </w14:solidFill>
          </w14:textFill>
        </w:rPr>
        <w:t>进行定期维护</w:t>
      </w:r>
      <w:r>
        <w:rPr>
          <w:rFonts w:hint="eastAsia" w:ascii="宋体" w:hAnsi="宋体"/>
          <w:bCs/>
          <w:color w:val="000000" w:themeColor="text1"/>
          <w:sz w:val="24"/>
          <w14:textFill>
            <w14:solidFill>
              <w14:schemeClr w14:val="tx1"/>
            </w14:solidFill>
          </w14:textFill>
        </w:rPr>
        <w:t>，确保泳池药剂为自动投加，自动检测（水处理药剂主要</w:t>
      </w:r>
      <w:r>
        <w:rPr>
          <w:rFonts w:hint="eastAsia" w:ascii="宋体" w:hAnsi="宋体" w:eastAsia="宋体" w:cs="宋体"/>
          <w:color w:val="000000" w:themeColor="text1"/>
          <w:kern w:val="2"/>
          <w:sz w:val="24"/>
          <w:szCs w:val="24"/>
          <w:lang w:val="en-US" w:eastAsia="zh-CN" w:bidi="ar-SA"/>
          <w14:textFill>
            <w14:solidFill>
              <w14:schemeClr w14:val="tx1"/>
            </w14:solidFill>
          </w14:textFill>
        </w:rPr>
        <w:t>包括不限于</w:t>
      </w:r>
      <w:r>
        <w:rPr>
          <w:rFonts w:hint="eastAsia" w:ascii="宋体" w:hAnsi="宋体"/>
          <w:bCs/>
          <w:color w:val="000000" w:themeColor="text1"/>
          <w:sz w:val="24"/>
          <w:lang w:val="en-US" w:eastAsia="zh-CN"/>
          <w14:textFill>
            <w14:solidFill>
              <w14:schemeClr w14:val="tx1"/>
            </w14:solidFill>
          </w14:textFill>
        </w:rPr>
        <w:t>次氯酸钠</w:t>
      </w:r>
      <w:r>
        <w:rPr>
          <w:rFonts w:hint="eastAsia" w:ascii="宋体" w:hAnsi="宋体" w:eastAsia="宋体" w:cs="宋体"/>
          <w:color w:val="000000" w:themeColor="text1"/>
          <w:kern w:val="2"/>
          <w:sz w:val="24"/>
          <w:szCs w:val="24"/>
          <w:lang w:val="en-US" w:eastAsia="zh-CN" w:bidi="ar-SA"/>
          <w14:textFill>
            <w14:solidFill>
              <w14:schemeClr w14:val="tx1"/>
            </w14:solidFill>
          </w14:textFill>
        </w:rPr>
        <w:t>、杀菌剂、</w:t>
      </w:r>
      <w:r>
        <w:rPr>
          <w:rFonts w:hint="eastAsia" w:ascii="宋体" w:hAnsi="宋体" w:cs="宋体"/>
          <w:color w:val="000000" w:themeColor="text1"/>
          <w:kern w:val="2"/>
          <w:sz w:val="24"/>
          <w:szCs w:val="24"/>
          <w:lang w:val="en-US" w:eastAsia="zh-CN" w:bidi="ar-SA"/>
          <w14:textFill>
            <w14:solidFill>
              <w14:schemeClr w14:val="tx1"/>
            </w14:solidFill>
          </w14:textFill>
        </w:rPr>
        <w:t>超级浓缩</w:t>
      </w:r>
      <w:r>
        <w:rPr>
          <w:rFonts w:hint="eastAsia" w:ascii="宋体" w:hAnsi="宋体" w:eastAsia="宋体" w:cs="宋体"/>
          <w:color w:val="000000" w:themeColor="text1"/>
          <w:kern w:val="2"/>
          <w:sz w:val="24"/>
          <w:szCs w:val="24"/>
          <w:lang w:val="en-US" w:eastAsia="zh-CN" w:bidi="ar-SA"/>
          <w14:textFill>
            <w14:solidFill>
              <w14:schemeClr w14:val="tx1"/>
            </w14:solidFill>
          </w14:textFill>
        </w:rPr>
        <w:t>澄清剂、除藻剂、</w:t>
      </w:r>
      <w:r>
        <w:rPr>
          <w:rFonts w:hint="eastAsia" w:ascii="宋体" w:hAnsi="宋体" w:cs="宋体"/>
          <w:color w:val="000000" w:themeColor="text1"/>
          <w:kern w:val="2"/>
          <w:sz w:val="24"/>
          <w:szCs w:val="24"/>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lang w:val="en-US" w:eastAsia="zh-CN" w:bidi="ar-SA"/>
          <w14:textFill>
            <w14:solidFill>
              <w14:schemeClr w14:val="tx1"/>
            </w14:solidFill>
          </w14:textFill>
        </w:rPr>
        <w:t>中和剂、PH降低剂、速溶</w:t>
      </w:r>
      <w:r>
        <w:rPr>
          <w:rFonts w:hint="eastAsia" w:ascii="宋体" w:hAnsi="宋体" w:cs="宋体"/>
          <w:color w:val="000000" w:themeColor="text1"/>
          <w:kern w:val="2"/>
          <w:sz w:val="24"/>
          <w:szCs w:val="24"/>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lang w:val="en-US" w:eastAsia="zh-CN" w:bidi="ar-SA"/>
          <w14:textFill>
            <w14:solidFill>
              <w14:schemeClr w14:val="tx1"/>
            </w14:solidFill>
          </w14:textFill>
        </w:rPr>
        <w:t>片等</w:t>
      </w:r>
      <w:r>
        <w:rPr>
          <w:rFonts w:hint="eastAsia" w:ascii="宋体" w:hAnsi="宋体"/>
          <w:bCs/>
          <w:color w:val="000000" w:themeColor="text1"/>
          <w:sz w:val="24"/>
          <w14:textFill>
            <w14:solidFill>
              <w14:schemeClr w14:val="tx1"/>
            </w14:solidFill>
          </w14:textFill>
        </w:rPr>
        <w:t>）</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正常运行</w:t>
      </w:r>
      <w:r>
        <w:rPr>
          <w:rFonts w:hint="eastAsia" w:ascii="宋体" w:hAnsi="宋体"/>
          <w:bCs/>
          <w:color w:val="000000" w:themeColor="text1"/>
          <w:sz w:val="24"/>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w:t>
      </w:r>
      <w:r>
        <w:rPr>
          <w:rFonts w:hint="eastAsia" w:ascii="宋体" w:hAnsi="宋体" w:cs="宋体"/>
          <w:color w:val="000000" w:themeColor="text1"/>
          <w:kern w:val="2"/>
          <w:sz w:val="24"/>
          <w:szCs w:val="24"/>
          <w:lang w:val="en-US" w:eastAsia="zh-CN" w:bidi="ar-SA"/>
          <w14:textFill>
            <w14:solidFill>
              <w14:schemeClr w14:val="tx1"/>
            </w14:solidFill>
          </w14:textFill>
        </w:rPr>
        <w:t>每次药剂送货上门</w:t>
      </w: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提供供货清单，</w:t>
      </w:r>
      <w:r>
        <w:rPr>
          <w:rFonts w:hint="eastAsia" w:ascii="宋体" w:hAnsi="宋体" w:cs="宋体"/>
          <w:color w:val="000000" w:themeColor="text1"/>
          <w:kern w:val="2"/>
          <w:sz w:val="24"/>
          <w:szCs w:val="24"/>
          <w:lang w:val="en-US" w:eastAsia="zh-CN" w:bidi="ar-SA"/>
          <w14:textFill>
            <w14:solidFill>
              <w14:schemeClr w14:val="tx1"/>
            </w14:solidFill>
          </w14:textFill>
        </w:rPr>
        <w:t>产品合格证，检验报告等，</w:t>
      </w:r>
      <w:r>
        <w:rPr>
          <w:rFonts w:hint="eastAsia" w:ascii="宋体" w:hAnsi="宋体" w:eastAsia="宋体" w:cs="宋体"/>
          <w:color w:val="000000" w:themeColor="text1"/>
          <w:kern w:val="2"/>
          <w:sz w:val="24"/>
          <w:szCs w:val="24"/>
          <w:lang w:val="en-US" w:eastAsia="zh-CN" w:bidi="ar-SA"/>
          <w14:textFill>
            <w14:solidFill>
              <w14:schemeClr w14:val="tx1"/>
            </w14:solidFill>
          </w14:textFill>
        </w:rPr>
        <w:t>并由专人签字确认保管</w:t>
      </w:r>
      <w:r>
        <w:rPr>
          <w:rFonts w:hint="eastAsia" w:ascii="宋体" w:hAnsi="宋体"/>
          <w:bCs/>
          <w:color w:val="000000" w:themeColor="text1"/>
          <w:sz w:val="24"/>
          <w14:textFill>
            <w14:solidFill>
              <w14:schemeClr w14:val="tx1"/>
            </w14:solidFill>
          </w14:textFill>
        </w:rPr>
        <w:t>；</w:t>
      </w:r>
    </w:p>
    <w:p>
      <w:pPr>
        <w:spacing w:line="360" w:lineRule="auto"/>
        <w:ind w:firstLine="481"/>
        <w:rPr>
          <w:rFonts w:ascii="宋体" w:hAnsi="宋体"/>
          <w:bCs/>
          <w:color w:val="auto"/>
          <w:sz w:val="24"/>
        </w:rPr>
      </w:pPr>
      <w:r>
        <w:rPr>
          <w:rFonts w:hint="eastAsia" w:ascii="宋体" w:hAnsi="宋体"/>
          <w:bCs/>
          <w:color w:val="000000" w:themeColor="text1"/>
          <w:sz w:val="24"/>
          <w14:textFill>
            <w14:solidFill>
              <w14:schemeClr w14:val="tx1"/>
            </w14:solidFill>
          </w14:textFill>
        </w:rPr>
        <w:t>3．</w:t>
      </w:r>
      <w:r>
        <w:rPr>
          <w:rFonts w:hint="eastAsia" w:ascii="宋体" w:hAnsi="宋体" w:eastAsia="宋体" w:cs="宋体"/>
          <w:color w:val="000000" w:themeColor="text1"/>
          <w:kern w:val="2"/>
          <w:sz w:val="24"/>
          <w:szCs w:val="24"/>
          <w:lang w:val="en-US" w:eastAsia="zh-CN" w:bidi="ar-SA"/>
          <w14:textFill>
            <w14:solidFill>
              <w14:schemeClr w14:val="tx1"/>
            </w14:solidFill>
          </w14:textFill>
        </w:rPr>
        <w:t>专人</w:t>
      </w:r>
      <w:r>
        <w:rPr>
          <w:rFonts w:hint="eastAsia" w:ascii="宋体" w:hAnsi="宋体" w:cs="宋体"/>
          <w:color w:val="000000" w:themeColor="text1"/>
          <w:kern w:val="2"/>
          <w:sz w:val="24"/>
          <w:szCs w:val="24"/>
          <w:lang w:val="en-US" w:eastAsia="zh-CN" w:bidi="ar-SA"/>
          <w14:textFill>
            <w14:solidFill>
              <w14:schemeClr w14:val="tx1"/>
            </w14:solidFill>
          </w14:textFill>
        </w:rPr>
        <w:t>定期</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服务，定期提供游泳馆水质检测</w:t>
      </w:r>
      <w:r>
        <w:rPr>
          <w:rFonts w:hint="eastAsia" w:ascii="宋体" w:hAnsi="宋体" w:cs="宋体"/>
          <w:color w:val="000000" w:themeColor="text1"/>
          <w:kern w:val="2"/>
          <w:sz w:val="24"/>
          <w:szCs w:val="24"/>
          <w:lang w:val="en-US" w:eastAsia="zh-CN" w:bidi="ar-SA"/>
          <w14:textFill>
            <w14:solidFill>
              <w14:schemeClr w14:val="tx1"/>
            </w14:solidFill>
          </w14:textFill>
        </w:rPr>
        <w:t>并出具</w:t>
      </w:r>
      <w:r>
        <w:rPr>
          <w:rFonts w:hint="eastAsia" w:ascii="宋体" w:hAnsi="宋体" w:eastAsia="宋体" w:cs="宋体"/>
          <w:color w:val="000000" w:themeColor="text1"/>
          <w:kern w:val="2"/>
          <w:sz w:val="24"/>
          <w:szCs w:val="24"/>
          <w:lang w:val="en-US" w:eastAsia="zh-CN" w:bidi="ar-SA"/>
          <w14:textFill>
            <w14:solidFill>
              <w14:schemeClr w14:val="tx1"/>
            </w14:solidFill>
          </w14:textFill>
        </w:rPr>
        <w:t>分析工作报告（一周一次）</w:t>
      </w:r>
      <w:r>
        <w:rPr>
          <w:rFonts w:hint="eastAsia" w:ascii="宋体" w:hAnsi="宋体"/>
          <w:bCs/>
          <w:color w:val="auto"/>
          <w:sz w:val="24"/>
        </w:rPr>
        <w:t>；</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4．协助水质相关问题的处理工作，提供有效处理方案；</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5．负责对游泳馆水质管理员进专业技术培训，及日常对接、配合工作；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6．协助卫生主管部门水质检查</w:t>
      </w:r>
      <w:r>
        <w:rPr>
          <w:rFonts w:hint="eastAsia" w:ascii="宋体" w:hAnsi="宋体"/>
          <w:bCs/>
          <w:color w:val="000000" w:themeColor="text1"/>
          <w:sz w:val="24"/>
          <w:lang w:val="en-US" w:eastAsia="zh-CN"/>
          <w14:textFill>
            <w14:solidFill>
              <w14:schemeClr w14:val="tx1"/>
            </w14:solidFill>
          </w14:textFill>
        </w:rPr>
        <w:t>等相关</w:t>
      </w:r>
      <w:r>
        <w:rPr>
          <w:rFonts w:hint="eastAsia" w:ascii="宋体" w:hAnsi="宋体"/>
          <w:bCs/>
          <w:color w:val="000000" w:themeColor="text1"/>
          <w:sz w:val="24"/>
          <w14:textFill>
            <w14:solidFill>
              <w14:schemeClr w14:val="tx1"/>
            </w14:solidFill>
          </w14:textFill>
        </w:rPr>
        <w:t>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7．配合参与其他与游泳馆水质相关的工作。</w:t>
      </w:r>
    </w:p>
    <w:p>
      <w:pPr>
        <w:tabs>
          <w:tab w:val="left" w:pos="0"/>
        </w:tabs>
        <w:spacing w:before="120" w:beforeLines="50" w:line="360" w:lineRule="auto"/>
        <w:ind w:left="-718" w:leftChars="-342" w:right="-82" w:rightChars="-39" w:firstLine="1323" w:firstLineChars="549"/>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b/>
          <w:bCs/>
          <w:color w:val="000000" w:themeColor="text1"/>
          <w:sz w:val="24"/>
          <w14:textFill>
            <w14:solidFill>
              <w14:schemeClr w14:val="tx1"/>
            </w14:solidFill>
          </w14:textFill>
        </w:rPr>
        <w:t>六、产品的质量及验收标准</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1．中标人向委托人供应的产品,其品种、规格、质量符合国家相关质量标准规范要求。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2．中标人供应的产品范围内,国家相关质量监督管理等部门或顾客如对中标人所供的产品存有疑义的,中标人负有证明该产品符合国家标准并配合委托人澄清事实妥善处理的义务。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3．中标人向委托人提供游泳池水质处理所需的所有药剂为合格正品。</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4．中标人承包合肥市体育中心游泳馆训练池、跳水池、</w:t>
      </w:r>
      <w:r>
        <w:rPr>
          <w:rFonts w:hint="eastAsia" w:ascii="宋体" w:hAnsi="宋体"/>
          <w:bCs/>
          <w:color w:val="000000" w:themeColor="text1"/>
          <w:sz w:val="24"/>
          <w:lang w:val="en-US" w:eastAsia="zh-CN"/>
          <w14:textFill>
            <w14:solidFill>
              <w14:schemeClr w14:val="tx1"/>
            </w14:solidFill>
          </w14:textFill>
        </w:rPr>
        <w:t>竞赛</w:t>
      </w:r>
      <w:r>
        <w:rPr>
          <w:rFonts w:hint="eastAsia" w:ascii="宋体" w:hAnsi="宋体"/>
          <w:bCs/>
          <w:color w:val="000000" w:themeColor="text1"/>
          <w:sz w:val="24"/>
          <w14:textFill>
            <w14:solidFill>
              <w14:schemeClr w14:val="tx1"/>
            </w14:solidFill>
          </w14:textFill>
        </w:rPr>
        <w:t>池三个泳池</w:t>
      </w:r>
      <w:r>
        <w:rPr>
          <w:rFonts w:hint="eastAsia" w:ascii="宋体" w:hAnsi="宋体"/>
          <w:bCs/>
          <w:color w:val="000000" w:themeColor="text1"/>
          <w:sz w:val="24"/>
          <w:lang w:val="en-US" w:eastAsia="zh-CN"/>
          <w14:textFill>
            <w14:solidFill>
              <w14:schemeClr w14:val="tx1"/>
            </w14:solidFill>
          </w14:textFill>
        </w:rPr>
        <w:t>及天湖全民健身中心泳池</w:t>
      </w:r>
      <w:r>
        <w:rPr>
          <w:rFonts w:hint="eastAsia" w:ascii="宋体" w:hAnsi="宋体"/>
          <w:bCs/>
          <w:color w:val="000000" w:themeColor="text1"/>
          <w:sz w:val="24"/>
          <w14:textFill>
            <w14:solidFill>
              <w14:schemeClr w14:val="tx1"/>
            </w14:solidFill>
          </w14:textFill>
        </w:rPr>
        <w:t>合作期间水质</w:t>
      </w:r>
      <w:r>
        <w:rPr>
          <w:rFonts w:hint="eastAsia" w:ascii="宋体" w:hAnsi="宋体"/>
          <w:bCs/>
          <w:color w:val="000000" w:themeColor="text1"/>
          <w:sz w:val="24"/>
          <w:lang w:val="en-US" w:eastAsia="zh-CN"/>
          <w14:textFill>
            <w14:solidFill>
              <w14:schemeClr w14:val="tx1"/>
            </w14:solidFill>
          </w14:textFill>
        </w:rPr>
        <w:t>检测</w:t>
      </w:r>
      <w:r>
        <w:rPr>
          <w:rFonts w:hint="eastAsia" w:ascii="宋体" w:hAnsi="宋体"/>
          <w:bCs/>
          <w:color w:val="000000" w:themeColor="text1"/>
          <w:sz w:val="24"/>
          <w14:textFill>
            <w14:solidFill>
              <w14:schemeClr w14:val="tx1"/>
            </w14:solidFill>
          </w14:textFill>
        </w:rPr>
        <w:t>养护</w:t>
      </w:r>
      <w:r>
        <w:rPr>
          <w:rFonts w:hint="eastAsia" w:ascii="宋体" w:hAnsi="宋体"/>
          <w:bCs/>
          <w:color w:val="000000" w:themeColor="text1"/>
          <w:sz w:val="24"/>
          <w:lang w:val="en-US" w:eastAsia="zh-CN"/>
          <w14:textFill>
            <w14:solidFill>
              <w14:schemeClr w14:val="tx1"/>
            </w14:solidFill>
          </w14:textFill>
        </w:rPr>
        <w:t>及药剂使用</w:t>
      </w:r>
      <w:r>
        <w:rPr>
          <w:rFonts w:hint="eastAsia" w:ascii="宋体" w:hAnsi="宋体"/>
          <w:bCs/>
          <w:color w:val="000000" w:themeColor="text1"/>
          <w:sz w:val="24"/>
          <w14:textFill>
            <w14:solidFill>
              <w14:schemeClr w14:val="tx1"/>
            </w14:solidFill>
          </w14:textFill>
        </w:rPr>
        <w:t>费用，不得超过中标价，超出部分由中标人自行承担。</w:t>
      </w:r>
    </w:p>
    <w:p>
      <w:pPr>
        <w:spacing w:line="360" w:lineRule="auto"/>
        <w:ind w:firstLine="481"/>
        <w:rPr>
          <w:rFonts w:hint="default" w:ascii="宋体" w:hAnsi="宋体" w:eastAsia="宋体"/>
          <w:bCs/>
          <w:color w:val="000000" w:themeColor="text1"/>
          <w:sz w:val="24"/>
          <w:lang w:val="en-US" w:eastAsia="zh-CN"/>
          <w14:textFill>
            <w14:solidFill>
              <w14:schemeClr w14:val="tx1"/>
            </w14:solidFill>
          </w14:textFill>
        </w:rPr>
      </w:pPr>
    </w:p>
    <w:p>
      <w:pPr>
        <w:spacing w:line="360" w:lineRule="auto"/>
        <w:rPr>
          <w:rFonts w:ascii="宋体" w:hAnsi="宋体"/>
          <w:bCs/>
          <w:color w:val="000000" w:themeColor="text1"/>
          <w:sz w:val="24"/>
          <w14:textFill>
            <w14:solidFill>
              <w14:schemeClr w14:val="tx1"/>
            </w14:solidFill>
          </w14:textFill>
        </w:rPr>
      </w:pPr>
    </w:p>
    <w:p>
      <w:pPr>
        <w:pStyle w:val="5"/>
        <w:spacing w:line="500" w:lineRule="exact"/>
        <w:jc w:val="center"/>
        <w:rPr>
          <w:rFonts w:ascii="宋体" w:hAnsi="宋体"/>
          <w:color w:val="000000" w:themeColor="text1"/>
          <w14:textFill>
            <w14:solidFill>
              <w14:schemeClr w14:val="tx1"/>
            </w14:solidFill>
          </w14:textFill>
        </w:rPr>
      </w:pPr>
      <w:bookmarkStart w:id="64" w:name="_Toc7187430"/>
      <w:bookmarkStart w:id="65" w:name="_Toc9997"/>
      <w:r>
        <w:rPr>
          <w:rFonts w:hint="eastAsia" w:ascii="宋体" w:hAnsi="宋体"/>
          <w:color w:val="000000" w:themeColor="text1"/>
          <w14:textFill>
            <w14:solidFill>
              <w14:schemeClr w14:val="tx1"/>
            </w14:solidFill>
          </w14:textFill>
        </w:rPr>
        <w:t>第五章 评标办法</w:t>
      </w:r>
      <w:bookmarkEnd w:id="24"/>
      <w:bookmarkEnd w:id="64"/>
      <w:bookmarkEnd w:id="65"/>
    </w:p>
    <w:p>
      <w:pPr>
        <w:adjustRightInd w:val="0"/>
        <w:snapToGrid w:val="0"/>
        <w:spacing w:line="360" w:lineRule="auto"/>
        <w:ind w:left="420" w:leftChars="200" w:right="-1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为做好合肥体育中心游泳馆及天鹅湖全民健身中心游泳馆</w:t>
      </w:r>
      <w:r>
        <w:rPr>
          <w:rFonts w:hint="eastAsia" w:ascii="宋体" w:hAnsi="宋体"/>
          <w:color w:val="000000" w:themeColor="text1"/>
          <w:sz w:val="24"/>
          <w:lang w:eastAsia="zh-CN"/>
          <w14:textFill>
            <w14:solidFill>
              <w14:schemeClr w14:val="tx1"/>
            </w14:solidFill>
          </w14:textFill>
        </w:rPr>
        <w:t>202</w:t>
      </w:r>
      <w:r>
        <w:rPr>
          <w:rFonts w:hint="eastAsia" w:ascii="宋体" w:hAnsi="宋体"/>
          <w:color w:val="000000" w:themeColor="text1"/>
          <w:sz w:val="24"/>
          <w:lang w:val="en-US" w:eastAsia="zh-CN"/>
          <w14:textFill>
            <w14:solidFill>
              <w14:schemeClr w14:val="tx1"/>
            </w14:solidFill>
          </w14:textFill>
        </w:rPr>
        <w:t>4</w:t>
      </w:r>
      <w:r>
        <w:rPr>
          <w:rFonts w:hint="eastAsia" w:ascii="宋体" w:hAnsi="宋体"/>
          <w:color w:val="000000" w:themeColor="text1"/>
          <w:sz w:val="24"/>
          <w14:textFill>
            <w14:solidFill>
              <w14:schemeClr w14:val="tx1"/>
            </w14:solidFill>
          </w14:textFill>
        </w:rPr>
        <w:t>年度水处理药剂及水质养护服务项目招标（项目编号：</w:t>
      </w:r>
      <w:r>
        <w:rPr>
          <w:rFonts w:hint="eastAsia" w:ascii="宋体" w:hAnsi="宋体"/>
          <w:color w:val="000000" w:themeColor="text1"/>
          <w:sz w:val="24"/>
          <w:lang w:eastAsia="zh-CN"/>
          <w14:textFill>
            <w14:solidFill>
              <w14:schemeClr w14:val="tx1"/>
            </w14:solidFill>
          </w14:textFill>
        </w:rPr>
        <w:t>2024TYGSCG02</w:t>
      </w:r>
      <w:r>
        <w:rPr>
          <w:rFonts w:hint="eastAsia" w:ascii="宋体" w:hAnsi="宋体"/>
          <w:color w:val="000000" w:themeColor="text1"/>
          <w:sz w:val="24"/>
          <w14:textFill>
            <w14:solidFill>
              <w14:schemeClr w14:val="tx1"/>
            </w14:solidFill>
          </w14:textFill>
        </w:rPr>
        <w:t>）的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pPr>
        <w:adjustRightInd w:val="0"/>
        <w:snapToGrid w:val="0"/>
        <w:spacing w:line="360" w:lineRule="auto"/>
        <w:ind w:right="-10" w:firstLine="422" w:firstLineChars="175"/>
        <w:rPr>
          <w:rFonts w:ascii="宋体" w:hAnsi="宋体"/>
          <w:color w:val="auto"/>
          <w:sz w:val="24"/>
          <w:szCs w:val="24"/>
        </w:rPr>
      </w:pPr>
      <w:bookmarkStart w:id="66" w:name="_Toc220232391"/>
      <w:r>
        <w:rPr>
          <w:rFonts w:hint="eastAsia" w:ascii="宋体" w:hAnsi="宋体"/>
          <w:b/>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本次项目评标采用</w:t>
      </w: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szCs w:val="24"/>
          <w14:textFill>
            <w14:solidFill>
              <w14:schemeClr w14:val="tx1"/>
            </w14:solidFill>
          </w14:textFill>
        </w:rPr>
        <w:t>作为对投标人标书的比较方法。</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本项目将依法组建不少于</w:t>
      </w: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人的评标委员会，负责本项目的评标工作。</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评标委员会按照“客观公正，实事求是”的原则，评价参加本次招标的投标人所提供的产品或服务价格、性能、质量、服务及对招标文件的符合性及响应性。</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有效投标应符合以下原则：</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5.1满足招标文件的实质性要求；</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5.2无重大偏离、保留或招标人不能接受的附加条件；</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5.3通过初审；</w:t>
      </w:r>
    </w:p>
    <w:p>
      <w:pPr>
        <w:adjustRightInd w:val="0"/>
        <w:snapToGrid w:val="0"/>
        <w:spacing w:line="360" w:lineRule="auto"/>
        <w:ind w:right="-1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5.4评标委员会依据招标文件认定的其他原则。</w:t>
      </w:r>
    </w:p>
    <w:p>
      <w:pPr>
        <w:adjustRightInd w:val="0"/>
        <w:snapToGrid w:val="0"/>
        <w:spacing w:line="360" w:lineRule="auto"/>
        <w:ind w:right="-10" w:firstLine="482" w:firstLineChars="200"/>
        <w:rPr>
          <w:rFonts w:ascii="宋体" w:hAnsi="宋体" w:cs="宋体-18030"/>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w:t>
      </w:r>
      <w:r>
        <w:rPr>
          <w:rFonts w:hint="eastAsia" w:ascii="宋体" w:hAnsi="宋体" w:cs="宋体-18030"/>
          <w:color w:val="000000" w:themeColor="text1"/>
          <w:sz w:val="24"/>
          <w:szCs w:val="24"/>
          <w14:textFill>
            <w14:solidFill>
              <w14:schemeClr w14:val="tx1"/>
            </w14:solidFill>
          </w14:textFill>
        </w:rPr>
        <w:t>评标委员会遵循公开、公平、公正和科学诚信的原则，对所有投标文件均采用相同程序和标准，进行评定。</w:t>
      </w:r>
    </w:p>
    <w:p>
      <w:pPr>
        <w:adjustRightInd w:val="0"/>
        <w:snapToGrid w:val="0"/>
        <w:spacing w:line="360" w:lineRule="auto"/>
        <w:ind w:right="-10" w:firstLine="422" w:firstLineChars="175"/>
        <w:rPr>
          <w:rFonts w:ascii="宋体" w:hAnsi="宋体"/>
          <w:color w:val="000000" w:themeColor="text1"/>
          <w:sz w:val="24"/>
          <w:szCs w:val="24"/>
          <w14:textFill>
            <w14:solidFill>
              <w14:schemeClr w14:val="tx1"/>
            </w14:solidFill>
          </w14:textFill>
        </w:rPr>
      </w:pPr>
      <w:r>
        <w:rPr>
          <w:rFonts w:hint="eastAsia" w:ascii="宋体" w:hAnsi="宋体" w:cs="宋体-18030"/>
          <w:b/>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360" w:lineRule="auto"/>
        <w:ind w:right="-10" w:firstLine="420" w:firstLineChars="17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对于询标后判定的结论（如通过或不通过），评标委员会应提出充足的理由，根据招标文件给定的评审指标进行判定，并予以书面记录。</w:t>
      </w:r>
    </w:p>
    <w:p>
      <w:pPr>
        <w:adjustRightInd w:val="0"/>
        <w:snapToGrid w:val="0"/>
        <w:spacing w:line="360" w:lineRule="auto"/>
        <w:ind w:right="-10" w:firstLine="480" w:firstLineChars="2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评标委员会独立评审后，对投标人某项评审指标如有不同意见，按照少数服从多数的原则，确定该项评审指标的最终结论。</w:t>
      </w:r>
    </w:p>
    <w:p>
      <w:pPr>
        <w:adjustRightInd w:val="0"/>
        <w:snapToGrid w:val="0"/>
        <w:spacing w:line="500" w:lineRule="exact"/>
        <w:ind w:right="-1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 评标委员会按下表内容进行投标有效性评审。</w:t>
      </w: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ind w:left="0" w:leftChars="0" w:firstLine="0" w:firstLineChars="0"/>
        <w:rPr>
          <w:color w:val="000000" w:themeColor="text1"/>
          <w14:textFill>
            <w14:solidFill>
              <w14:schemeClr w14:val="tx1"/>
            </w14:solidFill>
          </w14:textFill>
        </w:rPr>
      </w:pPr>
    </w:p>
    <w:p>
      <w:pPr>
        <w:pStyle w:val="58"/>
        <w:rPr>
          <w:color w:val="000000" w:themeColor="text1"/>
          <w14:textFill>
            <w14:solidFill>
              <w14:schemeClr w14:val="tx1"/>
            </w14:solidFill>
          </w14:textFill>
        </w:rPr>
      </w:pPr>
    </w:p>
    <w:tbl>
      <w:tblPr>
        <w:tblStyle w:val="50"/>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2835"/>
        <w:gridCol w:w="1275"/>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0490" w:type="dxa"/>
            <w:gridSpan w:val="5"/>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color w:val="000000" w:themeColor="text1"/>
                <w:kern w:val="2"/>
                <w:szCs w:val="24"/>
                <w14:textFill>
                  <w14:solidFill>
                    <w14:schemeClr w14:val="tx1"/>
                  </w14:solidFill>
                </w14:textFill>
              </w:rPr>
            </w:pPr>
            <w:r>
              <w:rPr>
                <w:rFonts w:hint="eastAsia" w:ascii="宋体" w:hAnsi="宋体"/>
                <w:b/>
                <w:color w:val="000000" w:themeColor="text1"/>
                <w14:textFill>
                  <w14:solidFill>
                    <w14:schemeClr w14:val="tx1"/>
                  </w14:solidFill>
                </w14:textFill>
              </w:rPr>
              <w:t>评审表（废标指标一览表）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2127" w:type="dxa"/>
            <w:tcBorders>
              <w:bottom w:val="single" w:color="auto" w:sz="4" w:space="0"/>
            </w:tcBorders>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b/>
                <w:color w:val="000000" w:themeColor="text1"/>
                <w:kern w:val="2"/>
                <w:szCs w:val="24"/>
                <w14:textFill>
                  <w14:solidFill>
                    <w14:schemeClr w14:val="tx1"/>
                  </w14:solidFill>
                </w14:textFill>
              </w:rPr>
            </w:pPr>
            <w:r>
              <w:rPr>
                <w:rFonts w:hint="eastAsia" w:ascii="宋体" w:hAnsi="宋体"/>
                <w:b/>
                <w:color w:val="000000" w:themeColor="text1"/>
                <w:kern w:val="2"/>
                <w:szCs w:val="24"/>
                <w14:textFill>
                  <w14:solidFill>
                    <w14:schemeClr w14:val="tx1"/>
                  </w14:solidFill>
                </w14:textFill>
              </w:rPr>
              <w:t>实质性指标名称</w:t>
            </w:r>
          </w:p>
        </w:tc>
        <w:tc>
          <w:tcPr>
            <w:tcW w:w="283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指标要求</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是否通过</w:t>
            </w: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p>
        </w:tc>
        <w:tc>
          <w:tcPr>
            <w:tcW w:w="2127"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投标人名称</w:t>
            </w:r>
          </w:p>
        </w:tc>
        <w:tc>
          <w:tcPr>
            <w:tcW w:w="2835"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与营业执照一致</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127"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营业执照或事业单位法人证书</w:t>
            </w:r>
          </w:p>
        </w:tc>
        <w:tc>
          <w:tcPr>
            <w:tcW w:w="2835"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合法有效</w:t>
            </w:r>
          </w:p>
        </w:tc>
        <w:tc>
          <w:tcPr>
            <w:tcW w:w="1275"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提供有效的营业执照（或事业单位法人证书）的扫描件</w:t>
            </w:r>
            <w:r>
              <w:rPr>
                <w:rFonts w:hint="eastAsia" w:ascii="宋体" w:hAnsi="宋体"/>
                <w:b/>
                <w:bCs/>
                <w:color w:val="000000" w:themeColor="text1"/>
                <w:sz w:val="24"/>
                <w:szCs w:val="24"/>
                <w14:textFill>
                  <w14:solidFill>
                    <w14:schemeClr w14:val="tx1"/>
                  </w14:solidFill>
                </w14:textFill>
              </w:rPr>
              <w:t>，应完整的体现出营业执照</w:t>
            </w:r>
            <w:r>
              <w:rPr>
                <w:rFonts w:hint="eastAsia" w:ascii="宋体" w:hAnsi="宋体"/>
                <w:b/>
                <w:color w:val="000000" w:themeColor="text1"/>
                <w:sz w:val="24"/>
                <w:szCs w:val="24"/>
                <w14:textFill>
                  <w14:solidFill>
                    <w14:schemeClr w14:val="tx1"/>
                  </w14:solidFill>
                </w14:textFill>
              </w:rPr>
              <w:t>（或事业单位法人证书）</w:t>
            </w:r>
            <w:r>
              <w:rPr>
                <w:rFonts w:hint="eastAsia" w:ascii="宋体" w:hAnsi="宋体"/>
                <w:b/>
                <w:bCs/>
                <w:color w:val="000000" w:themeColor="text1"/>
                <w:sz w:val="24"/>
                <w:szCs w:val="24"/>
                <w14:textFill>
                  <w14:solidFill>
                    <w14:schemeClr w14:val="tx1"/>
                  </w14:solidFill>
                </w14:textFill>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投标函</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投标授权书</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详见第七章响应文件格式“投标授权书”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2127"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投标人信用记录证明材料</w:t>
            </w:r>
          </w:p>
        </w:tc>
        <w:tc>
          <w:tcPr>
            <w:tcW w:w="2835"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提供信用记录证明材料扫描件，</w:t>
            </w:r>
            <w:r>
              <w:rPr>
                <w:rFonts w:hint="eastAsia" w:ascii="宋体" w:hAnsi="宋体"/>
                <w:color w:val="000000" w:themeColor="text1"/>
                <w:sz w:val="24"/>
                <w:szCs w:val="24"/>
                <w14:textFill>
                  <w14:solidFill>
                    <w14:schemeClr w14:val="tx1"/>
                  </w14:solidFill>
                </w14:textFill>
              </w:rPr>
              <w:t>详见第七章响应文件格式</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投标人信用承诺</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开标一览表</w:t>
            </w:r>
          </w:p>
        </w:tc>
        <w:tc>
          <w:tcPr>
            <w:tcW w:w="2835"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第七章投标文件格式一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投标报价</w:t>
            </w:r>
          </w:p>
        </w:tc>
        <w:tc>
          <w:tcPr>
            <w:tcW w:w="2835" w:type="dxa"/>
            <w:vAlign w:val="center"/>
          </w:tcPr>
          <w:p>
            <w:pPr>
              <w:spacing w:after="50" w:line="360" w:lineRule="auto"/>
              <w:ind w:right="-10"/>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2127" w:type="dxa"/>
            <w:vAlign w:val="center"/>
          </w:tcPr>
          <w:p>
            <w:pPr>
              <w:autoSpaceDE w:val="0"/>
              <w:autoSpaceDN w:val="0"/>
              <w:adjustRightInd w:val="0"/>
              <w:spacing w:line="430" w:lineRule="exact"/>
              <w:ind w:firstLine="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投标人资格</w:t>
            </w:r>
          </w:p>
        </w:tc>
        <w:tc>
          <w:tcPr>
            <w:tcW w:w="2835" w:type="dxa"/>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详见第一章投标邀请</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投标人资格</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标书响应情况</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付款响应、完工期响应、质保期响应等</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标书规范性</w:t>
            </w:r>
          </w:p>
        </w:tc>
        <w:tc>
          <w:tcPr>
            <w:tcW w:w="2835" w:type="dxa"/>
            <w:vAlign w:val="center"/>
          </w:tcPr>
          <w:p>
            <w:pPr>
              <w:pStyle w:val="66"/>
              <w:pBdr>
                <w:bottom w:val="none" w:color="auto" w:sz="0" w:space="0"/>
              </w:pBdr>
              <w:tabs>
                <w:tab w:val="clear" w:pos="4153"/>
                <w:tab w:val="clear" w:pos="8306"/>
              </w:tabs>
              <w:adjustRightInd/>
              <w:spacing w:after="50" w:line="360" w:lineRule="auto"/>
              <w:ind w:right="-10"/>
              <w:jc w:val="center"/>
              <w:textAlignment w:val="auto"/>
              <w:rPr>
                <w:rFonts w:ascii="宋体" w:hAnsi="宋体"/>
                <w:color w:val="000000" w:themeColor="text1"/>
                <w:kern w:val="2"/>
                <w14:textFill>
                  <w14:solidFill>
                    <w14:schemeClr w14:val="tx1"/>
                  </w14:solidFill>
                </w14:textFill>
              </w:rPr>
            </w:pPr>
            <w:r>
              <w:rPr>
                <w:rFonts w:hint="eastAsia" w:ascii="宋体" w:hAnsi="宋体"/>
                <w:color w:val="000000" w:themeColor="text1"/>
                <w14:textFill>
                  <w14:solidFill>
                    <w14:schemeClr w14:val="tx1"/>
                  </w14:solidFill>
                </w14:textFill>
              </w:rPr>
              <w:t>无严重的编排混乱、内容不全或字迹模糊辨认不清、前后矛盾情况，对评标无实质性影响的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其他要求</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上述指标中未列出，但国家相关法律法规或谈判文件有明确规定的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490" w:type="dxa"/>
            <w:gridSpan w:val="5"/>
            <w:vAlign w:val="center"/>
          </w:tcPr>
          <w:p>
            <w:pPr>
              <w:spacing w:before="139"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（1）资格审查采用定性方法，符合性评审，所有评审选项必须全部通过方为合格。</w:t>
            </w:r>
          </w:p>
          <w:p>
            <w:pPr>
              <w:adjustRightInd w:val="0"/>
              <w:snapToGrid w:val="0"/>
              <w:spacing w:line="360" w:lineRule="auto"/>
              <w:ind w:right="-1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（2）投标人提供的资料不全、不清楚、超出有效期等情况，将由评审委员会按照对投标人不利的解释去理解，由此产生的一切后果由投标人自行承担。</w:t>
            </w:r>
          </w:p>
          <w:p>
            <w:pPr>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rPr>
          <w:rFonts w:ascii="宋体" w:hAnsi="宋体"/>
          <w:bCs/>
          <w:color w:val="000000" w:themeColor="text1"/>
          <w:sz w:val="24"/>
          <w:szCs w:val="24"/>
          <w14:textFill>
            <w14:solidFill>
              <w14:schemeClr w14:val="tx1"/>
            </w14:solidFill>
          </w14:textFill>
        </w:rPr>
      </w:pPr>
    </w:p>
    <w:p>
      <w:pPr>
        <w:spacing w:line="500" w:lineRule="exact"/>
        <w:ind w:left="143" w:leftChars="68" w:firstLine="361" w:firstLineChars="150"/>
        <w:rPr>
          <w:rFonts w:ascii="宋体" w:hAnsi="宋体"/>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9.</w:t>
      </w:r>
      <w:r>
        <w:rPr>
          <w:rFonts w:hint="eastAsia" w:ascii="宋体" w:hAnsi="宋体"/>
          <w:bCs/>
          <w:color w:val="000000" w:themeColor="text1"/>
          <w:sz w:val="24"/>
          <w14:textFill>
            <w14:solidFill>
              <w14:schemeClr w14:val="tx1"/>
            </w14:solidFill>
          </w14:textFill>
        </w:rPr>
        <w:t>价格评审:</w:t>
      </w: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对通过</w:t>
      </w:r>
      <w:r>
        <w:rPr>
          <w:rFonts w:hint="eastAsia" w:ascii="宋体" w:hAnsi="宋体"/>
          <w:color w:val="000000" w:themeColor="text1"/>
          <w:sz w:val="24"/>
          <w14:textFill>
            <w14:solidFill>
              <w14:schemeClr w14:val="tx1"/>
            </w14:solidFill>
          </w14:textFill>
        </w:rPr>
        <w:t>有效性评审</w:t>
      </w:r>
      <w:r>
        <w:rPr>
          <w:rFonts w:hint="eastAsia" w:ascii="宋体" w:hAnsi="宋体"/>
          <w:bCs/>
          <w:color w:val="000000" w:themeColor="text1"/>
          <w:sz w:val="24"/>
          <w14:textFill>
            <w14:solidFill>
              <w14:schemeClr w14:val="tx1"/>
            </w14:solidFill>
          </w14:textFill>
        </w:rPr>
        <w:t>的有效投标人，按其最终报价（评标价）由低到高的顺序选出中标候选人。</w:t>
      </w:r>
    </w:p>
    <w:p>
      <w:pPr>
        <w:spacing w:line="360" w:lineRule="auto"/>
        <w:ind w:right="-10" w:firstLine="482"/>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11.</w:t>
      </w:r>
      <w:r>
        <w:rPr>
          <w:rFonts w:hint="eastAsia" w:ascii="宋体" w:hAnsi="宋体"/>
          <w:color w:val="000000" w:themeColor="text1"/>
          <w:sz w:val="24"/>
          <w:szCs w:val="24"/>
          <w14:textFill>
            <w14:solidFill>
              <w14:schemeClr w14:val="tx1"/>
            </w14:solidFill>
          </w14:textFill>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13.</w:t>
      </w:r>
      <w:r>
        <w:rPr>
          <w:rFonts w:hint="eastAsia" w:ascii="宋体" w:hAnsi="宋体"/>
          <w:color w:val="000000" w:themeColor="text1"/>
          <w:sz w:val="24"/>
          <w:szCs w:val="24"/>
          <w14:textFill>
            <w14:solidFill>
              <w14:schemeClr w14:val="tx1"/>
            </w14:solidFill>
          </w14:textFill>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14.</w:t>
      </w:r>
      <w:r>
        <w:rPr>
          <w:rFonts w:hint="eastAsia" w:ascii="宋体" w:hAnsi="宋体"/>
          <w:bCs/>
          <w:color w:val="000000" w:themeColor="text1"/>
          <w:sz w:val="24"/>
          <w:szCs w:val="24"/>
          <w14:textFill>
            <w14:solidFill>
              <w14:schemeClr w14:val="tx1"/>
            </w14:solidFill>
          </w14:textFill>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rPr>
          <w:rFonts w:ascii="宋体" w:hAnsi="宋体"/>
          <w:i/>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16.</w:t>
      </w:r>
      <w:r>
        <w:rPr>
          <w:rFonts w:hint="eastAsia" w:ascii="宋体" w:hAnsi="宋体"/>
          <w:bCs/>
          <w:color w:val="000000" w:themeColor="text1"/>
          <w:sz w:val="24"/>
          <w:szCs w:val="24"/>
          <w14:textFill>
            <w14:solidFill>
              <w14:schemeClr w14:val="tx1"/>
            </w14:solidFill>
          </w14:textFill>
        </w:rPr>
        <w:t>在评标过程中，评委及其他评标工作人员必须对评标情况严格保密，任何人不得将评标情况透露给与投标人有关的单位和个人。</w:t>
      </w:r>
    </w:p>
    <w:p>
      <w:pPr>
        <w:pStyle w:val="21"/>
        <w:spacing w:line="360" w:lineRule="auto"/>
        <w:rPr>
          <w:rFonts w:cs="黑体" w:asciiTheme="minorEastAsia" w:hAnsiTheme="minorEastAsia" w:eastAsiaTheme="minorEastAsia"/>
          <w:b/>
          <w:color w:val="000000" w:themeColor="text1"/>
          <w:sz w:val="24"/>
          <w:szCs w:val="24"/>
          <w14:textFill>
            <w14:solidFill>
              <w14:schemeClr w14:val="tx1"/>
            </w14:solidFill>
          </w14:textFill>
        </w:rPr>
      </w:pPr>
      <w:r>
        <w:rPr>
          <w:rFonts w:hint="eastAsia" w:cs="黑体" w:asciiTheme="minorEastAsia" w:hAnsiTheme="minorEastAsia" w:eastAsiaTheme="minorEastAsia"/>
          <w:b/>
          <w:color w:val="000000" w:themeColor="text1"/>
          <w:sz w:val="24"/>
          <w:szCs w:val="24"/>
          <w14:textFill>
            <w14:solidFill>
              <w14:schemeClr w14:val="tx1"/>
            </w14:solidFill>
          </w14:textFill>
        </w:rPr>
        <w:t>17. 其他</w:t>
      </w:r>
    </w:p>
    <w:p>
      <w:pPr>
        <w:pStyle w:val="8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kern w:val="0"/>
          <w:sz w:val="24"/>
          <w14:textFill>
            <w14:solidFill>
              <w14:schemeClr w14:val="tx1"/>
            </w14:solidFill>
          </w14:textFill>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w:t>
      </w:r>
      <w:r>
        <w:rPr>
          <w:rFonts w:hint="eastAsia" w:asciiTheme="minorEastAsia" w:hAnsiTheme="minorEastAsia" w:eastAsiaTheme="minorEastAsia"/>
          <w:b/>
          <w:bCs/>
          <w:color w:val="auto"/>
          <w:kern w:val="0"/>
          <w:sz w:val="24"/>
          <w:highlight w:val="none"/>
        </w:rPr>
        <w:t>合肥</w:t>
      </w:r>
      <w:r>
        <w:rPr>
          <w:rFonts w:hint="eastAsia" w:asciiTheme="minorEastAsia" w:hAnsiTheme="minorEastAsia" w:eastAsiaTheme="minorEastAsia"/>
          <w:b/>
          <w:bCs/>
          <w:color w:val="auto"/>
          <w:kern w:val="0"/>
          <w:sz w:val="24"/>
          <w:highlight w:val="none"/>
          <w:lang w:val="en-US" w:eastAsia="zh-CN"/>
        </w:rPr>
        <w:t>体育产业投资有限公司</w:t>
      </w:r>
      <w:r>
        <w:rPr>
          <w:rFonts w:hint="eastAsia" w:asciiTheme="minorEastAsia" w:hAnsiTheme="minorEastAsia" w:eastAsiaTheme="minorEastAsia"/>
          <w:b/>
          <w:bCs/>
          <w:color w:val="000000" w:themeColor="text1"/>
          <w:kern w:val="0"/>
          <w:sz w:val="24"/>
          <w14:textFill>
            <w14:solidFill>
              <w14:schemeClr w14:val="tx1"/>
            </w14:solidFill>
          </w14:textFill>
        </w:rPr>
        <w:t>将按相关规定予以处罚并记入不良行为记录，予以披露</w:t>
      </w:r>
      <w:r>
        <w:rPr>
          <w:rFonts w:hint="eastAsia" w:asciiTheme="minorEastAsia" w:hAnsiTheme="minorEastAsia" w:eastAsiaTheme="minorEastAsia"/>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pStyle w:val="58"/>
        <w:rPr>
          <w:rFonts w:ascii="宋体" w:hAnsi="宋体"/>
          <w:bCs/>
          <w:color w:val="000000" w:themeColor="text1"/>
          <w:sz w:val="24"/>
          <w14:textFill>
            <w14:solidFill>
              <w14:schemeClr w14:val="tx1"/>
            </w14:solidFill>
          </w14:textFill>
        </w:rPr>
      </w:pPr>
    </w:p>
    <w:bookmarkEnd w:id="66"/>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2"/>
        <w:ind w:left="0" w:leftChars="0" w:firstLine="0" w:firstLineChars="0"/>
        <w:rPr>
          <w:rFonts w:ascii="宋体" w:hAnsi="宋体"/>
          <w:color w:val="000000" w:themeColor="text1"/>
          <w14:textFill>
            <w14:solidFill>
              <w14:schemeClr w14:val="tx1"/>
            </w14:solidFill>
          </w14:textFill>
        </w:rPr>
      </w:pPr>
    </w:p>
    <w:p>
      <w:pPr>
        <w:pStyle w:val="5"/>
        <w:numPr>
          <w:ilvl w:val="0"/>
          <w:numId w:val="8"/>
        </w:numPr>
        <w:spacing w:line="500" w:lineRule="exact"/>
        <w:jc w:val="center"/>
        <w:rPr>
          <w:rFonts w:ascii="宋体" w:hAnsi="宋体"/>
          <w:color w:val="000000" w:themeColor="text1"/>
          <w14:textFill>
            <w14:solidFill>
              <w14:schemeClr w14:val="tx1"/>
            </w14:solidFill>
          </w14:textFill>
        </w:rPr>
      </w:pPr>
      <w:bookmarkStart w:id="67" w:name="_Toc220232392"/>
      <w:bookmarkStart w:id="68" w:name="_Toc5990"/>
      <w:r>
        <w:rPr>
          <w:rFonts w:ascii="宋体" w:hAnsi="宋体"/>
          <w:color w:val="000000" w:themeColor="text1"/>
          <w14:textFill>
            <w14:solidFill>
              <w14:schemeClr w14:val="tx1"/>
            </w14:solidFill>
          </w14:textFill>
        </w:rPr>
        <w:t>合同</w:t>
      </w:r>
      <w:bookmarkEnd w:id="67"/>
      <w:bookmarkEnd w:id="68"/>
    </w:p>
    <w:p>
      <w:pPr>
        <w:rPr>
          <w:color w:val="000000" w:themeColor="text1"/>
          <w14:textFill>
            <w14:solidFill>
              <w14:schemeClr w14:val="tx1"/>
            </w14:solidFill>
          </w14:textFill>
        </w:rPr>
      </w:pPr>
    </w:p>
    <w:p>
      <w:pPr>
        <w:spacing w:line="490" w:lineRule="exact"/>
        <w:ind w:firstLine="480" w:firstLineChars="200"/>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游泳池</w:t>
      </w:r>
      <w:r>
        <w:rPr>
          <w:rFonts w:hint="eastAsia" w:ascii="宋体" w:hAnsi="宋体"/>
          <w:bCs/>
          <w:color w:val="000000" w:themeColor="text1"/>
          <w:sz w:val="24"/>
          <w:lang w:val="en-US" w:eastAsia="zh-CN"/>
          <w14:textFill>
            <w14:solidFill>
              <w14:schemeClr w14:val="tx1"/>
            </w14:solidFill>
          </w14:textFill>
        </w:rPr>
        <w:t>水处理</w:t>
      </w:r>
      <w:r>
        <w:rPr>
          <w:rFonts w:hint="eastAsia" w:ascii="宋体" w:hAnsi="宋体"/>
          <w:bCs/>
          <w:color w:val="000000" w:themeColor="text1"/>
          <w:sz w:val="24"/>
          <w14:textFill>
            <w14:solidFill>
              <w14:schemeClr w14:val="tx1"/>
            </w14:solidFill>
          </w14:textFill>
        </w:rPr>
        <w:t>药剂</w:t>
      </w:r>
      <w:r>
        <w:rPr>
          <w:rFonts w:hint="eastAsia" w:ascii="宋体" w:hAnsi="宋体"/>
          <w:bCs/>
          <w:color w:val="000000" w:themeColor="text1"/>
          <w:sz w:val="24"/>
          <w:lang w:val="en-US" w:eastAsia="zh-CN"/>
          <w14:textFill>
            <w14:solidFill>
              <w14:schemeClr w14:val="tx1"/>
            </w14:solidFill>
          </w14:textFill>
        </w:rPr>
        <w:t>及水质检测养护</w:t>
      </w:r>
      <w:r>
        <w:rPr>
          <w:rFonts w:hint="eastAsia" w:ascii="宋体" w:hAnsi="宋体"/>
          <w:bCs/>
          <w:color w:val="000000" w:themeColor="text1"/>
          <w:sz w:val="24"/>
          <w14:textFill>
            <w14:solidFill>
              <w14:schemeClr w14:val="tx1"/>
            </w14:solidFill>
          </w14:textFill>
        </w:rPr>
        <w:t>承包合同</w:t>
      </w:r>
    </w:p>
    <w:p>
      <w:pPr>
        <w:spacing w:line="490" w:lineRule="exact"/>
        <w:ind w:firstLine="480" w:firstLineChars="200"/>
        <w:jc w:val="righ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合同编号：HFTYCY--****-**</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甲方：                         （以下简称甲方）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                         （以下简称乙方）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根据《中华人民共和国</w:t>
      </w:r>
      <w:r>
        <w:rPr>
          <w:rFonts w:hint="eastAsia" w:ascii="宋体" w:hAnsi="宋体"/>
          <w:bCs/>
          <w:color w:val="000000" w:themeColor="text1"/>
          <w:sz w:val="24"/>
          <w:lang w:val="en-US" w:eastAsia="zh-CN"/>
          <w14:textFill>
            <w14:solidFill>
              <w14:schemeClr w14:val="tx1"/>
            </w14:solidFill>
          </w14:textFill>
        </w:rPr>
        <w:t>民法典</w:t>
      </w:r>
      <w:r>
        <w:rPr>
          <w:rFonts w:hint="eastAsia" w:ascii="宋体" w:hAnsi="宋体"/>
          <w:bCs/>
          <w:color w:val="000000" w:themeColor="text1"/>
          <w:sz w:val="24"/>
          <w14:textFill>
            <w14:solidFill>
              <w14:schemeClr w14:val="tx1"/>
            </w14:solidFill>
          </w14:textFill>
        </w:rPr>
        <w:t>》及其他有关法律、行政法规，遵循平等、自愿、公平和诚实信用的原则，双方经协商，就【合肥体育中心和天鹅湖全民健身中心游泳池药剂</w:t>
      </w:r>
      <w:r>
        <w:rPr>
          <w:rFonts w:hint="eastAsia" w:ascii="宋体" w:hAnsi="宋体"/>
          <w:bCs/>
          <w:color w:val="000000" w:themeColor="text1"/>
          <w:sz w:val="24"/>
          <w:lang w:val="en-US" w:eastAsia="zh-CN"/>
          <w14:textFill>
            <w14:solidFill>
              <w14:schemeClr w14:val="tx1"/>
            </w14:solidFill>
          </w14:textFill>
        </w:rPr>
        <w:t>及水质检测养护</w:t>
      </w:r>
      <w:r>
        <w:rPr>
          <w:rFonts w:hint="eastAsia" w:ascii="宋体" w:hAnsi="宋体"/>
          <w:bCs/>
          <w:color w:val="000000" w:themeColor="text1"/>
          <w:sz w:val="24"/>
          <w14:textFill>
            <w14:solidFill>
              <w14:schemeClr w14:val="tx1"/>
            </w14:solidFill>
          </w14:textFill>
        </w:rPr>
        <w:t>】采购事项协商一致，订立本合同。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一、服务内容：</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50m³（泳池实际容量以现场勘测为准，其中竞赛池或跳水池每年开放时间一般不超过3个月）】和天鹅湖全民健身中心游泳馆（训练池、戏水池）202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年度的水处理药剂、水质</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检测、养护</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服务、自动投药设备的维护</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（水处理药剂主要包括不限于</w:t>
      </w:r>
      <w:r>
        <w:rPr>
          <w:rFonts w:hint="eastAsia" w:ascii="宋体" w:hAnsi="宋体"/>
          <w:bCs/>
          <w:color w:val="000000" w:themeColor="text1"/>
          <w:sz w:val="24"/>
          <w:highlight w:val="none"/>
          <w:lang w:val="en-US" w:eastAsia="zh-CN"/>
          <w14:textFill>
            <w14:solidFill>
              <w14:schemeClr w14:val="tx1"/>
            </w14:solidFill>
          </w14:textFill>
        </w:rPr>
        <w:t>次氯酸钠</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、杀菌剂、</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超级浓缩</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澄清剂、除藻剂、</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中和剂、PH降低剂、速溶</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氯</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每次药剂送货上门</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提供供货清单，</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产品合格证，检验报告等，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3、专人</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定期</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服务，定期提供游泳馆水质检测</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并出具</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分析工作报告（一周一次），对水质不合格情况</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立即进行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4、负责游泳馆自动投药设备维护、维修及水质相关问题的处理工作，提供有效处理方案；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5、协助卫生主管部门对游泳馆水质检查准备工作，并承担因水质处理不达标的行政处罚责任；</w:t>
      </w:r>
    </w:p>
    <w:p>
      <w:pPr>
        <w:pStyle w:val="2"/>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6、负责对游泳馆水质管理员进行专业技术培训，及日常工作对接、配合；</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、配合参与其它与游泳馆水质</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检测养护等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相关工作。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二、合同价款：</w:t>
      </w:r>
      <w:r>
        <w:rPr>
          <w:rFonts w:hint="eastAsia" w:ascii="宋体" w:hAnsi="宋体"/>
          <w:bCs/>
          <w:color w:val="000000" w:themeColor="text1"/>
          <w:sz w:val="24"/>
          <w:lang w:val="en-US" w:eastAsia="zh-CN"/>
          <w14:textFill>
            <w14:solidFill>
              <w14:schemeClr w14:val="tx1"/>
            </w14:solidFill>
          </w14:textFill>
        </w:rPr>
        <w:t>体育中心及天鹅湖全民健身中心泳池水处理药剂及水质检测养护费用</w:t>
      </w:r>
      <w:r>
        <w:rPr>
          <w:rFonts w:hint="eastAsia" w:ascii="宋体" w:hAnsi="宋体"/>
          <w:bCs/>
          <w:color w:val="000000" w:themeColor="text1"/>
          <w:sz w:val="24"/>
          <w14:textFill>
            <w14:solidFill>
              <w14:schemeClr w14:val="tx1"/>
            </w14:solidFill>
          </w14:textFill>
        </w:rPr>
        <w:t>为不超过人民币：大写（           ）小写（          ）元(其中训练池为常年开放，跳水池、</w:t>
      </w:r>
      <w:r>
        <w:rPr>
          <w:rFonts w:hint="eastAsia" w:ascii="宋体" w:hAnsi="宋体"/>
          <w:bCs/>
          <w:color w:val="000000" w:themeColor="text1"/>
          <w:sz w:val="24"/>
          <w:lang w:val="en-US" w:eastAsia="zh-CN"/>
          <w14:textFill>
            <w14:solidFill>
              <w14:schemeClr w14:val="tx1"/>
            </w14:solidFill>
          </w14:textFill>
        </w:rPr>
        <w:t>竞赛</w:t>
      </w:r>
      <w:r>
        <w:rPr>
          <w:rFonts w:hint="eastAsia" w:ascii="宋体" w:hAnsi="宋体"/>
          <w:bCs/>
          <w:color w:val="000000" w:themeColor="text1"/>
          <w:sz w:val="24"/>
          <w14:textFill>
            <w14:solidFill>
              <w14:schemeClr w14:val="tx1"/>
            </w14:solidFill>
          </w14:textFill>
        </w:rPr>
        <w:t>池</w:t>
      </w:r>
      <w:r>
        <w:rPr>
          <w:rFonts w:hint="eastAsia" w:ascii="宋体" w:hAnsi="宋体"/>
          <w:bCs/>
          <w:color w:val="000000" w:themeColor="text1"/>
          <w:sz w:val="24"/>
          <w:highlight w:val="none"/>
          <w14:textFill>
            <w14:solidFill>
              <w14:schemeClr w14:val="tx1"/>
            </w14:solidFill>
          </w14:textFill>
        </w:rPr>
        <w:t>仅夏季开放，闭馆后无需对水质养护达到可游泳的标准）。本合同价一次性包死，固定不变，</w:t>
      </w:r>
      <w:r>
        <w:rPr>
          <w:rFonts w:hint="eastAsia" w:ascii="宋体" w:hAnsi="宋体"/>
          <w:bCs/>
          <w:color w:val="000000" w:themeColor="text1"/>
          <w:sz w:val="24"/>
          <w14:textFill>
            <w14:solidFill>
              <w14:schemeClr w14:val="tx1"/>
            </w14:solidFill>
          </w14:textFill>
        </w:rPr>
        <w:t>不因包括市场价格涨落、履行期调整等任何因素而调整。合同单价为乙方按照合同约定履行自身全部义务的费用，包括但不限于材料费、人工费、运费、包装费、安装调试费、利润、税费等乙方为履行本合同项下全部义务所需的所有费用。除此之外，甲方无需就本合同项下服务向乙方或第三方支付任何其他费用，若因客观原因导致甲方药剂需求量减少，乙应当根据自身用药量的减少所对应的有关费用，核减甲方应当支付的费用。</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二、服务期限：</w:t>
      </w:r>
    </w:p>
    <w:p>
      <w:pPr>
        <w:spacing w:line="490" w:lineRule="exact"/>
        <w:ind w:firstLine="480" w:firstLineChars="200"/>
        <w:rPr>
          <w:rFonts w:ascii="宋体" w:hAnsi="宋体"/>
          <w:bCs/>
          <w:color w:val="auto"/>
          <w:sz w:val="24"/>
          <w:highlight w:val="none"/>
        </w:rPr>
      </w:pPr>
      <w:r>
        <w:rPr>
          <w:rFonts w:hint="eastAsia" w:ascii="宋体" w:hAnsi="宋体"/>
          <w:bCs/>
          <w:color w:val="auto"/>
          <w:sz w:val="24"/>
          <w:highlight w:val="none"/>
        </w:rPr>
        <w:t>本合同有效期为 12个月；自</w:t>
      </w:r>
      <w:r>
        <w:rPr>
          <w:rFonts w:hint="eastAsia" w:ascii="宋体" w:hAnsi="宋体"/>
          <w:bCs/>
          <w:color w:val="auto"/>
          <w:sz w:val="24"/>
          <w:highlight w:val="none"/>
          <w:lang w:val="en-US" w:eastAsia="zh-CN"/>
        </w:rPr>
        <w:t>实际合同签订之日</w:t>
      </w:r>
      <w:r>
        <w:rPr>
          <w:rFonts w:hint="eastAsia" w:ascii="宋体" w:hAnsi="宋体"/>
          <w:bCs/>
          <w:color w:val="auto"/>
          <w:sz w:val="24"/>
          <w:highlight w:val="none"/>
        </w:rPr>
        <w:t>起。</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三、付款方式：</w:t>
      </w:r>
    </w:p>
    <w:p>
      <w:pPr>
        <w:spacing w:line="490" w:lineRule="exact"/>
        <w:ind w:firstLine="480" w:firstLineChars="200"/>
        <w:rPr>
          <w:rFonts w:hint="eastAsia" w:ascii="宋体" w:hAnsi="宋体"/>
          <w:bCs/>
          <w:color w:val="auto"/>
          <w:sz w:val="24"/>
        </w:rPr>
      </w:pPr>
      <w:r>
        <w:rPr>
          <w:rFonts w:hint="eastAsia" w:ascii="宋体" w:hAnsi="宋体"/>
          <w:bCs/>
          <w:color w:val="auto"/>
          <w:sz w:val="24"/>
          <w:lang w:val="en-US" w:eastAsia="zh-CN"/>
        </w:rPr>
        <w:t>1、根据中标人实际送货量据实结算，按季度支付，全年费用不得超出中标总价（超出部分中标人自行承担）。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r>
        <w:rPr>
          <w:rFonts w:hint="eastAsia" w:ascii="宋体" w:hAnsi="宋体"/>
          <w:bCs/>
          <w:color w:val="000000" w:themeColor="text1"/>
          <w:sz w:val="24"/>
          <w14:textFill>
            <w14:solidFill>
              <w14:schemeClr w14:val="tx1"/>
            </w14:solidFill>
          </w14:textFill>
        </w:rPr>
        <w:t>、甲方支付方式:乙方应在每次要求付款前向甲方开具符合税务要求的足额合法的增值税专用发票，税率</w:t>
      </w:r>
      <w:r>
        <w:rPr>
          <w:rFonts w:hint="eastAsia" w:ascii="宋体" w:hAnsi="宋体"/>
          <w:bCs/>
          <w:color w:val="000000" w:themeColor="text1"/>
          <w:sz w:val="24"/>
          <w:lang w:val="en-US" w:eastAsia="zh-CN"/>
          <w14:textFill>
            <w14:solidFill>
              <w14:schemeClr w14:val="tx1"/>
            </w14:solidFill>
          </w14:textFill>
        </w:rPr>
        <w:t>13%</w:t>
      </w:r>
      <w:r>
        <w:rPr>
          <w:rFonts w:hint="eastAsia" w:ascii="宋体" w:hAnsi="宋体"/>
          <w:bCs/>
          <w:color w:val="000000" w:themeColor="text1"/>
          <w:sz w:val="24"/>
          <w14:textFill>
            <w14:solidFill>
              <w14:schemeClr w14:val="tx1"/>
            </w14:solidFill>
          </w14:textFill>
        </w:rPr>
        <w:t>。否则，视为乙方违约，甲方有权拒绝付款，且不承担违约责任。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乙方指定收款账户为：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公司全称：</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开户行：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账号：乙方保证提供的账户信息准确无误，乙方账户信息如有变更，应在合同规定的付款时间基础上至少提前7日以书面方式通知甲方。如乙方未按时通知或通知有误而导致甲方延期付款或无法转账的，甲方不承担任何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四、交货地点：甲方指定地点（合肥体育中心游泳馆或天鹅湖全民健身中心游泳馆)。</w:t>
      </w:r>
    </w:p>
    <w:p>
      <w:pPr>
        <w:spacing w:line="49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五、供货方式：</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自合同生效日，乙方根据游泳馆戏水池、培训池、竞赛池、跳水池实际水质养护所需药品一次性提供满足10个工作日用量，补给药品将由甲方电话通知或以QQ/邮件通知时间为准,甲方告知乙方所需补给药剂品种;乙方在接到甲方通知送货需求后5个工作日内将甲方所需药品送到甲方指定地点，甲方派专人负责签收。</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2、自合同生效日第5个工作日内，乙方须</w:t>
      </w:r>
      <w:r>
        <w:rPr>
          <w:rFonts w:hint="eastAsia" w:ascii="宋体" w:hAnsi="宋体"/>
          <w:bCs/>
          <w:color w:val="000000" w:themeColor="text1"/>
          <w:sz w:val="24"/>
          <w:lang w:val="en-US" w:eastAsia="zh-CN"/>
          <w14:textFill>
            <w14:solidFill>
              <w14:schemeClr w14:val="tx1"/>
            </w14:solidFill>
          </w14:textFill>
        </w:rPr>
        <w:t>指派专业技术人员对甲方相关人员进行自动投药设备的培训直至运行</w:t>
      </w:r>
      <w:r>
        <w:rPr>
          <w:rFonts w:hint="eastAsia" w:ascii="宋体" w:hAnsi="宋体"/>
          <w:bCs/>
          <w:color w:val="000000" w:themeColor="text1"/>
          <w:sz w:val="24"/>
          <w14:textFill>
            <w14:solidFill>
              <w14:schemeClr w14:val="tx1"/>
            </w14:solidFill>
          </w14:textFill>
        </w:rPr>
        <w:t>使用，自动投药设备产权归属</w:t>
      </w:r>
      <w:r>
        <w:rPr>
          <w:rFonts w:hint="eastAsia" w:ascii="宋体" w:hAnsi="宋体"/>
          <w:bCs/>
          <w:color w:val="000000" w:themeColor="text1"/>
          <w:sz w:val="24"/>
          <w:lang w:val="en-US" w:eastAsia="zh-CN"/>
          <w14:textFill>
            <w14:solidFill>
              <w14:schemeClr w14:val="tx1"/>
            </w14:solidFill>
          </w14:textFill>
        </w:rPr>
        <w:t>甲</w:t>
      </w:r>
      <w:r>
        <w:rPr>
          <w:rFonts w:hint="eastAsia" w:ascii="宋体" w:hAnsi="宋体"/>
          <w:bCs/>
          <w:color w:val="000000" w:themeColor="text1"/>
          <w:sz w:val="24"/>
          <w14:textFill>
            <w14:solidFill>
              <w14:schemeClr w14:val="tx1"/>
            </w14:solidFill>
          </w14:textFill>
        </w:rPr>
        <w:t>方所有，自动投药设备维护维修责任以及所产生的一切费用均由乙方自行承担。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六、产品的质量及验收标准：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1、乙方向甲方供应的产品,其品种、规格、质量符合国家相关质量标准规范要求。</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2、在乙方供应的产品范围内,国家相关质量监督管理等部门或顾客如对乙方所供的产品存有疑义的,乙方负有证明该产品符合国家标准并配合甲方澄清事实妥善处理的义务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3、乙方向甲方提供游泳池水质处理所需的所有药剂为合格正品。</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4、乙方承包合肥市体育中心、天鹅湖全民健身中心游泳馆训练池、跳水池、比赛池三个泳池合作期间水质养护用药费用，不得超过中标价，超出部分由乙方自行承担。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5、因乙方产品质量，造成任何人身损害或客户要求赔偿等损失的，甲方有权要求乙方赔偿实际损失并按照合同总额30%承担违约责任。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七、甲、乙双方责任：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1、甲方负责</w:t>
      </w:r>
      <w:r>
        <w:rPr>
          <w:rFonts w:hint="eastAsia" w:ascii="宋体" w:hAnsi="宋体"/>
          <w:bCs/>
          <w:color w:val="000000" w:themeColor="text1"/>
          <w:sz w:val="24"/>
          <w:lang w:val="en-US" w:eastAsia="zh-CN"/>
          <w14:textFill>
            <w14:solidFill>
              <w14:schemeClr w14:val="tx1"/>
            </w14:solidFill>
          </w14:textFill>
        </w:rPr>
        <w:t>提</w:t>
      </w:r>
      <w:r>
        <w:rPr>
          <w:rFonts w:hint="eastAsia" w:ascii="宋体" w:hAnsi="宋体"/>
          <w:bCs/>
          <w:color w:val="000000" w:themeColor="text1"/>
          <w:sz w:val="24"/>
          <w14:textFill>
            <w14:solidFill>
              <w14:schemeClr w14:val="tx1"/>
            </w14:solidFill>
          </w14:textFill>
        </w:rPr>
        <w:t>供在线水质监测仪及自动投药计量泵</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游泳池循环设备正常运行工作。（循环水泵切换、过滤设备的覆膜、反冲洗、补水、泳池吸污），确保投加药剂的水质达到国家游泳池水质标准。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2、甲方负责按时支付乙方合同款项。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甲方负责所有国家有关单位对游泳场所的水质检测费用。若因药剂质量问题导致检测水质不合格，检测费用由乙方承担，且乙方需重新对场所的水质进行养护以达到合格标准。若因此给甲方造成损失的，乙方应承担赔偿责任。</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bCs/>
          <w:color w:val="000000" w:themeColor="text1"/>
          <w:sz w:val="24"/>
          <w:highlight w:val="none"/>
          <w14:textFill>
            <w14:solidFill>
              <w14:schemeClr w14:val="tx1"/>
            </w14:solidFill>
          </w14:textFill>
        </w:rPr>
        <w:t>、甲方应积极配合乙方货物进行验收,如甲方无故延迟验收的,责任由甲方承担。</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5、在合同正常履行的有效期内，保证乙方为甲方游泳池药剂唯一供货商。</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乙方责任：</w:t>
      </w:r>
    </w:p>
    <w:p>
      <w:pPr>
        <w:numPr>
          <w:ilvl w:val="0"/>
          <w:numId w:val="9"/>
        </w:numPr>
        <w:spacing w:line="490" w:lineRule="exact"/>
        <w:ind w:firstLine="480" w:firstLineChars="200"/>
        <w:rPr>
          <w:rFonts w:hint="eastAsia" w:ascii="宋体" w:hAnsi="宋体"/>
          <w:bCs/>
          <w:color w:val="000000" w:themeColor="text1"/>
          <w:sz w:val="24"/>
          <w:highlight w:val="none"/>
          <w:lang w:val="en-US" w:eastAsia="zh-CN"/>
          <w14:textFill>
            <w14:solidFill>
              <w14:schemeClr w14:val="tx1"/>
            </w14:solidFill>
          </w14:textFill>
        </w:rPr>
      </w:pPr>
      <w:r>
        <w:rPr>
          <w:rFonts w:hint="eastAsia" w:ascii="宋体" w:hAnsi="宋体"/>
          <w:bCs/>
          <w:color w:val="000000" w:themeColor="text1"/>
          <w:sz w:val="24"/>
          <w:highlight w:val="none"/>
          <w:lang w:val="en-US" w:eastAsia="zh-CN"/>
          <w14:textFill>
            <w14:solidFill>
              <w14:schemeClr w14:val="tx1"/>
            </w14:solidFill>
          </w14:textFill>
        </w:rPr>
        <w:t>乙方应保证实际供货药剂名称与投标清单药剂名称及招标清单需求药剂名称一致，按需足量供货。</w:t>
      </w:r>
    </w:p>
    <w:p>
      <w:pPr>
        <w:numPr>
          <w:ilvl w:val="0"/>
          <w:numId w:val="9"/>
        </w:num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为保证甲方投加药剂的科学性，在合同期限内</w:t>
      </w:r>
      <w:r>
        <w:rPr>
          <w:rFonts w:hint="eastAsia" w:ascii="宋体" w:hAnsi="宋体"/>
          <w:bCs/>
          <w:color w:val="000000" w:themeColor="text1"/>
          <w:sz w:val="24"/>
          <w:lang w:val="en-US" w:eastAsia="zh-CN"/>
          <w14:textFill>
            <w14:solidFill>
              <w14:schemeClr w14:val="tx1"/>
            </w14:solidFill>
          </w14:textFill>
        </w:rPr>
        <w:t>对甲方自动投药系统进行定期维护，确保监测仪的数据准确</w:t>
      </w:r>
      <w:r>
        <w:rPr>
          <w:rFonts w:hint="eastAsia" w:ascii="宋体" w:hAnsi="宋体"/>
          <w:bCs/>
          <w:color w:val="000000" w:themeColor="text1"/>
          <w:sz w:val="24"/>
          <w14:textFill>
            <w14:solidFill>
              <w14:schemeClr w14:val="tx1"/>
            </w14:solidFill>
          </w14:textFill>
        </w:rPr>
        <w:t>。</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r>
        <w:rPr>
          <w:rFonts w:hint="eastAsia" w:ascii="宋体" w:hAnsi="宋体"/>
          <w:bCs/>
          <w:color w:val="000000" w:themeColor="text1"/>
          <w:sz w:val="24"/>
          <w14:textFill>
            <w14:solidFill>
              <w14:schemeClr w14:val="tx1"/>
            </w14:solidFill>
          </w14:textFill>
        </w:rPr>
        <w:t>、乙方负责为甲方每月做不少于4次水质平衡检测（检测内容包括：自由余氯、化合性余氯、总氯、水的混浊度、PH值），并提供书面的水质检测报告。</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r>
        <w:rPr>
          <w:rFonts w:hint="eastAsia" w:ascii="宋体" w:hAnsi="宋体"/>
          <w:bCs/>
          <w:color w:val="000000" w:themeColor="text1"/>
          <w:sz w:val="24"/>
          <w14:textFill>
            <w14:solidFill>
              <w14:schemeClr w14:val="tx1"/>
            </w14:solidFill>
          </w14:textFill>
        </w:rPr>
        <w:t>、乙方在合同期限内免费对甲方工作人员进行游泳池水处理投药流程进行培训。</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r>
        <w:rPr>
          <w:rFonts w:hint="eastAsia" w:ascii="宋体" w:hAnsi="宋体"/>
          <w:bCs/>
          <w:color w:val="000000" w:themeColor="text1"/>
          <w:sz w:val="24"/>
          <w14:textFill>
            <w14:solidFill>
              <w14:schemeClr w14:val="tx1"/>
            </w14:solidFill>
          </w14:textFill>
        </w:rPr>
        <w:t>、乙方依本合同所规定的交货时间,将货物按时送至甲方指定地点。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r>
        <w:rPr>
          <w:rFonts w:hint="eastAsia" w:ascii="宋体" w:hAnsi="宋体"/>
          <w:bCs/>
          <w:color w:val="000000" w:themeColor="text1"/>
          <w:sz w:val="24"/>
          <w14:textFill>
            <w14:solidFill>
              <w14:schemeClr w14:val="tx1"/>
            </w14:solidFill>
          </w14:textFill>
        </w:rPr>
        <w:t>、为确保水质，合理控制成本，乙方可向甲方提供新产品，同时做好甲方水处理人员药剂投加的培训工作。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八、违约责任：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因乙方原因延迟交货的，每逾期一天，则按合同总额的1‰支付逾期违约金。逾期超过2周的，甲方有权解除合同，由此给甲方造成的损失由乙方承担。若因乙方逾期交货造成甲方无药可用时，甲方可以直接解除合同向第三方采购药剂，并有权要求乙方承担合同总价款30%的违约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3、因乙方产品质量问题或其他违约行为，造成甲方或第三方任何人身损害或客户要求赔偿等财产损失的，所有赔偿责任由乙方承担。</w:t>
      </w:r>
      <w:r>
        <w:rPr>
          <w:rFonts w:hint="eastAsia" w:ascii="宋体" w:hAnsi="宋体" w:cs="宋体"/>
          <w:bCs/>
          <w:color w:val="000000" w:themeColor="text1"/>
          <w:sz w:val="24"/>
          <w:szCs w:val="24"/>
          <w:lang w:val="en-US" w:eastAsia="zh-CN"/>
          <w14:textFill>
            <w14:solidFill>
              <w14:schemeClr w14:val="tx1"/>
            </w14:solidFill>
          </w14:textFill>
        </w:rPr>
        <w:t>给甲方造成损失的，还应对甲方承担赔偿责任。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4、因乙方违约或过错致使提起诉讼索赔而给甲方所造成的一切经济损失均由乙方承担，包括但不限于诉讼费、律师费、差旅费、文印费、担保费、诉讼保全保险费等一切合理必要支出。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5、因甲方自身原因未按规定作业流程合理投加药剂，造成甲方水质受损的，由此产生的一切后果，由甲方承担。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九、合同终止：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1、本协议双方签字之日起生效，除不可抗拒或法定解约的情况外，甲乙双方任何一方不可单方终止本合同。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2、如遇特殊情况，甲方可提前一个月以书面形式通知乙方解除合同并注明原因，甲方在据实结清乙方合同解除前的所有款项后，互不承担违约责任。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十、其它：</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合作期间内，甲乙双方本着诚信负责的态度，在保证水质、科学投药、合理控制成本的前提下，若经双方人员共同努力，依然导致药剂实际使用费用超出本合同预算金额，及给双方协商一致，甲方可根据实际发生额与乙方结算相应的费用（游泳池药品价格详见附件一，附件与本合同具有同等法律效力）。</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十一、履约保证金：</w:t>
      </w:r>
    </w:p>
    <w:p>
      <w:pPr>
        <w:spacing w:line="49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1.本项目履约保证金为中标价的5%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2.如乙方未能履行其合同规定的任何义务，甲方有权从履约保证金和应付乙方的货款中直接扣除相应的赔偿金、违约金等。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3.履约保证金在本合同期限届满后，如乙方不存在任何违约行为，甲方在收到乙方申请后7个工作日内无息返还。</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十二、双方如有未尽事宜，通过友好协商解决。协商不成的，双方有权将争议提交甲方所在地人民法院。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十三、此合同一式肆份，甲方持叁份，乙方持壹份，均具有同等法律效力。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四、双方同意，合同载明的地址、工商登记地址均为双方约定的法律文书送达地址，寄往该地址的各类法律文书，自交邮之日起第3日视为送达之日。任何一方地址有变动的，应提前15日以书面形式通知另一方，否则视为地址未变动.</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甲方（盖章）                    乙方（盖章）</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法定代表人                      法定代表人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或委托代理人（签字）：           或委托代理人（签字）：</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地址：                           地址：</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
          <w:color w:val="000000" w:themeColor="text1"/>
          <w:sz w:val="24"/>
          <w:szCs w:val="27"/>
          <w14:textFill>
            <w14:solidFill>
              <w14:schemeClr w14:val="tx1"/>
            </w14:solidFill>
          </w14:textFill>
        </w:rPr>
      </w:pPr>
      <w:r>
        <w:rPr>
          <w:rFonts w:hint="eastAsia" w:ascii="宋体" w:hAnsi="宋体"/>
          <w:bCs/>
          <w:color w:val="000000" w:themeColor="text1"/>
          <w:sz w:val="24"/>
          <w14:textFill>
            <w14:solidFill>
              <w14:schemeClr w14:val="tx1"/>
            </w14:solidFill>
          </w14:textFill>
        </w:rPr>
        <w:t>日期：                           日期：</w:t>
      </w:r>
    </w:p>
    <w:p>
      <w:pPr>
        <w:spacing w:line="490" w:lineRule="exact"/>
        <w:ind w:firstLine="482" w:firstLineChars="200"/>
        <w:rPr>
          <w:rFonts w:hint="eastAsia" w:ascii="宋体" w:hAnsi="宋体"/>
          <w:b/>
          <w:bCs/>
          <w:color w:val="000000" w:themeColor="text1"/>
          <w:sz w:val="32"/>
          <w:szCs w:val="32"/>
          <w:lang w:val="zh-CN"/>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bookmarkStart w:id="69" w:name="_Toc3121"/>
      <w:bookmarkStart w:id="70" w:name="_Toc7078087"/>
      <w:bookmarkStart w:id="71" w:name="_Toc1217"/>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第七章 投标文件格式</w:t>
      </w:r>
      <w:bookmarkEnd w:id="69"/>
      <w:bookmarkEnd w:id="70"/>
      <w:bookmarkEnd w:id="71"/>
    </w:p>
    <w:p>
      <w:pPr>
        <w:spacing w:line="5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投标文件资料清单</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5376"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资料名称</w:t>
            </w:r>
          </w:p>
        </w:tc>
        <w:tc>
          <w:tcPr>
            <w:tcW w:w="2625"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p>
        </w:tc>
        <w:tc>
          <w:tcPr>
            <w:tcW w:w="5376" w:type="dxa"/>
            <w:vAlign w:val="center"/>
          </w:tcPr>
          <w:p>
            <w:pPr>
              <w:rPr>
                <w:rFonts w:ascii="宋体" w:hAnsi="宋体" w:cs="宋体"/>
                <w:color w:val="000000" w:themeColor="text1"/>
                <w:sz w:val="24"/>
                <w:szCs w:val="24"/>
                <w:u w:val="single"/>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投标函</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投标人情况综合简介</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开标一览表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投标响应表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投标货物及报价表</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投标人信用承诺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投标业绩</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九</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有关证明文件</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十</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项目人员配备</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生产厂商授权书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十二</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售后服务体系</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维保方案</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检测报告</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十三</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产品质量承诺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十四</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投标人认为需要提供的其他资料</w:t>
            </w:r>
          </w:p>
        </w:tc>
        <w:tc>
          <w:tcPr>
            <w:tcW w:w="2625"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keepNext/>
        <w:keepLines/>
        <w:spacing w:before="260" w:after="260" w:line="416" w:lineRule="auto"/>
        <w:jc w:val="both"/>
        <w:outlineLvl w:val="2"/>
        <w:rPr>
          <w:rFonts w:hint="eastAsia" w:ascii="宋体" w:hAnsi="宋体"/>
          <w:b/>
          <w:bCs/>
          <w:color w:val="000000" w:themeColor="text1"/>
          <w:sz w:val="28"/>
          <w:szCs w:val="32"/>
          <w:lang w:val="zh-CN"/>
          <w14:textFill>
            <w14:solidFill>
              <w14:schemeClr w14:val="tx1"/>
            </w14:solidFill>
          </w14:textFill>
        </w:rPr>
      </w:pPr>
      <w:bookmarkStart w:id="72" w:name="_Toc25959"/>
      <w:bookmarkStart w:id="73" w:name="_Toc471736410"/>
      <w:bookmarkStart w:id="74" w:name="_Toc24872"/>
      <w:bookmarkStart w:id="75" w:name="_Toc7078088"/>
      <w:bookmarkStart w:id="76" w:name="_Toc536542354"/>
      <w:bookmarkStart w:id="77" w:name="_Toc516969098"/>
      <w:bookmarkStart w:id="78" w:name="_Toc197934561"/>
      <w:bookmarkStart w:id="79" w:name="_Toc471736407"/>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numPr>
          <w:ilvl w:val="0"/>
          <w:numId w:val="0"/>
        </w:numPr>
        <w:spacing w:before="260" w:after="260" w:line="416" w:lineRule="auto"/>
        <w:ind w:leftChars="0"/>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一．投标函</w:t>
      </w:r>
      <w:bookmarkEnd w:id="72"/>
      <w:bookmarkEnd w:id="73"/>
      <w:bookmarkEnd w:id="74"/>
      <w:bookmarkEnd w:id="75"/>
      <w:bookmarkEnd w:id="76"/>
      <w:bookmarkEnd w:id="77"/>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致：合肥</w:t>
      </w:r>
      <w:r>
        <w:rPr>
          <w:rFonts w:hint="eastAsia" w:ascii="宋体" w:hAnsi="宋体" w:cs="宋体"/>
          <w:color w:val="000000" w:themeColor="text1"/>
          <w:sz w:val="24"/>
          <w:szCs w:val="24"/>
          <w:lang w:val="en-US" w:eastAsia="zh-CN"/>
          <w14:textFill>
            <w14:solidFill>
              <w14:schemeClr w14:val="tx1"/>
            </w14:solidFill>
          </w14:textFill>
        </w:rPr>
        <w:t>体育产业投资</w:t>
      </w:r>
      <w:r>
        <w:rPr>
          <w:rFonts w:hint="eastAsia" w:ascii="宋体" w:hAnsi="宋体" w:cs="宋体"/>
          <w:color w:val="000000" w:themeColor="text1"/>
          <w:sz w:val="24"/>
          <w:szCs w:val="24"/>
          <w14:textFill>
            <w14:solidFill>
              <w14:schemeClr w14:val="tx1"/>
            </w14:solidFill>
          </w14:textFill>
        </w:rPr>
        <w:t>有限公司</w:t>
      </w:r>
    </w:p>
    <w:p>
      <w:pPr>
        <w:spacing w:line="360" w:lineRule="auto"/>
        <w:ind w:left="101" w:leftChars="48" w:firstLine="480" w:firstLineChars="200"/>
        <w:jc w:val="left"/>
        <w:rPr>
          <w:rFonts w:ascii="宋体" w:hAnsi="宋体" w:cs="宋体"/>
          <w:dstrike/>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根据贵方“</w:t>
      </w:r>
      <w:r>
        <w:rPr>
          <w:rFonts w:hint="eastAsia" w:ascii="宋体" w:hAnsi="宋体" w:cs="宋体"/>
          <w:b/>
          <w:bCs/>
          <w:color w:val="000000" w:themeColor="text1"/>
          <w:sz w:val="24"/>
          <w:szCs w:val="24"/>
          <w:u w:val="single"/>
          <w14:textFill>
            <w14:solidFill>
              <w14:schemeClr w14:val="tx1"/>
            </w14:solidFill>
          </w14:textFill>
        </w:rPr>
        <w:t xml:space="preserve">                   项目</w:t>
      </w:r>
      <w:r>
        <w:rPr>
          <w:rFonts w:hint="eastAsia" w:ascii="宋体" w:hAnsi="宋体" w:cs="宋体"/>
          <w:color w:val="000000" w:themeColor="text1"/>
          <w:sz w:val="24"/>
          <w:szCs w:val="24"/>
          <w14:textFill>
            <w14:solidFill>
              <w14:schemeClr w14:val="tx1"/>
            </w14:solidFill>
          </w14:textFill>
        </w:rPr>
        <w:t>”的第</w:t>
      </w:r>
      <w:r>
        <w:rPr>
          <w:rFonts w:hint="eastAsia" w:ascii="宋体" w:hAnsi="宋体" w:cs="宋体"/>
          <w:b/>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号招标邀请书，正式授权</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（姓名、身份证号）代表投标人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（投标人全称），提交规定形式的投标文件。</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据此函，我方兹宣布同意如下：</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1.按招标文件规定提供交付的货物（包括安装调试、质保等工作）的最终投标报价详见开标一览表，如我公司中标，我公司承诺愿意按招标文件规定交纳履约保证金、工程量清单和控制价编制费（如有）。</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2.我方根据招标文件的规定，严格履行合同的责任和义务</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并保证于买方要求的日期内完成供货、安装及服务，并通过买方验收。</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3.我方承诺报价低于</w:t>
      </w:r>
      <w:r>
        <w:rPr>
          <w:rFonts w:ascii="宋体" w:hAnsi="宋体"/>
          <w:color w:val="000000" w:themeColor="text1"/>
          <w:sz w:val="24"/>
          <w14:textFill>
            <w14:solidFill>
              <w14:schemeClr w14:val="tx1"/>
            </w14:solidFill>
          </w14:textFill>
        </w:rPr>
        <w:t>同类货物和服务的市场平均价格。</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5.我方同意从招标文件规定的开标日期起遵循本投标文件，并在招标文件规定的投标有效期之前均具有约束力。</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6、我方声明投标文件所提供的一切资料均真实无误、及时、有效。企业运营正常（</w:t>
      </w:r>
      <w:r>
        <w:rPr>
          <w:rFonts w:ascii="宋体" w:hAnsi="宋体"/>
          <w:color w:val="000000" w:themeColor="text1"/>
          <w:sz w:val="24"/>
          <w14:textFill>
            <w14:solidFill>
              <w14:schemeClr w14:val="tx1"/>
            </w14:solidFill>
          </w14:textFill>
        </w:rPr>
        <w:t>注册登记信息、年报信息</w:t>
      </w:r>
      <w:r>
        <w:rPr>
          <w:rFonts w:hint="eastAsia" w:ascii="宋体" w:hAnsi="宋体"/>
          <w:color w:val="000000" w:themeColor="text1"/>
          <w:sz w:val="24"/>
          <w14:textFill>
            <w14:solidFill>
              <w14:schemeClr w14:val="tx1"/>
            </w14:solidFill>
          </w14:textFill>
        </w:rPr>
        <w:t>可查）。由于我方提供资料不实而造成的责任和后果由我方承担。我方同意按照贵方提出的要求，提供与投标有关的任何证据、数据或资料。</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7.我方承诺若中标，按招标文件要求提供本地化服务。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8.我方完全理解贵方不一定接受最低报价的投标。</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9.我方同意招标文件规定的付款方式。</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10.与本投标有关的通讯地址：</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    真：</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投标人基本账户开户名：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开户行：</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投标人签章：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p>
    <w:p>
      <w:pPr>
        <w:widowControl/>
        <w:spacing w:line="520" w:lineRule="exact"/>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特此承诺</w:t>
      </w:r>
    </w:p>
    <w:p>
      <w:pPr>
        <w:widowControl/>
        <w:spacing w:line="360" w:lineRule="exact"/>
        <w:ind w:left="840" w:leftChars="400"/>
        <w:jc w:val="left"/>
        <w:rPr>
          <w:rFonts w:ascii="宋体" w:hAnsi="宋体" w:cs="宋体"/>
          <w:color w:val="000000" w:themeColor="text1"/>
          <w:kern w:val="0"/>
          <w:sz w:val="24"/>
          <w:szCs w:val="24"/>
          <w14:textFill>
            <w14:solidFill>
              <w14:schemeClr w14:val="tx1"/>
            </w14:solidFill>
          </w14:textFill>
        </w:rPr>
      </w:pP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投标人（公章）：</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企业法人（签字）：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授权代表（签字）：</w:t>
      </w:r>
    </w:p>
    <w:p>
      <w:pPr>
        <w:widowControl/>
        <w:spacing w:line="520" w:lineRule="exact"/>
        <w:ind w:left="480"/>
        <w:jc w:val="left"/>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年</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bookmarkEnd w:id="78"/>
      <w:bookmarkEnd w:id="79"/>
      <w:bookmarkStart w:id="80" w:name="_Toc7078089"/>
      <w:bookmarkStart w:id="81" w:name="_Toc18978"/>
      <w:bookmarkStart w:id="82" w:name="_Toc536542355"/>
      <w:bookmarkStart w:id="83" w:name="_Toc23937"/>
      <w:bookmarkStart w:id="84" w:name="_Toc471736409"/>
      <w:bookmarkStart w:id="85" w:name="_Toc516969097"/>
    </w:p>
    <w:p>
      <w:pPr>
        <w:pStyle w:val="2"/>
        <w:rPr>
          <w:rFonts w:hint="eastAsia" w:ascii="宋体" w:hAnsi="宋体" w:cs="宋体"/>
          <w:color w:val="000000" w:themeColor="text1"/>
          <w:kern w:val="0"/>
          <w:sz w:val="24"/>
          <w:szCs w:val="24"/>
          <w14:textFill>
            <w14:solidFill>
              <w14:schemeClr w14:val="tx1"/>
            </w14:solidFill>
          </w14:textFill>
        </w:rPr>
      </w:pPr>
    </w:p>
    <w:p>
      <w:pPr>
        <w:pStyle w:val="2"/>
        <w:rPr>
          <w:rFonts w:hint="eastAsia" w:ascii="宋体" w:hAnsi="宋体" w:cs="宋体"/>
          <w:color w:val="000000" w:themeColor="text1"/>
          <w:kern w:val="0"/>
          <w:sz w:val="24"/>
          <w:szCs w:val="24"/>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二．投标人情况综合简介</w:t>
      </w:r>
      <w:bookmarkEnd w:id="80"/>
      <w:bookmarkEnd w:id="81"/>
      <w:bookmarkEnd w:id="82"/>
      <w:bookmarkEnd w:id="83"/>
      <w:bookmarkEnd w:id="84"/>
      <w:bookmarkEnd w:id="85"/>
    </w:p>
    <w:p>
      <w:pPr>
        <w:spacing w:line="5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(投标人可自行制作格式)</w:t>
      </w:r>
    </w:p>
    <w:p>
      <w:pPr>
        <w:spacing w:line="500" w:lineRule="exact"/>
        <w:jc w:val="center"/>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6" w:name="_Toc7078090"/>
      <w:bookmarkStart w:id="87" w:name="_Toc536542356"/>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8" w:name="_Toc17088"/>
      <w:bookmarkStart w:id="89" w:name="_Toc10885"/>
      <w:r>
        <w:rPr>
          <w:rFonts w:hint="eastAsia" w:ascii="宋体" w:hAnsi="宋体"/>
          <w:b/>
          <w:bCs/>
          <w:color w:val="000000" w:themeColor="text1"/>
          <w:sz w:val="28"/>
          <w:szCs w:val="32"/>
          <w:lang w:val="zh-CN"/>
          <w14:textFill>
            <w14:solidFill>
              <w14:schemeClr w14:val="tx1"/>
            </w14:solidFill>
          </w14:textFill>
        </w:rPr>
        <w:t>三．开标一览表</w:t>
      </w:r>
      <w:bookmarkEnd w:id="86"/>
      <w:bookmarkEnd w:id="87"/>
      <w:bookmarkEnd w:id="88"/>
      <w:bookmarkEnd w:id="89"/>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项 目 名 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 w:val="24"/>
                <w:szCs w:val="24"/>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投标范围</w:t>
            </w:r>
          </w:p>
        </w:tc>
        <w:tc>
          <w:tcPr>
            <w:tcW w:w="6667" w:type="dxa"/>
            <w:tcBorders>
              <w:top w:val="nil"/>
            </w:tcBorders>
            <w:vAlign w:val="center"/>
          </w:tcPr>
          <w:p>
            <w:pPr>
              <w:widowControl/>
              <w:spacing w:line="360" w:lineRule="exact"/>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最终投标报价</w:t>
            </w:r>
          </w:p>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szCs w:val="24"/>
                <w14:textFill>
                  <w14:solidFill>
                    <w14:schemeClr w14:val="tx1"/>
                  </w14:solidFill>
                </w14:textFill>
              </w:rPr>
            </w:pPr>
          </w:p>
        </w:tc>
      </w:tr>
    </w:tbl>
    <w:p>
      <w:pPr>
        <w:spacing w:before="100" w:beforeAutospacing="1" w:after="100" w:afterAutospacing="1" w:line="360" w:lineRule="auto"/>
        <w:rPr>
          <w:rFonts w:hint="eastAsia" w:ascii="宋体" w:hAnsi="宋体" w:cs="宋体"/>
          <w:b/>
          <w:color w:val="000000" w:themeColor="text1"/>
          <w:sz w:val="24"/>
          <w:szCs w:val="24"/>
          <w14:textFill>
            <w14:solidFill>
              <w14:schemeClr w14:val="tx1"/>
            </w14:solidFill>
          </w14:textFill>
        </w:rPr>
      </w:pPr>
    </w:p>
    <w:p>
      <w:pPr>
        <w:spacing w:before="100" w:beforeAutospacing="1" w:after="100" w:afterAutospacing="1"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投标人(公章)：                                           </w:t>
      </w:r>
    </w:p>
    <w:p>
      <w:pPr>
        <w:spacing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备注：表中最终投标报价即为优惠后报价，并作为评审及定标依据。任何有选择或有条件的最终投标报价，或者表中某一标段填写多个报价，均为无效报价</w:t>
      </w:r>
    </w:p>
    <w:p>
      <w:pPr>
        <w:spacing w:line="360" w:lineRule="auto"/>
        <w:rPr>
          <w:rFonts w:ascii="宋体" w:hAnsi="宋体" w:cs="宋体"/>
          <w:b/>
          <w:color w:val="000000" w:themeColor="text1"/>
          <w:sz w:val="24"/>
          <w:szCs w:val="24"/>
          <w14:textFill>
            <w14:solidFill>
              <w14:schemeClr w14:val="tx1"/>
            </w14:solidFill>
          </w14:textFill>
        </w:rPr>
      </w:pPr>
    </w:p>
    <w:p>
      <w:pPr>
        <w:spacing w:line="360" w:lineRule="auto"/>
        <w:rPr>
          <w:rFonts w:ascii="宋体" w:hAnsi="宋体" w:cs="宋体"/>
          <w:b/>
          <w:color w:val="000000" w:themeColor="text1"/>
          <w:sz w:val="24"/>
          <w:szCs w:val="24"/>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90" w:name="_Hlt509739007"/>
      <w:bookmarkEnd w:id="90"/>
      <w:bookmarkStart w:id="91" w:name="_Toc536542357"/>
      <w:bookmarkStart w:id="92" w:name="_Toc22836"/>
      <w:bookmarkStart w:id="93" w:name="_Toc7078091"/>
      <w:bookmarkStart w:id="94" w:name="_Toc15537"/>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四．投标响应表</w:t>
      </w:r>
      <w:bookmarkEnd w:id="91"/>
      <w:bookmarkEnd w:id="92"/>
      <w:bookmarkEnd w:id="93"/>
      <w:bookmarkEnd w:id="94"/>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按招标文件规定填写</w:t>
            </w:r>
          </w:p>
        </w:tc>
        <w:tc>
          <w:tcPr>
            <w:tcW w:w="4200" w:type="dxa"/>
            <w:gridSpan w:val="2"/>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第一部分：技术部分响应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投标具体内容/承诺</w:t>
            </w:r>
          </w:p>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（如所投产品品牌、型号、技术规格及配置、材质等）</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第二部分：资信及报价部分响应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投标承诺</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vAlign w:val="center"/>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bl>
    <w:p>
      <w:pPr>
        <w:spacing w:line="360" w:lineRule="auto"/>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投标人（公章）：</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p>
      <w:pPr>
        <w:spacing w:line="360" w:lineRule="auto"/>
        <w:rPr>
          <w:rFonts w:ascii="宋体" w:hAnsi="宋体" w:cs="宋体"/>
          <w:b/>
          <w:bCs/>
          <w:color w:val="000000" w:themeColor="text1"/>
          <w:sz w:val="24"/>
          <w:szCs w:val="24"/>
          <w:lang w:val="zh-CN"/>
          <w14:textFill>
            <w14:solidFill>
              <w14:schemeClr w14:val="tx1"/>
            </w14:solidFill>
          </w14:textFill>
        </w:rPr>
      </w:pPr>
      <w:r>
        <w:rPr>
          <w:rFonts w:hint="eastAsia" w:ascii="宋体" w:hAnsi="宋体" w:cs="宋体"/>
          <w:b/>
          <w:bCs/>
          <w:color w:val="000000" w:themeColor="text1"/>
          <w:sz w:val="24"/>
          <w:szCs w:val="24"/>
          <w:lang w:val="zh-CN"/>
          <w14:textFill>
            <w14:solidFill>
              <w14:schemeClr w14:val="tx1"/>
            </w14:solidFill>
          </w14:textFill>
        </w:rPr>
        <w:t>1.投标人必须根据招标需求逐项对应描述</w:t>
      </w:r>
      <w:r>
        <w:rPr>
          <w:rFonts w:hint="eastAsia" w:ascii="宋体" w:hAnsi="宋体" w:cs="宋体"/>
          <w:b/>
          <w:color w:val="000000" w:themeColor="text1"/>
          <w:sz w:val="24"/>
          <w:szCs w:val="24"/>
          <w:lang w:val="zh-CN"/>
          <w14:textFill>
            <w14:solidFill>
              <w14:schemeClr w14:val="tx1"/>
            </w14:solidFill>
          </w14:textFill>
        </w:rPr>
        <w:t>投标的具体内容，如</w:t>
      </w:r>
      <w:r>
        <w:rPr>
          <w:rFonts w:hint="eastAsia" w:ascii="宋体" w:hAnsi="宋体" w:cs="宋体"/>
          <w:b/>
          <w:bCs/>
          <w:color w:val="000000" w:themeColor="text1"/>
          <w:sz w:val="24"/>
          <w:szCs w:val="24"/>
          <w:lang w:val="zh-CN"/>
          <w14:textFill>
            <w14:solidFill>
              <w14:schemeClr w14:val="tx1"/>
            </w14:solidFill>
          </w14:textFill>
        </w:rPr>
        <w:t>投标货物主要参数、材质、配置及服务要求等，如不进行描述，仅在“</w:t>
      </w:r>
      <w:r>
        <w:rPr>
          <w:rFonts w:hint="eastAsia" w:ascii="宋体" w:hAnsi="宋体" w:cs="宋体"/>
          <w:b/>
          <w:color w:val="000000" w:themeColor="text1"/>
          <w:sz w:val="24"/>
          <w:szCs w:val="24"/>
          <w:lang w:val="zh-CN"/>
          <w14:textFill>
            <w14:solidFill>
              <w14:schemeClr w14:val="tx1"/>
            </w14:solidFill>
          </w14:textFill>
        </w:rPr>
        <w:t>按投标人所投内容填写</w:t>
      </w:r>
      <w:r>
        <w:rPr>
          <w:rFonts w:hint="eastAsia" w:ascii="宋体" w:hAnsi="宋体" w:cs="宋体"/>
          <w:b/>
          <w:bCs/>
          <w:color w:val="000000" w:themeColor="text1"/>
          <w:sz w:val="24"/>
          <w:szCs w:val="24"/>
          <w:lang w:val="zh-CN"/>
          <w14:textFill>
            <w14:solidFill>
              <w14:schemeClr w14:val="tx1"/>
            </w14:solidFill>
          </w14:textFill>
        </w:rPr>
        <w:t>”部分填写“响应”或未填写或仅复制招标文件技术参数的，包括有选择性的技术响应（例如在某一分项中出现两个及以上的投标品牌或两种及两种以上的技术规格），均可能导致投标无效；</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2.投标人所投产品如与招标文件要求的主要参数、材质、配置及服务要求等不一致的，则须在上表“偏离说明”栏中详细注明。</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w:t>
      </w:r>
      <w:r>
        <w:rPr>
          <w:rFonts w:hint="eastAsia" w:ascii="宋体" w:hAnsi="宋体" w:cs="宋体"/>
          <w:b/>
          <w:color w:val="000000" w:themeColor="text1"/>
          <w:sz w:val="24"/>
          <w:szCs w:val="24"/>
          <w14:textFill>
            <w14:solidFill>
              <w14:schemeClr w14:val="tx1"/>
            </w14:solidFill>
          </w14:textFill>
        </w:rPr>
        <w:t>按投标人所投内容填写</w:t>
      </w:r>
      <w:r>
        <w:rPr>
          <w:rFonts w:hint="eastAsia" w:ascii="宋体" w:hAnsi="宋体" w:cs="宋体"/>
          <w:b/>
          <w:bCs/>
          <w:color w:val="000000" w:themeColor="text1"/>
          <w:sz w:val="24"/>
          <w:szCs w:val="24"/>
          <w14:textFill>
            <w14:solidFill>
              <w14:schemeClr w14:val="tx1"/>
            </w14:solidFill>
          </w14:textFill>
        </w:rPr>
        <w:t>”部分可后附详细说明及技术资料。</w:t>
      </w:r>
      <w:bookmarkStart w:id="95" w:name="_Toc471736411"/>
      <w:bookmarkStart w:id="96" w:name="_Toc461103234"/>
      <w:bookmarkStart w:id="97" w:name="_Toc197934563"/>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pStyle w:val="7"/>
        <w:rPr>
          <w:rFonts w:hAnsi="宋体"/>
          <w:color w:val="000000" w:themeColor="text1"/>
          <w:sz w:val="28"/>
          <w14:textFill>
            <w14:solidFill>
              <w14:schemeClr w14:val="tx1"/>
            </w14:solidFill>
          </w14:textFill>
        </w:rPr>
      </w:pPr>
      <w:bookmarkStart w:id="98" w:name="_Toc10981"/>
      <w:bookmarkStart w:id="99" w:name="_Toc536542359"/>
      <w:bookmarkStart w:id="100" w:name="_Toc2976"/>
      <w:bookmarkStart w:id="101" w:name="_Toc7078093"/>
      <w:r>
        <w:rPr>
          <w:rFonts w:hint="eastAsia" w:hAnsi="宋体"/>
          <w:color w:val="000000" w:themeColor="text1"/>
          <w:sz w:val="28"/>
          <w14:textFill>
            <w14:solidFill>
              <w14:schemeClr w14:val="tx1"/>
            </w14:solidFill>
          </w14:textFill>
        </w:rPr>
        <w:t>五.投标货物及报价表</w:t>
      </w:r>
      <w:bookmarkEnd w:id="98"/>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80"/>
        <w:gridCol w:w="1903"/>
        <w:gridCol w:w="2144"/>
        <w:gridCol w:w="698"/>
        <w:gridCol w:w="698"/>
        <w:gridCol w:w="698"/>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vAlign w:val="center"/>
          </w:tcPr>
          <w:p>
            <w:pPr>
              <w:pStyle w:val="75"/>
              <w:widowControl w:val="0"/>
              <w:spacing w:before="120" w:beforeAutospacing="0" w:after="120" w:afterAutospacing="0"/>
              <w:ind w:left="1680"/>
              <w:jc w:val="both"/>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序号</w:t>
            </w:r>
          </w:p>
        </w:tc>
        <w:tc>
          <w:tcPr>
            <w:tcW w:w="1180"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货物名称</w:t>
            </w:r>
          </w:p>
        </w:tc>
        <w:tc>
          <w:tcPr>
            <w:tcW w:w="1903"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品牌、型号规格</w:t>
            </w:r>
          </w:p>
        </w:tc>
        <w:tc>
          <w:tcPr>
            <w:tcW w:w="2144"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原产地及生产厂商</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单位</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数量</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单价</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小计</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Borders>
              <w:bottom w:val="single" w:color="auto"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其他费用</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pStyle w:val="69"/>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bl>
    <w:p>
      <w:pPr>
        <w:pStyle w:val="29"/>
        <w:spacing w:line="360" w:lineRule="auto"/>
        <w:rPr>
          <w:rFonts w:ascii="宋体" w:hAnsi="宋体"/>
          <w:b w:val="0"/>
          <w:bCs/>
          <w:color w:val="000000" w:themeColor="text1"/>
          <w:sz w:val="24"/>
          <w:szCs w:val="28"/>
          <w14:textFill>
            <w14:solidFill>
              <w14:schemeClr w14:val="tx1"/>
            </w14:solidFill>
          </w14:textFill>
        </w:rPr>
      </w:pPr>
      <w:r>
        <w:rPr>
          <w:rFonts w:hint="eastAsia" w:ascii="宋体" w:hAnsi="宋体"/>
          <w:color w:val="000000" w:themeColor="text1"/>
          <w:sz w:val="24"/>
          <w14:textFill>
            <w14:solidFill>
              <w14:schemeClr w14:val="tx1"/>
            </w14:solidFill>
          </w14:textFill>
        </w:rPr>
        <w:t>投标人公章：</w:t>
      </w:r>
    </w:p>
    <w:p>
      <w:pPr>
        <w:adjustRightInd w:val="0"/>
        <w:snapToGrid w:val="0"/>
        <w:spacing w:line="360" w:lineRule="auto"/>
        <w:rPr>
          <w:rFonts w:ascii="宋体" w:hAnsi="宋体"/>
          <w:b/>
          <w:bCs/>
          <w:color w:val="000000" w:themeColor="text1"/>
          <w:sz w:val="24"/>
          <w:szCs w:val="28"/>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102" w:name="_Toc32709"/>
      <w:r>
        <w:rPr>
          <w:rFonts w:hint="eastAsia" w:ascii="宋体" w:hAnsi="宋体"/>
          <w:b/>
          <w:bCs/>
          <w:color w:val="000000" w:themeColor="text1"/>
          <w:sz w:val="28"/>
          <w:szCs w:val="32"/>
          <w:lang w:val="zh-CN"/>
          <w14:textFill>
            <w14:solidFill>
              <w14:schemeClr w14:val="tx1"/>
            </w14:solidFill>
          </w14:textFill>
        </w:rPr>
        <w:t>六．投标授权书</w:t>
      </w:r>
      <w:bookmarkEnd w:id="99"/>
      <w:bookmarkEnd w:id="100"/>
      <w:bookmarkEnd w:id="101"/>
      <w:bookmarkEnd w:id="102"/>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本授权书声明：</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公司授权</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（投标人授权代表姓名、职务，手机号码）代表本公司参加文旅博览集团有限公司</w:t>
      </w:r>
      <w:r>
        <w:rPr>
          <w:rFonts w:hint="eastAsia" w:ascii="宋体" w:hAnsi="宋体"/>
          <w:b/>
          <w:color w:val="000000" w:themeColor="text1"/>
          <w:sz w:val="24"/>
          <w:szCs w:val="28"/>
          <w:u w:val="single"/>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招标活动（项目编号：</w:t>
      </w:r>
      <w:r>
        <w:rPr>
          <w:rFonts w:hint="eastAsia" w:ascii="宋体" w:hAnsi="宋体"/>
          <w:b/>
          <w:color w:val="000000" w:themeColor="text1"/>
          <w:sz w:val="24"/>
          <w:szCs w:val="28"/>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w:t>
      </w:r>
      <w:r>
        <w:rPr>
          <w:rFonts w:hint="eastAsia" w:ascii="宋体" w:hAnsi="宋体"/>
          <w:color w:val="000000" w:themeColor="text1"/>
          <w:sz w:val="24"/>
          <w:szCs w:val="28"/>
          <w:lang w:val="zh-CN"/>
          <w14:textFill>
            <w14:solidFill>
              <w14:schemeClr w14:val="tx1"/>
            </w14:solidFill>
          </w14:textFill>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本授权书自出具之日起生效。</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9525" t="8255" r="6985" b="6985"/>
                <wp:wrapNone/>
                <wp:docPr id="5" name="组合 5"/>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6" name="自选图形 67"/>
                        <wps:cNvSpPr>
                          <a:spLocks noChangeArrowheads="1"/>
                        </wps:cNvSpPr>
                        <wps:spPr bwMode="auto">
                          <a:xfrm>
                            <a:off x="3270" y="5789"/>
                            <a:ext cx="2794" cy="1525"/>
                          </a:xfrm>
                          <a:prstGeom prst="roundRect">
                            <a:avLst>
                              <a:gd name="adj" fmla="val 16667"/>
                            </a:avLst>
                          </a:prstGeom>
                          <a:solidFill>
                            <a:srgbClr val="FFFFFF"/>
                          </a:solidFill>
                          <a:ln w="9525">
                            <a:solidFill>
                              <a:srgbClr val="000000"/>
                            </a:solidFill>
                            <a:round/>
                          </a:ln>
                        </wps:spPr>
                        <wps:txb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wps:txbx>
                        <wps:bodyPr rot="0" vert="horz" wrap="square" lIns="91440" tIns="45720" rIns="91440" bIns="45720" anchor="t" anchorCtr="0" upright="1">
                          <a:noAutofit/>
                        </wps:bodyPr>
                      </wps:wsp>
                      <wps:wsp>
                        <wps:cNvPr id="7" name="自选图形 68"/>
                        <wps:cNvSpPr>
                          <a:spLocks noChangeArrowheads="1"/>
                        </wps:cNvSpPr>
                        <wps:spPr bwMode="auto">
                          <a:xfrm>
                            <a:off x="6555" y="5789"/>
                            <a:ext cx="2794" cy="1525"/>
                          </a:xfrm>
                          <a:prstGeom prst="roundRect">
                            <a:avLst>
                              <a:gd name="adj" fmla="val 16667"/>
                            </a:avLst>
                          </a:prstGeom>
                          <a:solidFill>
                            <a:srgbClr val="FFFFFF"/>
                          </a:solidFill>
                          <a:ln w="9525">
                            <a:solidFill>
                              <a:srgbClr val="000000"/>
                            </a:solidFill>
                            <a:round/>
                          </a:ln>
                        </wps:spPr>
                        <wps:txb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fkG2w9kAAAAKAQAADwAAAAAAAAABACAAAAAiAAAAZHJzL2Rv&#10;d25yZXYueG1sUEsBAhQAFAAAAAgAh07iQDWBReDkAgAAnggAAA4AAAAAAAAAAQAgAAAAKAEAAGRy&#10;cy9lMm9Eb2MueG1sUEsFBgAAAAAGAAYAWQEAAH4GAAAAAA==&#10;">
                <o:lock v:ext="edit" aspectratio="f"/>
                <v:roundrect id="自选图形 67" o:spid="_x0000_s1026" o:spt="2" style="position:absolute;left:3270;top:5789;height:1525;width:2794;" fillcolor="#FFFFFF" filled="t" stroked="t" coordsize="21600,21600" arcsize="0.166666666666667" o:gfxdata="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eTtK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v:textbox>
                </v:roundrect>
                <v:roundrect id="自选图形 68" o:spid="_x0000_s1026" o:spt="2" style="position:absolute;left:6555;top:5789;height:1525;width:2794;" fillcolor="#FFFFFF" filled="t" stroked="t" coordsize="21600,21600" arcsize="0.166666666666667" o:gfxdata="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S60m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v:textbox>
                </v:roundrect>
              </v:group>
            </w:pict>
          </mc:Fallback>
        </mc:AlternateContent>
      </w:r>
    </w:p>
    <w:p>
      <w:pPr>
        <w:spacing w:line="360" w:lineRule="auto"/>
        <w:ind w:firstLine="645"/>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特此声明。</w:t>
      </w: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b/>
          <w:bCs/>
          <w:color w:val="000000" w:themeColor="text1"/>
          <w:sz w:val="24"/>
          <w:szCs w:val="28"/>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投标人(公章)：</w:t>
      </w:r>
      <w:r>
        <w:rPr>
          <w:rFonts w:hint="eastAsia" w:ascii="宋体" w:hAnsi="宋体"/>
          <w:b/>
          <w:bCs/>
          <w:color w:val="000000" w:themeColor="text1"/>
          <w:sz w:val="24"/>
          <w:szCs w:val="28"/>
          <w:u w:val="single"/>
          <w14:textFill>
            <w14:solidFill>
              <w14:schemeClr w14:val="tx1"/>
            </w14:solidFill>
          </w14:textFill>
        </w:rPr>
        <w:t xml:space="preserve">                    </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 xml:space="preserve">日        期： </w:t>
      </w:r>
      <w:r>
        <w:rPr>
          <w:rFonts w:hint="eastAsia" w:ascii="宋体" w:hAnsi="宋体"/>
          <w:color w:val="000000" w:themeColor="text1"/>
          <w:sz w:val="24"/>
          <w:szCs w:val="28"/>
          <w:u w:val="single"/>
          <w14:textFill>
            <w14:solidFill>
              <w14:schemeClr w14:val="tx1"/>
            </w14:solidFill>
          </w14:textFill>
        </w:rPr>
        <w:t xml:space="preserve">                   </w:t>
      </w:r>
    </w:p>
    <w:p>
      <w:pPr>
        <w:rPr>
          <w:rFonts w:ascii="宋体" w:hAnsi="宋体"/>
          <w:color w:val="000000" w:themeColor="text1"/>
          <w:sz w:val="28"/>
          <w:szCs w:val="28"/>
          <w14:textFill>
            <w14:solidFill>
              <w14:schemeClr w14:val="tx1"/>
            </w14:solidFill>
          </w14:textFill>
        </w:rPr>
      </w:pP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注：</w:t>
      </w: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1.本项目只允许有唯一的投标人授权代表（须与投标函中授权代表为同一人，否则投标无效），投标文件中提供授权代表身份证</w:t>
      </w:r>
      <w:r>
        <w:rPr>
          <w:rFonts w:hint="eastAsia" w:ascii="宋体" w:hAnsi="宋体"/>
          <w:color w:val="000000" w:themeColor="text1"/>
          <w:sz w:val="24"/>
          <w:szCs w:val="20"/>
          <w:lang w:val="zh-CN"/>
          <w14:textFill>
            <w14:solidFill>
              <w14:schemeClr w14:val="tx1"/>
            </w14:solidFill>
          </w14:textFill>
        </w:rPr>
        <w:t>扫描件</w:t>
      </w:r>
      <w:r>
        <w:rPr>
          <w:rFonts w:hint="eastAsia" w:ascii="宋体" w:hAnsi="宋体"/>
          <w:color w:val="000000" w:themeColor="text1"/>
          <w:sz w:val="24"/>
          <w:szCs w:val="28"/>
          <w:lang w:val="zh-CN"/>
          <w14:textFill>
            <w14:solidFill>
              <w14:schemeClr w14:val="tx1"/>
            </w14:solidFill>
          </w14:textFill>
        </w:rPr>
        <w:t>。</w:t>
      </w:r>
    </w:p>
    <w:p>
      <w:pPr>
        <w:snapToGrid w:val="0"/>
        <w:spacing w:line="360" w:lineRule="auto"/>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2.法定代表人参加投标的无需此件，</w:t>
      </w:r>
      <w:r>
        <w:rPr>
          <w:rFonts w:hint="eastAsia" w:ascii="宋体" w:hAnsi="宋体"/>
          <w:color w:val="000000" w:themeColor="text1"/>
          <w:sz w:val="24"/>
          <w:szCs w:val="20"/>
          <w:lang w:val="zh-CN"/>
          <w14:textFill>
            <w14:solidFill>
              <w14:schemeClr w14:val="tx1"/>
            </w14:solidFill>
          </w14:textFill>
        </w:rPr>
        <w:t>但投标文件中须提供身份证扫描件。</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3" w:name="_Toc7078094"/>
      <w:bookmarkStart w:id="104" w:name="_Toc536542360"/>
      <w:bookmarkStart w:id="105" w:name="_Toc6570"/>
      <w:bookmarkStart w:id="106" w:name="_Toc14779"/>
      <w:r>
        <w:rPr>
          <w:rFonts w:hint="eastAsia" w:ascii="宋体" w:hAnsi="宋体" w:cs="宋体"/>
          <w:b/>
          <w:bCs/>
          <w:color w:val="000000" w:themeColor="text1"/>
          <w:sz w:val="28"/>
          <w:szCs w:val="28"/>
          <w:lang w:val="zh-CN"/>
          <w14:textFill>
            <w14:solidFill>
              <w14:schemeClr w14:val="tx1"/>
            </w14:solidFill>
          </w14:textFill>
        </w:rPr>
        <w:t>七．投标人信用承诺</w:t>
      </w:r>
      <w:bookmarkEnd w:id="95"/>
      <w:bookmarkEnd w:id="96"/>
      <w:bookmarkEnd w:id="103"/>
      <w:bookmarkEnd w:id="104"/>
      <w:bookmarkEnd w:id="105"/>
      <w:bookmarkEnd w:id="106"/>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我公司申明，我公司无以下不良信用记录情形：</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1.公司被人民法院列入失信被执行人；</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2.公司、公司法定代表人被人民检察院列入行贿犯罪档案；</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3.公司被工商行政管理部门列入企业经营异常名录；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4.公司被税务部门列入重大税收违法案件当事人名单的；</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 参加本次投标活动前三年内，在服务活动中没有重大违法及安全事故记录。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投标人（公章）：</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bookmarkEnd w:id="97"/>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7" w:name="_Hlt509738950"/>
      <w:bookmarkEnd w:id="107"/>
      <w:bookmarkStart w:id="108" w:name="_Toc496587831"/>
      <w:bookmarkStart w:id="109" w:name="_Toc2056"/>
      <w:bookmarkStart w:id="110" w:name="_Toc536542361"/>
      <w:bookmarkStart w:id="111" w:name="_Toc24259"/>
      <w:bookmarkStart w:id="112" w:name="_Toc7078095"/>
      <w:r>
        <w:rPr>
          <w:rFonts w:hint="eastAsia" w:ascii="宋体" w:hAnsi="宋体" w:cs="宋体"/>
          <w:b/>
          <w:bCs/>
          <w:color w:val="000000" w:themeColor="text1"/>
          <w:sz w:val="28"/>
          <w:szCs w:val="28"/>
          <w:lang w:val="zh-CN"/>
          <w14:textFill>
            <w14:solidFill>
              <w14:schemeClr w14:val="tx1"/>
            </w14:solidFill>
          </w14:textFill>
        </w:rPr>
        <w:t>八.</w:t>
      </w:r>
      <w:bookmarkEnd w:id="108"/>
      <w:r>
        <w:rPr>
          <w:rFonts w:hint="eastAsia" w:ascii="宋体" w:hAnsi="宋体" w:cs="宋体"/>
          <w:b/>
          <w:bCs/>
          <w:color w:val="000000" w:themeColor="text1"/>
          <w:sz w:val="28"/>
          <w:szCs w:val="28"/>
          <w:lang w:val="zh-CN"/>
          <w14:textFill>
            <w14:solidFill>
              <w14:schemeClr w14:val="tx1"/>
            </w14:solidFill>
          </w14:textFill>
        </w:rPr>
        <w:t xml:space="preserve"> 投标业绩</w:t>
      </w:r>
      <w:bookmarkEnd w:id="109"/>
      <w:bookmarkEnd w:id="110"/>
      <w:bookmarkEnd w:id="111"/>
      <w:bookmarkEnd w:id="112"/>
    </w:p>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（一）业绩表</w:t>
      </w:r>
    </w:p>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（格式仅供参考）</w:t>
      </w:r>
    </w:p>
    <w:tbl>
      <w:tblPr>
        <w:tblStyle w:val="50"/>
        <w:tblW w:w="1005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25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项目名称</w:t>
            </w:r>
          </w:p>
        </w:tc>
        <w:tc>
          <w:tcPr>
            <w:tcW w:w="2410" w:type="dxa"/>
            <w:vAlign w:val="center"/>
          </w:tcPr>
          <w:p>
            <w:pPr>
              <w:widowControl/>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服务内容</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合同总金额</w:t>
            </w:r>
          </w:p>
        </w:tc>
        <w:tc>
          <w:tcPr>
            <w:tcW w:w="2551"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业主单位及联系电话</w:t>
            </w:r>
          </w:p>
        </w:tc>
        <w:tc>
          <w:tcPr>
            <w:tcW w:w="1134"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059" w:type="dxa"/>
            <w:gridSpan w:val="6"/>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（二）业绩证明材料</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（建议与上述“（一）业绩表”填写的业绩一一对应提供）</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13" w:name="_Toc516969105"/>
      <w:bookmarkStart w:id="114" w:name="_Toc220232402"/>
      <w:bookmarkStart w:id="115" w:name="_Toc536542362"/>
      <w:bookmarkStart w:id="116" w:name="_Toc471736419"/>
      <w:bookmarkStart w:id="117" w:name="_Toc16606"/>
      <w:bookmarkStart w:id="118" w:name="_Toc7078096"/>
      <w:bookmarkStart w:id="119" w:name="_Toc12076"/>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6"/>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九．有关证明文件</w:t>
      </w:r>
      <w:bookmarkEnd w:id="113"/>
      <w:bookmarkEnd w:id="114"/>
      <w:bookmarkEnd w:id="115"/>
      <w:bookmarkEnd w:id="116"/>
      <w:bookmarkEnd w:id="117"/>
      <w:bookmarkEnd w:id="118"/>
      <w:bookmarkEnd w:id="119"/>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提供符合投标邀请、招标需求及评标办法规定的相关证明文件（制作成扫描件）。</w:t>
      </w:r>
    </w:p>
    <w:p>
      <w:pPr>
        <w:snapToGrid w:val="0"/>
        <w:spacing w:before="120" w:after="120" w:line="360" w:lineRule="auto"/>
        <w:ind w:firstLine="480"/>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特别提示：</w:t>
      </w:r>
    </w:p>
    <w:p>
      <w:pPr>
        <w:snapToGrid w:val="0"/>
        <w:spacing w:line="360" w:lineRule="auto"/>
        <w:ind w:firstLine="482"/>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投标人在投标文件制作时，提供下列材料（包括但不限于）：</w:t>
      </w:r>
    </w:p>
    <w:p>
      <w:pPr>
        <w:tabs>
          <w:tab w:val="left" w:pos="4620"/>
        </w:tabs>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招标文件要求的其他证明资料</w:t>
      </w:r>
      <w:r>
        <w:rPr>
          <w:rFonts w:hint="eastAsia" w:ascii="宋体" w:hAnsi="宋体" w:cs="Cambria"/>
          <w:b/>
          <w:color w:val="000000" w:themeColor="text1"/>
          <w:sz w:val="24"/>
          <w14:textFill>
            <w14:solidFill>
              <w14:schemeClr w14:val="tx1"/>
            </w14:solidFill>
          </w14:textFill>
        </w:rPr>
        <w:t>（根据项目要求编辑）</w:t>
      </w:r>
      <w:r>
        <w:rPr>
          <w:rFonts w:hint="eastAsia" w:ascii="宋体" w:hAnsi="宋体"/>
          <w:b/>
          <w:color w:val="000000" w:themeColor="text1"/>
          <w:sz w:val="24"/>
          <w:szCs w:val="24"/>
          <w14:textFill>
            <w14:solidFill>
              <w14:schemeClr w14:val="tx1"/>
            </w14:solidFill>
          </w14:textFill>
        </w:rPr>
        <w:t>，</w:t>
      </w:r>
      <w:r>
        <w:rPr>
          <w:rFonts w:ascii="宋体" w:hAnsi="宋体"/>
          <w:b/>
          <w:color w:val="000000" w:themeColor="text1"/>
          <w:sz w:val="24"/>
          <w:szCs w:val="24"/>
          <w14:textFill>
            <w14:solidFill>
              <w14:schemeClr w14:val="tx1"/>
            </w14:solidFill>
          </w14:textFill>
        </w:rPr>
        <w:t>如</w:t>
      </w:r>
      <w:r>
        <w:rPr>
          <w:rFonts w:hint="eastAsia" w:ascii="宋体" w:hAnsi="宋体"/>
          <w:b/>
          <w:color w:val="000000" w:themeColor="text1"/>
          <w:sz w:val="24"/>
          <w:szCs w:val="24"/>
          <w14:textFill>
            <w14:solidFill>
              <w14:schemeClr w14:val="tx1"/>
            </w14:solidFill>
          </w14:textFill>
        </w:rPr>
        <w:t>营业执照</w:t>
      </w:r>
      <w:r>
        <w:rPr>
          <w:rFonts w:ascii="宋体" w:hAnsi="宋体"/>
          <w:b/>
          <w:color w:val="000000" w:themeColor="text1"/>
          <w:sz w:val="24"/>
          <w:szCs w:val="24"/>
          <w14:textFill>
            <w14:solidFill>
              <w14:schemeClr w14:val="tx1"/>
            </w14:solidFill>
          </w14:textFill>
        </w:rPr>
        <w:t>、税务登记证</w:t>
      </w:r>
      <w:r>
        <w:rPr>
          <w:rFonts w:hint="eastAsia" w:ascii="宋体" w:hAnsi="宋体"/>
          <w:b/>
          <w:color w:val="000000" w:themeColor="text1"/>
          <w:sz w:val="24"/>
          <w:szCs w:val="24"/>
          <w14:textFill>
            <w14:solidFill>
              <w14:schemeClr w14:val="tx1"/>
            </w14:solidFill>
          </w14:textFill>
        </w:rPr>
        <w:t>、业绩、相关证书、证明资料</w:t>
      </w:r>
      <w:r>
        <w:rPr>
          <w:rFonts w:ascii="宋体" w:hAnsi="宋体"/>
          <w:b/>
          <w:color w:val="000000" w:themeColor="text1"/>
          <w:sz w:val="24"/>
          <w:szCs w:val="24"/>
          <w14:textFill>
            <w14:solidFill>
              <w14:schemeClr w14:val="tx1"/>
            </w14:solidFill>
          </w14:textFill>
        </w:rPr>
        <w:t>等</w:t>
      </w:r>
      <w:r>
        <w:rPr>
          <w:rFonts w:hint="eastAsia" w:ascii="宋体" w:hAnsi="宋体"/>
          <w:b/>
          <w:color w:val="000000" w:themeColor="text1"/>
          <w:sz w:val="24"/>
          <w:szCs w:val="24"/>
          <w14:textFill>
            <w14:solidFill>
              <w14:schemeClr w14:val="tx1"/>
            </w14:solidFill>
          </w14:textFill>
        </w:rPr>
        <w:t>，</w:t>
      </w:r>
      <w:r>
        <w:rPr>
          <w:rFonts w:hint="eastAsia" w:ascii="宋体" w:hAnsi="宋体"/>
          <w:color w:val="000000" w:themeColor="text1"/>
          <w:sz w:val="24"/>
          <w14:textFill>
            <w14:solidFill>
              <w14:schemeClr w14:val="tx1"/>
            </w14:solidFill>
          </w14:textFill>
        </w:rPr>
        <w:t>应将上述证明材料制作成扫描件。</w:t>
      </w:r>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bookmarkStart w:id="120" w:name="_Toc32245"/>
      <w:bookmarkStart w:id="121" w:name="_Toc6203"/>
      <w:bookmarkStart w:id="122" w:name="_Toc515390553"/>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654" w:firstLineChars="1300"/>
        <w:jc w:val="both"/>
        <w:outlineLvl w:val="2"/>
        <w:rPr>
          <w:rFonts w:ascii="宋体" w:hAnsi="宋体"/>
          <w:color w:val="000000" w:themeColor="text1"/>
          <w:sz w:val="32"/>
          <w:szCs w:val="32"/>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十．</w:t>
      </w:r>
      <w:bookmarkStart w:id="123" w:name="_Toc420342112"/>
      <w:bookmarkStart w:id="124" w:name="_Toc459990161"/>
      <w:r>
        <w:rPr>
          <w:rFonts w:hint="eastAsia" w:ascii="宋体" w:hAnsi="宋体"/>
          <w:b/>
          <w:bCs/>
          <w:color w:val="000000" w:themeColor="text1"/>
          <w:sz w:val="28"/>
          <w:szCs w:val="32"/>
          <w:lang w:val="zh-CN"/>
          <w14:textFill>
            <w14:solidFill>
              <w14:schemeClr w14:val="tx1"/>
            </w14:solidFill>
          </w14:textFill>
        </w:rPr>
        <w:t>项目人员配备</w:t>
      </w:r>
      <w:bookmarkEnd w:id="120"/>
      <w:bookmarkEnd w:id="121"/>
      <w:bookmarkEnd w:id="122"/>
      <w:bookmarkEnd w:id="123"/>
      <w:bookmarkEnd w:id="124"/>
    </w:p>
    <w:tbl>
      <w:tblPr>
        <w:tblStyle w:val="50"/>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01"/>
        <w:gridCol w:w="1178"/>
        <w:gridCol w:w="151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80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p>
        </w:tc>
        <w:tc>
          <w:tcPr>
            <w:tcW w:w="1701"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tc>
        <w:tc>
          <w:tcPr>
            <w:tcW w:w="117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tc>
        <w:tc>
          <w:tcPr>
            <w:tcW w:w="226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项目经理</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技术负责人</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其它人员</w:t>
            </w:r>
          </w:p>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bl>
    <w:p>
      <w:pPr>
        <w:autoSpaceDE w:val="0"/>
        <w:autoSpaceDN w:val="0"/>
        <w:adjustRightInd w:val="0"/>
        <w:spacing w:line="360" w:lineRule="auto"/>
        <w:ind w:firstLine="482" w:firstLineChars="200"/>
        <w:rPr>
          <w:rFonts w:hint="eastAsia" w:ascii="宋体" w:hAnsi="宋体"/>
          <w:b/>
          <w:color w:val="000000" w:themeColor="text1"/>
          <w:sz w:val="24"/>
          <w14:textFill>
            <w14:solidFill>
              <w14:schemeClr w14:val="tx1"/>
            </w14:solidFill>
          </w14:textFill>
        </w:rPr>
      </w:pPr>
    </w:p>
    <w:p>
      <w:pPr>
        <w:autoSpaceDE w:val="0"/>
        <w:autoSpaceDN w:val="0"/>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投标人签章：</w:t>
      </w:r>
    </w:p>
    <w:p>
      <w:pPr>
        <w:spacing w:line="360" w:lineRule="auto"/>
        <w:ind w:firstLine="420" w:firstLineChars="200"/>
        <w:rPr>
          <w:rFonts w:hint="eastAsia" w:ascii="宋体" w:hAnsi="宋体"/>
          <w:color w:val="000000" w:themeColor="text1"/>
          <w14:textFill>
            <w14:solidFill>
              <w14:schemeClr w14:val="tx1"/>
            </w14:solidFill>
          </w14:textFill>
        </w:rPr>
      </w:pPr>
    </w:p>
    <w:p>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p>
      <w:pPr>
        <w:adjustRightInd w:val="0"/>
        <w:spacing w:line="360" w:lineRule="auto"/>
        <w:ind w:firstLine="480" w:firstLineChars="200"/>
        <w:textAlignment w:val="baseline"/>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 管理机构的主要人员（项目</w:t>
      </w:r>
      <w:r>
        <w:rPr>
          <w:rFonts w:hint="eastAsia" w:ascii="宋体" w:hAnsi="宋体"/>
          <w:color w:val="000000" w:themeColor="text1"/>
          <w:sz w:val="24"/>
          <w14:textFill>
            <w14:solidFill>
              <w14:schemeClr w14:val="tx1"/>
            </w14:solidFill>
          </w14:textFill>
        </w:rPr>
        <w:t>经理</w:t>
      </w:r>
      <w:r>
        <w:rPr>
          <w:rFonts w:hint="eastAsia" w:ascii="宋体" w:hAnsi="宋体"/>
          <w:bCs/>
          <w:color w:val="000000" w:themeColor="text1"/>
          <w:sz w:val="24"/>
          <w:szCs w:val="24"/>
          <w14:textFill>
            <w14:solidFill>
              <w14:schemeClr w14:val="tx1"/>
            </w14:solidFill>
          </w14:textFill>
        </w:rPr>
        <w:t>）按招标文件要求附资质证书等证明资料扫描件；</w:t>
      </w:r>
    </w:p>
    <w:p>
      <w:pPr>
        <w:adjustRightInd w:val="0"/>
        <w:spacing w:line="360" w:lineRule="auto"/>
        <w:ind w:firstLine="480" w:firstLineChars="200"/>
        <w:textAlignment w:val="baseline"/>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2.中标后如需更换管理机构主要人员，需书面向招标人提出，并获得书面同意后方可更换；</w:t>
      </w:r>
    </w:p>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bookmarkStart w:id="125" w:name="_Toc420342107"/>
      <w:bookmarkStart w:id="126" w:name="_Toc391040780"/>
      <w:bookmarkStart w:id="127" w:name="_Toc471736426"/>
      <w:bookmarkStart w:id="128" w:name="_Toc390243257"/>
      <w:bookmarkStart w:id="129" w:name="_Toc459990156"/>
    </w:p>
    <w:bookmarkEnd w:id="125"/>
    <w:bookmarkEnd w:id="126"/>
    <w:bookmarkEnd w:id="127"/>
    <w:bookmarkEnd w:id="128"/>
    <w:bookmarkEnd w:id="129"/>
    <w:p>
      <w:pPr>
        <w:jc w:val="center"/>
        <w:rPr>
          <w:color w:val="000000" w:themeColor="text1"/>
          <w14:textFill>
            <w14:solidFill>
              <w14:schemeClr w14:val="tx1"/>
            </w14:solidFill>
          </w14:textFill>
        </w:rPr>
      </w:pPr>
    </w:p>
    <w:p>
      <w:pPr>
        <w:keepNext/>
        <w:keepLines/>
        <w:spacing w:before="260" w:after="260" w:line="416" w:lineRule="auto"/>
        <w:jc w:val="center"/>
        <w:outlineLvl w:val="2"/>
        <w:rPr>
          <w:rFonts w:hint="default" w:ascii="宋体" w:hAnsi="宋体" w:eastAsia="宋体"/>
          <w:b/>
          <w:bCs/>
          <w:color w:val="000000" w:themeColor="text1"/>
          <w:sz w:val="28"/>
          <w:szCs w:val="32"/>
          <w:lang w:val="en-US" w:eastAsia="zh-CN"/>
          <w14:textFill>
            <w14:solidFill>
              <w14:schemeClr w14:val="tx1"/>
            </w14:solidFill>
          </w14:textFill>
        </w:rPr>
      </w:pPr>
      <w:bookmarkStart w:id="130" w:name="_Toc10816"/>
      <w:bookmarkStart w:id="131" w:name="_Toc536542365"/>
      <w:bookmarkStart w:id="132" w:name="_Toc7078099"/>
      <w:bookmarkStart w:id="133" w:name="_Toc16146"/>
      <w:r>
        <w:rPr>
          <w:rFonts w:hint="eastAsia" w:ascii="宋体" w:hAnsi="宋体"/>
          <w:b/>
          <w:bCs/>
          <w:color w:val="000000" w:themeColor="text1"/>
          <w:sz w:val="28"/>
          <w:szCs w:val="32"/>
          <w:lang w:val="en-US" w:eastAsia="zh-CN"/>
          <w14:textFill>
            <w14:solidFill>
              <w14:schemeClr w14:val="tx1"/>
            </w14:solidFill>
          </w14:textFill>
        </w:rPr>
        <w:t>十一．生产厂商授权书</w:t>
      </w:r>
    </w:p>
    <w:p>
      <w:pPr>
        <w:keepNext/>
        <w:keepLines/>
        <w:spacing w:before="260" w:after="260" w:line="416" w:lineRule="auto"/>
        <w:jc w:val="center"/>
        <w:outlineLvl w:val="2"/>
        <w:rPr>
          <w:rFonts w:hint="eastAsia" w:ascii="宋体" w:hAnsi="宋体" w:eastAsia="宋体"/>
          <w:b/>
          <w:bCs/>
          <w:color w:val="000000" w:themeColor="text1"/>
          <w:sz w:val="36"/>
          <w:szCs w:val="36"/>
          <w:lang w:val="en-US" w:eastAsia="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十二．售后服务体系、</w:t>
      </w:r>
      <w:r>
        <w:rPr>
          <w:rFonts w:hint="eastAsia" w:ascii="宋体" w:hAnsi="宋体"/>
          <w:b/>
          <w:bCs/>
          <w:color w:val="000000" w:themeColor="text1"/>
          <w:sz w:val="28"/>
          <w:szCs w:val="32"/>
          <w:lang w:val="en-US" w:eastAsia="zh-CN"/>
          <w14:textFill>
            <w14:solidFill>
              <w14:schemeClr w14:val="tx1"/>
            </w14:solidFill>
          </w14:textFill>
        </w:rPr>
        <w:t>维保方案、</w:t>
      </w:r>
      <w:r>
        <w:rPr>
          <w:rFonts w:hint="eastAsia" w:ascii="宋体" w:hAnsi="宋体"/>
          <w:b/>
          <w:bCs/>
          <w:color w:val="000000" w:themeColor="text1"/>
          <w:sz w:val="28"/>
          <w:szCs w:val="32"/>
          <w:lang w:val="zh-CN"/>
          <w14:textFill>
            <w14:solidFill>
              <w14:schemeClr w14:val="tx1"/>
            </w14:solidFill>
          </w14:textFill>
        </w:rPr>
        <w:t>检测</w:t>
      </w:r>
      <w:bookmarkEnd w:id="130"/>
      <w:bookmarkEnd w:id="131"/>
      <w:bookmarkEnd w:id="132"/>
      <w:bookmarkEnd w:id="133"/>
      <w:r>
        <w:rPr>
          <w:rFonts w:hint="eastAsia" w:ascii="宋体" w:hAnsi="宋体"/>
          <w:b/>
          <w:bCs/>
          <w:color w:val="000000" w:themeColor="text1"/>
          <w:sz w:val="28"/>
          <w:szCs w:val="32"/>
          <w:lang w:val="en-US" w:eastAsia="zh-CN"/>
          <w14:textFill>
            <w14:solidFill>
              <w14:schemeClr w14:val="tx1"/>
            </w14:solidFill>
          </w14:textFill>
        </w:rPr>
        <w:t>报告</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p>
    <w:p>
      <w:pPr>
        <w:keepNext/>
        <w:keepLines/>
        <w:spacing w:before="260" w:after="260" w:line="416" w:lineRule="auto"/>
        <w:ind w:firstLine="3373" w:firstLineChars="1200"/>
        <w:jc w:val="both"/>
        <w:outlineLvl w:val="2"/>
        <w:rPr>
          <w:rFonts w:ascii="宋体" w:hAnsi="宋体"/>
          <w:b/>
          <w:bCs/>
          <w:color w:val="000000" w:themeColor="text1"/>
          <w:sz w:val="28"/>
          <w:szCs w:val="36"/>
          <w:lang w:val="zh-CN"/>
          <w14:textFill>
            <w14:solidFill>
              <w14:schemeClr w14:val="tx1"/>
            </w14:solidFill>
          </w14:textFill>
        </w:rPr>
      </w:pPr>
      <w:bookmarkStart w:id="134" w:name="_Toc27185"/>
      <w:bookmarkStart w:id="135" w:name="_Toc220232400"/>
      <w:bookmarkStart w:id="136" w:name="_Toc57984513"/>
      <w:bookmarkStart w:id="137" w:name="_Toc471736416"/>
      <w:bookmarkStart w:id="138" w:name="_Toc536542368"/>
      <w:bookmarkStart w:id="139" w:name="_Toc9822"/>
      <w:bookmarkStart w:id="140" w:name="_Toc7078102"/>
      <w:r>
        <w:rPr>
          <w:rFonts w:hint="eastAsia" w:ascii="宋体" w:hAnsi="宋体"/>
          <w:b/>
          <w:bCs/>
          <w:color w:val="000000" w:themeColor="text1"/>
          <w:sz w:val="28"/>
          <w:szCs w:val="32"/>
          <w:lang w:val="zh-CN"/>
          <w14:textFill>
            <w14:solidFill>
              <w14:schemeClr w14:val="tx1"/>
            </w14:solidFill>
          </w14:textFill>
        </w:rPr>
        <w:t>十三．产品质量承诺</w:t>
      </w:r>
      <w:bookmarkEnd w:id="134"/>
      <w:bookmarkEnd w:id="135"/>
      <w:bookmarkEnd w:id="136"/>
      <w:bookmarkEnd w:id="137"/>
      <w:bookmarkEnd w:id="138"/>
      <w:bookmarkEnd w:id="139"/>
      <w:bookmarkEnd w:id="140"/>
    </w:p>
    <w:p>
      <w:pPr>
        <w:spacing w:before="48" w:beforeLines="20" w:after="48" w:afterLines="20" w:line="360" w:lineRule="auto"/>
        <w:ind w:firstLine="480" w:firstLineChars="200"/>
        <w:jc w:val="center"/>
        <w:rPr>
          <w:rFonts w:ascii="宋体" w:hAnsi="宋体"/>
          <w:b/>
          <w:bCs/>
          <w:color w:val="000000" w:themeColor="text1"/>
          <w:sz w:val="32"/>
          <w:szCs w:val="32"/>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bookmarkStart w:id="141" w:name="_Toc32139"/>
      <w:r>
        <w:rPr>
          <w:rFonts w:hint="eastAsia" w:ascii="宋体" w:hAnsi="宋体"/>
          <w:b/>
          <w:bCs/>
          <w:color w:val="000000" w:themeColor="text1"/>
          <w:sz w:val="32"/>
          <w:szCs w:val="32"/>
          <w:lang w:val="zh-CN"/>
          <w14:textFill>
            <w14:solidFill>
              <w14:schemeClr w14:val="tx1"/>
            </w14:solidFill>
          </w14:textFill>
        </w:rPr>
        <w:tab/>
      </w:r>
    </w:p>
    <w:p>
      <w:pPr>
        <w:spacing w:before="48" w:beforeLines="20" w:after="48" w:afterLines="20" w:line="360" w:lineRule="auto"/>
        <w:ind w:firstLine="2249" w:firstLineChars="700"/>
        <w:jc w:val="both"/>
        <w:rPr>
          <w:rFonts w:ascii="宋体" w:hAnsi="宋体"/>
          <w:b/>
          <w:bCs/>
          <w:color w:val="000000" w:themeColor="text1"/>
          <w:sz w:val="32"/>
          <w:szCs w:val="32"/>
          <w:lang w:val="zh-CN"/>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十四、投标人认为需提供的其他资料</w:t>
      </w:r>
      <w:bookmarkEnd w:id="141"/>
    </w:p>
    <w:p>
      <w:pPr>
        <w:rPr>
          <w:color w:val="000000" w:themeColor="text1"/>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42" w:name="_Toc55287019"/>
      <w:bookmarkStart w:id="143" w:name="_Toc19773347"/>
      <w:bookmarkStart w:id="144" w:name="_Toc5128"/>
      <w:bookmarkStart w:id="145" w:name="_Toc51083298"/>
      <w:bookmarkStart w:id="146" w:name="_Toc18658870"/>
      <w:bookmarkStart w:id="147" w:name="_Toc27926"/>
      <w:bookmarkStart w:id="148" w:name="_Toc24284"/>
      <w:bookmarkStart w:id="149" w:name="_Toc300210382"/>
      <w:bookmarkStart w:id="150" w:name="_Toc51505261"/>
      <w:bookmarkStart w:id="151" w:name="_Toc22888343"/>
      <w:bookmarkStart w:id="152" w:name="_Toc17307116"/>
    </w:p>
    <w:bookmarkEnd w:id="142"/>
    <w:bookmarkEnd w:id="143"/>
    <w:bookmarkEnd w:id="144"/>
    <w:bookmarkEnd w:id="145"/>
    <w:bookmarkEnd w:id="146"/>
    <w:bookmarkEnd w:id="147"/>
    <w:bookmarkEnd w:id="148"/>
    <w:bookmarkEnd w:id="149"/>
    <w:bookmarkEnd w:id="150"/>
    <w:bookmarkEnd w:id="151"/>
    <w:bookmarkEnd w:id="152"/>
    <w:p>
      <w:pPr>
        <w:pStyle w:val="5"/>
        <w:spacing w:line="500" w:lineRule="exact"/>
        <w:jc w:val="center"/>
        <w:rPr>
          <w:rFonts w:hAnsi="Arial"/>
          <w:color w:val="000000" w:themeColor="text1"/>
          <w:sz w:val="24"/>
          <w14:textFill>
            <w14:solidFill>
              <w14:schemeClr w14:val="tx1"/>
            </w14:solidFill>
          </w14:textFill>
        </w:rPr>
      </w:pPr>
    </w:p>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3"/>
      </w:rPr>
    </w:pPr>
    <w:r>
      <w:fldChar w:fldCharType="begin"/>
    </w:r>
    <w:r>
      <w:rPr>
        <w:rStyle w:val="53"/>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0C6DFF"/>
    <w:multiLevelType w:val="singleLevel"/>
    <w:tmpl w:val="C70C6DFF"/>
    <w:lvl w:ilvl="0" w:tentative="0">
      <w:start w:val="1"/>
      <w:numFmt w:val="decimal"/>
      <w:suff w:val="nothing"/>
      <w:lvlText w:val="%1、"/>
      <w:lvlJc w:val="left"/>
    </w:lvl>
  </w:abstractNum>
  <w:abstractNum w:abstractNumId="1">
    <w:nsid w:val="CD64A119"/>
    <w:multiLevelType w:val="singleLevel"/>
    <w:tmpl w:val="CD64A119"/>
    <w:lvl w:ilvl="0" w:tentative="0">
      <w:start w:val="6"/>
      <w:numFmt w:val="chineseCounting"/>
      <w:suff w:val="space"/>
      <w:lvlText w:val="第%1章"/>
      <w:lvlJc w:val="left"/>
      <w:rPr>
        <w:rFonts w:hint="eastAsia"/>
      </w:rPr>
    </w:lvl>
  </w:abstractNum>
  <w:abstractNum w:abstractNumId="2">
    <w:nsid w:val="F2CB9D54"/>
    <w:multiLevelType w:val="singleLevel"/>
    <w:tmpl w:val="F2CB9D54"/>
    <w:lvl w:ilvl="0" w:tentative="0">
      <w:start w:val="1"/>
      <w:numFmt w:val="decimal"/>
      <w:suff w:val="nothing"/>
      <w:lvlText w:val="%1、"/>
      <w:lvlJc w:val="left"/>
    </w:lvl>
  </w:abstractNum>
  <w:abstractNum w:abstractNumId="3">
    <w:nsid w:val="00000005"/>
    <w:multiLevelType w:val="multilevel"/>
    <w:tmpl w:val="00000005"/>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5">
    <w:nsid w:val="2E4F3A11"/>
    <w:multiLevelType w:val="multilevel"/>
    <w:tmpl w:val="2E4F3A11"/>
    <w:lvl w:ilvl="0" w:tentative="0">
      <w:start w:val="1"/>
      <w:numFmt w:val="decimal"/>
      <w:pStyle w:val="63"/>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4"/>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2"/>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2"/>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8">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ZiYzc1OTkxZTYwMjk5MTViY2MxY2VjMmI3MTgifQ=="/>
  </w:docVars>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1F44C52"/>
    <w:rsid w:val="04070FD7"/>
    <w:rsid w:val="04AD49AF"/>
    <w:rsid w:val="079C35A2"/>
    <w:rsid w:val="07E57F8A"/>
    <w:rsid w:val="08D27DB0"/>
    <w:rsid w:val="09A901E7"/>
    <w:rsid w:val="09AA1EA3"/>
    <w:rsid w:val="09B47B48"/>
    <w:rsid w:val="0A4722C6"/>
    <w:rsid w:val="0AB83E86"/>
    <w:rsid w:val="0B1B1342"/>
    <w:rsid w:val="0B3C19E4"/>
    <w:rsid w:val="0B457729"/>
    <w:rsid w:val="0C5D6CB0"/>
    <w:rsid w:val="0F047AD5"/>
    <w:rsid w:val="10566193"/>
    <w:rsid w:val="10870524"/>
    <w:rsid w:val="113E1ECE"/>
    <w:rsid w:val="11590601"/>
    <w:rsid w:val="12445622"/>
    <w:rsid w:val="12D9586D"/>
    <w:rsid w:val="14F73442"/>
    <w:rsid w:val="15BB3FE0"/>
    <w:rsid w:val="181F6FEE"/>
    <w:rsid w:val="1ABC6140"/>
    <w:rsid w:val="1B7B1FFE"/>
    <w:rsid w:val="1BEA723A"/>
    <w:rsid w:val="1C596267"/>
    <w:rsid w:val="1D05489C"/>
    <w:rsid w:val="1D217458"/>
    <w:rsid w:val="1D4B15AF"/>
    <w:rsid w:val="1DE673AB"/>
    <w:rsid w:val="1E065D08"/>
    <w:rsid w:val="1F881C91"/>
    <w:rsid w:val="1F8A53A7"/>
    <w:rsid w:val="22661437"/>
    <w:rsid w:val="23155FF5"/>
    <w:rsid w:val="232A4F25"/>
    <w:rsid w:val="27F018C7"/>
    <w:rsid w:val="280C59D4"/>
    <w:rsid w:val="2A1C1D38"/>
    <w:rsid w:val="2B7820CD"/>
    <w:rsid w:val="2B7D1323"/>
    <w:rsid w:val="2BF45A41"/>
    <w:rsid w:val="2CCE29DA"/>
    <w:rsid w:val="2D840453"/>
    <w:rsid w:val="301D1BA7"/>
    <w:rsid w:val="309B644C"/>
    <w:rsid w:val="321E3C3B"/>
    <w:rsid w:val="33B144DD"/>
    <w:rsid w:val="34195B0A"/>
    <w:rsid w:val="34FF30A8"/>
    <w:rsid w:val="359D100F"/>
    <w:rsid w:val="36EA36F6"/>
    <w:rsid w:val="377C34BF"/>
    <w:rsid w:val="38403605"/>
    <w:rsid w:val="384C3ABA"/>
    <w:rsid w:val="39CD7984"/>
    <w:rsid w:val="3B027975"/>
    <w:rsid w:val="3B9F54F4"/>
    <w:rsid w:val="3CE3374A"/>
    <w:rsid w:val="3D6873BC"/>
    <w:rsid w:val="3DA162D4"/>
    <w:rsid w:val="40755082"/>
    <w:rsid w:val="40DC4AF4"/>
    <w:rsid w:val="417D7548"/>
    <w:rsid w:val="423D7815"/>
    <w:rsid w:val="42497F67"/>
    <w:rsid w:val="430F6C0D"/>
    <w:rsid w:val="4393335D"/>
    <w:rsid w:val="43AA6122"/>
    <w:rsid w:val="44916B51"/>
    <w:rsid w:val="45227573"/>
    <w:rsid w:val="464A2417"/>
    <w:rsid w:val="46CC17F1"/>
    <w:rsid w:val="474D674C"/>
    <w:rsid w:val="48587A01"/>
    <w:rsid w:val="48EF052A"/>
    <w:rsid w:val="495711BC"/>
    <w:rsid w:val="49646C15"/>
    <w:rsid w:val="4D2E398B"/>
    <w:rsid w:val="4DA70238"/>
    <w:rsid w:val="4EBA7F34"/>
    <w:rsid w:val="50A2358F"/>
    <w:rsid w:val="51AC7161"/>
    <w:rsid w:val="51AF2A2C"/>
    <w:rsid w:val="52310356"/>
    <w:rsid w:val="544B1BD1"/>
    <w:rsid w:val="54A46C00"/>
    <w:rsid w:val="54F16968"/>
    <w:rsid w:val="55DB2445"/>
    <w:rsid w:val="57AB69E7"/>
    <w:rsid w:val="57B97182"/>
    <w:rsid w:val="57DE6F4C"/>
    <w:rsid w:val="585E0AFE"/>
    <w:rsid w:val="587E54D9"/>
    <w:rsid w:val="59C8705B"/>
    <w:rsid w:val="5C421161"/>
    <w:rsid w:val="5DAA6182"/>
    <w:rsid w:val="5DC32E6C"/>
    <w:rsid w:val="5F0F3C40"/>
    <w:rsid w:val="60184B53"/>
    <w:rsid w:val="61370E77"/>
    <w:rsid w:val="618757A4"/>
    <w:rsid w:val="61F45016"/>
    <w:rsid w:val="623E7BBD"/>
    <w:rsid w:val="641F6B07"/>
    <w:rsid w:val="655F15EF"/>
    <w:rsid w:val="656B4D08"/>
    <w:rsid w:val="66680A54"/>
    <w:rsid w:val="67A71FD6"/>
    <w:rsid w:val="68AE46AB"/>
    <w:rsid w:val="68B4270D"/>
    <w:rsid w:val="68C673DF"/>
    <w:rsid w:val="6A366533"/>
    <w:rsid w:val="6A805665"/>
    <w:rsid w:val="6B19056F"/>
    <w:rsid w:val="6B992415"/>
    <w:rsid w:val="6CF406D1"/>
    <w:rsid w:val="6D335B0B"/>
    <w:rsid w:val="703219B2"/>
    <w:rsid w:val="70517456"/>
    <w:rsid w:val="714300F4"/>
    <w:rsid w:val="715A2DF4"/>
    <w:rsid w:val="71BC008E"/>
    <w:rsid w:val="723E1398"/>
    <w:rsid w:val="72A14A47"/>
    <w:rsid w:val="730C77B1"/>
    <w:rsid w:val="735D680B"/>
    <w:rsid w:val="73655BBF"/>
    <w:rsid w:val="73D60B71"/>
    <w:rsid w:val="7425434E"/>
    <w:rsid w:val="74964A72"/>
    <w:rsid w:val="75A476A3"/>
    <w:rsid w:val="791F22C6"/>
    <w:rsid w:val="7ACF29F8"/>
    <w:rsid w:val="7ADA0DE1"/>
    <w:rsid w:val="7F1864ED"/>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1"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1"/>
    <w:basedOn w:val="1"/>
    <w:next w:val="1"/>
    <w:link w:val="104"/>
    <w:autoRedefine/>
    <w:qFormat/>
    <w:uiPriority w:val="99"/>
    <w:pPr>
      <w:keepNext/>
      <w:keepLines/>
      <w:spacing w:before="340" w:after="330" w:line="578" w:lineRule="auto"/>
      <w:outlineLvl w:val="0"/>
    </w:pPr>
    <w:rPr>
      <w:b/>
      <w:bCs/>
      <w:kern w:val="44"/>
      <w:sz w:val="30"/>
      <w:szCs w:val="44"/>
    </w:rPr>
  </w:style>
  <w:style w:type="paragraph" w:styleId="6">
    <w:name w:val="heading 2"/>
    <w:basedOn w:val="1"/>
    <w:next w:val="1"/>
    <w:link w:val="108"/>
    <w:autoRedefine/>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7">
    <w:name w:val="heading 3"/>
    <w:basedOn w:val="1"/>
    <w:next w:val="1"/>
    <w:link w:val="107"/>
    <w:autoRedefine/>
    <w:qFormat/>
    <w:uiPriority w:val="0"/>
    <w:pPr>
      <w:keepNext/>
      <w:keepLines/>
      <w:spacing w:before="260" w:after="260" w:line="416" w:lineRule="auto"/>
      <w:jc w:val="center"/>
      <w:outlineLvl w:val="2"/>
    </w:pPr>
    <w:rPr>
      <w:rFonts w:ascii="宋体"/>
      <w:b/>
      <w:bCs/>
      <w:sz w:val="32"/>
      <w:szCs w:val="32"/>
    </w:rPr>
  </w:style>
  <w:style w:type="paragraph" w:styleId="8">
    <w:name w:val="heading 4"/>
    <w:basedOn w:val="1"/>
    <w:next w:val="1"/>
    <w:link w:val="96"/>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95"/>
    <w:autoRedefine/>
    <w:qFormat/>
    <w:uiPriority w:val="0"/>
    <w:pPr>
      <w:keepNext/>
      <w:outlineLvl w:val="4"/>
    </w:pPr>
    <w:rPr>
      <w:rFonts w:ascii="宋体" w:hAnsi="Arial"/>
      <w:bCs/>
      <w:sz w:val="28"/>
      <w:szCs w:val="20"/>
    </w:rPr>
  </w:style>
  <w:style w:type="paragraph" w:styleId="10">
    <w:name w:val="heading 6"/>
    <w:basedOn w:val="1"/>
    <w:next w:val="1"/>
    <w:link w:val="94"/>
    <w:autoRedefine/>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11">
    <w:name w:val="heading 7"/>
    <w:basedOn w:val="1"/>
    <w:next w:val="1"/>
    <w:link w:val="93"/>
    <w:autoRedefine/>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1">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0"/>
    <w:pPr>
      <w:spacing w:after="120"/>
      <w:ind w:left="420" w:leftChars="200" w:firstLine="420" w:firstLineChars="200"/>
    </w:pPr>
    <w:rPr>
      <w:rFonts w:ascii="Times New Roman" w:cstheme="minorBidi"/>
      <w:sz w:val="21"/>
      <w:szCs w:val="22"/>
    </w:rPr>
  </w:style>
  <w:style w:type="paragraph" w:styleId="3">
    <w:name w:val="Body Text Indent"/>
    <w:basedOn w:val="1"/>
    <w:next w:val="4"/>
    <w:link w:val="88"/>
    <w:autoRedefine/>
    <w:qFormat/>
    <w:uiPriority w:val="0"/>
    <w:pPr>
      <w:ind w:firstLine="645"/>
    </w:pPr>
    <w:rPr>
      <w:rFonts w:ascii="楷体_GB2312" w:eastAsia="楷体_GB2312"/>
      <w:sz w:val="32"/>
      <w:szCs w:val="20"/>
    </w:rPr>
  </w:style>
  <w:style w:type="paragraph" w:styleId="4">
    <w:name w:val="envelope return"/>
    <w:basedOn w:val="1"/>
    <w:autoRedefine/>
    <w:unhideWhenUsed/>
    <w:qFormat/>
    <w:uiPriority w:val="99"/>
    <w:pPr>
      <w:snapToGrid w:val="0"/>
    </w:pPr>
    <w:rPr>
      <w:rFonts w:ascii="Arial" w:hAnsi="Arial"/>
    </w:rPr>
  </w:style>
  <w:style w:type="paragraph" w:styleId="12">
    <w:name w:val="toc 7"/>
    <w:basedOn w:val="1"/>
    <w:next w:val="1"/>
    <w:autoRedefine/>
    <w:semiHidden/>
    <w:qFormat/>
    <w:uiPriority w:val="0"/>
    <w:pPr>
      <w:ind w:left="1260"/>
      <w:jc w:val="left"/>
    </w:pPr>
    <w:rPr>
      <w:szCs w:val="21"/>
    </w:rPr>
  </w:style>
  <w:style w:type="paragraph" w:styleId="13">
    <w:name w:val="table of authorities"/>
    <w:basedOn w:val="1"/>
    <w:next w:val="1"/>
    <w:autoRedefine/>
    <w:semiHidden/>
    <w:qFormat/>
    <w:uiPriority w:val="0"/>
    <w:pPr>
      <w:ind w:left="420" w:leftChars="200"/>
    </w:pPr>
    <w:rPr>
      <w:szCs w:val="20"/>
    </w:rPr>
  </w:style>
  <w:style w:type="paragraph" w:styleId="14">
    <w:name w:val="index 8"/>
    <w:basedOn w:val="1"/>
    <w:next w:val="1"/>
    <w:autoRedefine/>
    <w:semiHidden/>
    <w:qFormat/>
    <w:uiPriority w:val="0"/>
    <w:pPr>
      <w:ind w:left="1400" w:leftChars="1400"/>
    </w:pPr>
    <w:rPr>
      <w:szCs w:val="20"/>
    </w:rPr>
  </w:style>
  <w:style w:type="paragraph" w:styleId="15">
    <w:name w:val="index 5"/>
    <w:basedOn w:val="1"/>
    <w:next w:val="1"/>
    <w:autoRedefine/>
    <w:semiHidden/>
    <w:qFormat/>
    <w:uiPriority w:val="0"/>
    <w:pPr>
      <w:ind w:left="800" w:leftChars="800"/>
    </w:pPr>
    <w:rPr>
      <w:szCs w:val="20"/>
    </w:rPr>
  </w:style>
  <w:style w:type="paragraph" w:styleId="16">
    <w:name w:val="Document Map"/>
    <w:basedOn w:val="1"/>
    <w:link w:val="99"/>
    <w:autoRedefine/>
    <w:semiHidden/>
    <w:qFormat/>
    <w:uiPriority w:val="0"/>
    <w:pPr>
      <w:shd w:val="clear" w:color="auto" w:fill="000080"/>
    </w:pPr>
    <w:rPr>
      <w:szCs w:val="20"/>
    </w:rPr>
  </w:style>
  <w:style w:type="paragraph" w:styleId="17">
    <w:name w:val="toa heading"/>
    <w:basedOn w:val="1"/>
    <w:next w:val="1"/>
    <w:autoRedefine/>
    <w:semiHidden/>
    <w:qFormat/>
    <w:uiPriority w:val="0"/>
    <w:pPr>
      <w:spacing w:before="120"/>
    </w:pPr>
    <w:rPr>
      <w:rFonts w:ascii="Arial" w:hAnsi="Arial"/>
      <w:b/>
      <w:bCs/>
      <w:szCs w:val="24"/>
    </w:rPr>
  </w:style>
  <w:style w:type="paragraph" w:styleId="18">
    <w:name w:val="annotation text"/>
    <w:basedOn w:val="1"/>
    <w:link w:val="101"/>
    <w:autoRedefine/>
    <w:qFormat/>
    <w:uiPriority w:val="0"/>
    <w:pPr>
      <w:jc w:val="left"/>
    </w:pPr>
    <w:rPr>
      <w:szCs w:val="20"/>
    </w:rPr>
  </w:style>
  <w:style w:type="paragraph" w:styleId="19">
    <w:name w:val="index 6"/>
    <w:basedOn w:val="1"/>
    <w:next w:val="1"/>
    <w:autoRedefine/>
    <w:semiHidden/>
    <w:qFormat/>
    <w:uiPriority w:val="0"/>
    <w:pPr>
      <w:ind w:left="1000" w:leftChars="1000"/>
    </w:pPr>
    <w:rPr>
      <w:szCs w:val="20"/>
    </w:rPr>
  </w:style>
  <w:style w:type="paragraph" w:styleId="20">
    <w:name w:val="Body Text 3"/>
    <w:basedOn w:val="1"/>
    <w:link w:val="103"/>
    <w:autoRedefine/>
    <w:qFormat/>
    <w:uiPriority w:val="0"/>
    <w:rPr>
      <w:rFonts w:ascii="黑体" w:hAnsi="Arial" w:eastAsia="黑体"/>
      <w:b/>
      <w:sz w:val="28"/>
      <w:szCs w:val="20"/>
    </w:rPr>
  </w:style>
  <w:style w:type="paragraph" w:styleId="21">
    <w:name w:val="Body Text"/>
    <w:basedOn w:val="1"/>
    <w:link w:val="98"/>
    <w:autoRedefine/>
    <w:qFormat/>
    <w:uiPriority w:val="0"/>
    <w:rPr>
      <w:rFonts w:ascii="宋体" w:hAnsi="Arial"/>
      <w:sz w:val="28"/>
      <w:szCs w:val="20"/>
    </w:rPr>
  </w:style>
  <w:style w:type="paragraph" w:styleId="22">
    <w:name w:val="Block Text"/>
    <w:basedOn w:val="1"/>
    <w:autoRedefine/>
    <w:qFormat/>
    <w:uiPriority w:val="99"/>
    <w:pPr>
      <w:spacing w:after="156"/>
    </w:pPr>
    <w:rPr>
      <w:rFonts w:ascii="宋体"/>
    </w:rPr>
  </w:style>
  <w:style w:type="paragraph" w:styleId="23">
    <w:name w:val="index 4"/>
    <w:basedOn w:val="1"/>
    <w:next w:val="1"/>
    <w:autoRedefine/>
    <w:semiHidden/>
    <w:qFormat/>
    <w:uiPriority w:val="0"/>
    <w:pPr>
      <w:ind w:left="600" w:leftChars="600"/>
    </w:pPr>
    <w:rPr>
      <w:szCs w:val="20"/>
    </w:rPr>
  </w:style>
  <w:style w:type="paragraph" w:styleId="24">
    <w:name w:val="toc 5"/>
    <w:basedOn w:val="1"/>
    <w:next w:val="1"/>
    <w:autoRedefine/>
    <w:semiHidden/>
    <w:qFormat/>
    <w:uiPriority w:val="0"/>
    <w:pPr>
      <w:ind w:left="840"/>
      <w:jc w:val="left"/>
    </w:pPr>
    <w:rPr>
      <w:szCs w:val="21"/>
    </w:rPr>
  </w:style>
  <w:style w:type="paragraph" w:styleId="25">
    <w:name w:val="toc 3"/>
    <w:basedOn w:val="1"/>
    <w:next w:val="1"/>
    <w:autoRedefine/>
    <w:qFormat/>
    <w:uiPriority w:val="39"/>
    <w:pPr>
      <w:tabs>
        <w:tab w:val="right" w:leader="dot" w:pos="9403"/>
      </w:tabs>
      <w:spacing w:line="380" w:lineRule="exact"/>
      <w:ind w:left="420"/>
      <w:jc w:val="left"/>
    </w:pPr>
    <w:rPr>
      <w:i/>
      <w:iCs/>
      <w:szCs w:val="24"/>
    </w:rPr>
  </w:style>
  <w:style w:type="paragraph" w:styleId="26">
    <w:name w:val="Plain Text"/>
    <w:basedOn w:val="1"/>
    <w:link w:val="91"/>
    <w:autoRedefine/>
    <w:qFormat/>
    <w:uiPriority w:val="0"/>
    <w:rPr>
      <w:rFonts w:ascii="宋体" w:hAnsi="Courier New"/>
      <w:szCs w:val="20"/>
    </w:rPr>
  </w:style>
  <w:style w:type="paragraph" w:styleId="27">
    <w:name w:val="toc 8"/>
    <w:basedOn w:val="1"/>
    <w:next w:val="1"/>
    <w:autoRedefine/>
    <w:semiHidden/>
    <w:qFormat/>
    <w:uiPriority w:val="0"/>
    <w:pPr>
      <w:ind w:left="1470"/>
      <w:jc w:val="left"/>
    </w:pPr>
    <w:rPr>
      <w:szCs w:val="21"/>
    </w:rPr>
  </w:style>
  <w:style w:type="paragraph" w:styleId="28">
    <w:name w:val="index 3"/>
    <w:basedOn w:val="1"/>
    <w:next w:val="1"/>
    <w:autoRedefine/>
    <w:semiHidden/>
    <w:qFormat/>
    <w:uiPriority w:val="0"/>
    <w:pPr>
      <w:ind w:left="400" w:leftChars="400"/>
    </w:pPr>
    <w:rPr>
      <w:szCs w:val="20"/>
    </w:rPr>
  </w:style>
  <w:style w:type="paragraph" w:styleId="29">
    <w:name w:val="Date"/>
    <w:basedOn w:val="1"/>
    <w:next w:val="1"/>
    <w:link w:val="84"/>
    <w:autoRedefine/>
    <w:qFormat/>
    <w:uiPriority w:val="0"/>
    <w:rPr>
      <w:b/>
      <w:sz w:val="28"/>
      <w:szCs w:val="20"/>
    </w:rPr>
  </w:style>
  <w:style w:type="paragraph" w:styleId="30">
    <w:name w:val="Body Text Indent 2"/>
    <w:basedOn w:val="1"/>
    <w:link w:val="86"/>
    <w:autoRedefine/>
    <w:qFormat/>
    <w:uiPriority w:val="0"/>
    <w:pPr>
      <w:ind w:left="630" w:firstLine="645"/>
    </w:pPr>
    <w:rPr>
      <w:rFonts w:ascii="Arial" w:hAnsi="Arial" w:eastAsia="仿宋_GB2312"/>
      <w:sz w:val="32"/>
      <w:szCs w:val="20"/>
    </w:rPr>
  </w:style>
  <w:style w:type="paragraph" w:styleId="31">
    <w:name w:val="Balloon Text"/>
    <w:basedOn w:val="1"/>
    <w:link w:val="109"/>
    <w:autoRedefine/>
    <w:qFormat/>
    <w:uiPriority w:val="99"/>
    <w:rPr>
      <w:sz w:val="18"/>
      <w:szCs w:val="18"/>
    </w:rPr>
  </w:style>
  <w:style w:type="paragraph" w:styleId="32">
    <w:name w:val="footer"/>
    <w:basedOn w:val="1"/>
    <w:link w:val="92"/>
    <w:autoRedefine/>
    <w:qFormat/>
    <w:uiPriority w:val="99"/>
    <w:pPr>
      <w:tabs>
        <w:tab w:val="center" w:pos="4153"/>
        <w:tab w:val="right" w:pos="8306"/>
      </w:tabs>
      <w:snapToGrid w:val="0"/>
      <w:jc w:val="left"/>
    </w:pPr>
    <w:rPr>
      <w:sz w:val="18"/>
      <w:szCs w:val="20"/>
    </w:rPr>
  </w:style>
  <w:style w:type="paragraph" w:styleId="33">
    <w:name w:val="header"/>
    <w:basedOn w:val="1"/>
    <w:link w:val="102"/>
    <w:autoRedefine/>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autoRedefine/>
    <w:qFormat/>
    <w:uiPriority w:val="39"/>
    <w:pPr>
      <w:spacing w:before="120" w:after="120"/>
      <w:jc w:val="left"/>
    </w:pPr>
    <w:rPr>
      <w:caps/>
      <w:szCs w:val="24"/>
    </w:rPr>
  </w:style>
  <w:style w:type="paragraph" w:styleId="35">
    <w:name w:val="toc 4"/>
    <w:basedOn w:val="1"/>
    <w:next w:val="1"/>
    <w:autoRedefine/>
    <w:semiHidden/>
    <w:qFormat/>
    <w:uiPriority w:val="0"/>
    <w:pPr>
      <w:ind w:left="630"/>
      <w:jc w:val="left"/>
    </w:pPr>
    <w:rPr>
      <w:szCs w:val="21"/>
    </w:rPr>
  </w:style>
  <w:style w:type="paragraph" w:styleId="36">
    <w:name w:val="index heading"/>
    <w:basedOn w:val="1"/>
    <w:next w:val="37"/>
    <w:autoRedefine/>
    <w:semiHidden/>
    <w:qFormat/>
    <w:uiPriority w:val="0"/>
    <w:rPr>
      <w:szCs w:val="20"/>
    </w:rPr>
  </w:style>
  <w:style w:type="paragraph" w:styleId="37">
    <w:name w:val="index 1"/>
    <w:basedOn w:val="1"/>
    <w:next w:val="1"/>
    <w:autoRedefine/>
    <w:semiHidden/>
    <w:qFormat/>
    <w:uiPriority w:val="0"/>
    <w:pPr>
      <w:jc w:val="center"/>
    </w:pPr>
    <w:rPr>
      <w:rFonts w:ascii="仿宋_GB2312" w:eastAsia="仿宋_GB2312"/>
      <w:b/>
      <w:bCs/>
      <w:sz w:val="28"/>
      <w:szCs w:val="20"/>
    </w:rPr>
  </w:style>
  <w:style w:type="paragraph" w:styleId="38">
    <w:name w:val="toc 6"/>
    <w:basedOn w:val="1"/>
    <w:next w:val="1"/>
    <w:autoRedefine/>
    <w:semiHidden/>
    <w:qFormat/>
    <w:uiPriority w:val="0"/>
    <w:pPr>
      <w:ind w:left="1050"/>
      <w:jc w:val="left"/>
    </w:pPr>
    <w:rPr>
      <w:szCs w:val="21"/>
    </w:rPr>
  </w:style>
  <w:style w:type="paragraph" w:styleId="39">
    <w:name w:val="Body Text Indent 3"/>
    <w:basedOn w:val="1"/>
    <w:link w:val="97"/>
    <w:autoRedefine/>
    <w:qFormat/>
    <w:uiPriority w:val="0"/>
    <w:pPr>
      <w:ind w:firstLine="645"/>
    </w:pPr>
    <w:rPr>
      <w:rFonts w:ascii="仿宋_GB2312" w:hAnsi="Arial" w:eastAsia="仿宋_GB2312"/>
      <w:color w:val="000000"/>
      <w:sz w:val="30"/>
      <w:szCs w:val="20"/>
    </w:rPr>
  </w:style>
  <w:style w:type="paragraph" w:styleId="40">
    <w:name w:val="index 7"/>
    <w:basedOn w:val="1"/>
    <w:next w:val="1"/>
    <w:autoRedefine/>
    <w:semiHidden/>
    <w:qFormat/>
    <w:uiPriority w:val="0"/>
    <w:pPr>
      <w:ind w:left="1200" w:leftChars="1200"/>
    </w:pPr>
    <w:rPr>
      <w:szCs w:val="20"/>
    </w:rPr>
  </w:style>
  <w:style w:type="paragraph" w:styleId="41">
    <w:name w:val="index 9"/>
    <w:basedOn w:val="1"/>
    <w:next w:val="1"/>
    <w:autoRedefine/>
    <w:semiHidden/>
    <w:qFormat/>
    <w:uiPriority w:val="0"/>
    <w:pPr>
      <w:ind w:left="1600" w:leftChars="1600"/>
    </w:pPr>
    <w:rPr>
      <w:szCs w:val="20"/>
    </w:rPr>
  </w:style>
  <w:style w:type="paragraph" w:styleId="42">
    <w:name w:val="toc 2"/>
    <w:basedOn w:val="1"/>
    <w:next w:val="1"/>
    <w:autoRedefine/>
    <w:qFormat/>
    <w:uiPriority w:val="39"/>
    <w:pPr>
      <w:tabs>
        <w:tab w:val="right" w:leader="dot" w:pos="9403"/>
      </w:tabs>
      <w:ind w:left="210"/>
      <w:jc w:val="left"/>
    </w:pPr>
    <w:rPr>
      <w:smallCaps/>
      <w:sz w:val="28"/>
      <w:szCs w:val="24"/>
    </w:rPr>
  </w:style>
  <w:style w:type="paragraph" w:styleId="43">
    <w:name w:val="toc 9"/>
    <w:basedOn w:val="1"/>
    <w:next w:val="1"/>
    <w:autoRedefine/>
    <w:semiHidden/>
    <w:qFormat/>
    <w:uiPriority w:val="0"/>
    <w:pPr>
      <w:ind w:left="1680"/>
      <w:jc w:val="left"/>
    </w:pPr>
    <w:rPr>
      <w:szCs w:val="21"/>
    </w:rPr>
  </w:style>
  <w:style w:type="paragraph" w:styleId="44">
    <w:name w:val="Body Text 2"/>
    <w:basedOn w:val="1"/>
    <w:link w:val="85"/>
    <w:autoRedefine/>
    <w:qFormat/>
    <w:uiPriority w:val="0"/>
    <w:rPr>
      <w:rFonts w:ascii="仿宋_GB2312" w:eastAsia="仿宋_GB2312"/>
      <w:b/>
      <w:sz w:val="24"/>
      <w:szCs w:val="20"/>
    </w:rPr>
  </w:style>
  <w:style w:type="paragraph" w:styleId="45">
    <w:name w:val="HTML Preformatted"/>
    <w:basedOn w:val="1"/>
    <w:link w:val="90"/>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autoRedefine/>
    <w:semiHidden/>
    <w:qFormat/>
    <w:uiPriority w:val="0"/>
    <w:pPr>
      <w:ind w:left="200" w:leftChars="200"/>
    </w:pPr>
    <w:rPr>
      <w:szCs w:val="20"/>
    </w:rPr>
  </w:style>
  <w:style w:type="paragraph" w:styleId="48">
    <w:name w:val="annotation subject"/>
    <w:basedOn w:val="18"/>
    <w:next w:val="18"/>
    <w:link w:val="89"/>
    <w:autoRedefine/>
    <w:unhideWhenUsed/>
    <w:qFormat/>
    <w:uiPriority w:val="99"/>
    <w:rPr>
      <w:b/>
      <w:bCs/>
      <w:szCs w:val="22"/>
    </w:rPr>
  </w:style>
  <w:style w:type="paragraph" w:styleId="49">
    <w:name w:val="Body Text First Indent"/>
    <w:basedOn w:val="1"/>
    <w:link w:val="110"/>
    <w:autoRedefine/>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character" w:styleId="52">
    <w:name w:val="Strong"/>
    <w:autoRedefine/>
    <w:qFormat/>
    <w:uiPriority w:val="99"/>
    <w:rPr>
      <w:b/>
      <w:bCs/>
    </w:rPr>
  </w:style>
  <w:style w:type="character" w:styleId="53">
    <w:name w:val="page number"/>
    <w:autoRedefine/>
    <w:qFormat/>
    <w:uiPriority w:val="99"/>
  </w:style>
  <w:style w:type="character" w:styleId="54">
    <w:name w:val="FollowedHyperlink"/>
    <w:autoRedefine/>
    <w:qFormat/>
    <w:uiPriority w:val="0"/>
    <w:rPr>
      <w:color w:val="800080"/>
      <w:u w:val="single"/>
    </w:rPr>
  </w:style>
  <w:style w:type="character" w:styleId="55">
    <w:name w:val="Emphasis"/>
    <w:autoRedefine/>
    <w:qFormat/>
    <w:uiPriority w:val="0"/>
    <w:rPr>
      <w:color w:val="CC0033"/>
    </w:rPr>
  </w:style>
  <w:style w:type="character" w:styleId="56">
    <w:name w:val="Hyperlink"/>
    <w:autoRedefine/>
    <w:qFormat/>
    <w:uiPriority w:val="99"/>
    <w:rPr>
      <w:color w:val="0000FF"/>
      <w:u w:val="single"/>
    </w:rPr>
  </w:style>
  <w:style w:type="character" w:styleId="57">
    <w:name w:val="annotation reference"/>
    <w:autoRedefine/>
    <w:unhideWhenUsed/>
    <w:qFormat/>
    <w:uiPriority w:val="0"/>
    <w:rPr>
      <w:sz w:val="21"/>
      <w:szCs w:val="21"/>
    </w:rPr>
  </w:style>
  <w:style w:type="paragraph" w:customStyle="1" w:styleId="58">
    <w:name w:val="_Style 3"/>
    <w:basedOn w:val="1"/>
    <w:autoRedefine/>
    <w:qFormat/>
    <w:uiPriority w:val="0"/>
    <w:pPr>
      <w:ind w:firstLine="420" w:firstLineChars="200"/>
    </w:pPr>
  </w:style>
  <w:style w:type="paragraph" w:customStyle="1" w:styleId="5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0">
    <w:name w:val="Char Char Char Char"/>
    <w:basedOn w:val="1"/>
    <w:autoRedefine/>
    <w:qFormat/>
    <w:uiPriority w:val="0"/>
    <w:pPr>
      <w:widowControl/>
      <w:spacing w:after="160" w:line="240" w:lineRule="exact"/>
      <w:jc w:val="left"/>
    </w:pPr>
    <w:rPr>
      <w:kern w:val="0"/>
      <w:sz w:val="24"/>
      <w:szCs w:val="24"/>
    </w:rPr>
  </w:style>
  <w:style w:type="paragraph" w:customStyle="1" w:styleId="61">
    <w:name w:val="样式1"/>
    <w:basedOn w:val="1"/>
    <w:link w:val="100"/>
    <w:autoRedefine/>
    <w:qFormat/>
    <w:uiPriority w:val="0"/>
    <w:pPr>
      <w:numPr>
        <w:ilvl w:val="0"/>
        <w:numId w:val="1"/>
      </w:numPr>
      <w:adjustRightInd w:val="0"/>
      <w:textAlignment w:val="baseline"/>
    </w:pPr>
    <w:rPr>
      <w:rFonts w:ascii="宋体" w:hAnsi="宋体"/>
      <w:kern w:val="0"/>
      <w:szCs w:val="20"/>
    </w:rPr>
  </w:style>
  <w:style w:type="paragraph" w:customStyle="1" w:styleId="62">
    <w:name w:val="一级标题"/>
    <w:basedOn w:val="1"/>
    <w:next w:val="63"/>
    <w:autoRedefine/>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3">
    <w:name w:val="二级标题"/>
    <w:basedOn w:val="1"/>
    <w:next w:val="64"/>
    <w:autoRedefine/>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4">
    <w:name w:val="文章正文"/>
    <w:basedOn w:val="1"/>
    <w:autoRedefine/>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5">
    <w:name w:val="基本文字 Char"/>
    <w:basedOn w:val="1"/>
    <w:autoRedefine/>
    <w:qFormat/>
    <w:uiPriority w:val="0"/>
    <w:pPr>
      <w:spacing w:before="156" w:line="400" w:lineRule="atLeast"/>
      <w:ind w:firstLine="540" w:firstLineChars="225"/>
    </w:pPr>
    <w:rPr>
      <w:sz w:val="24"/>
      <w:szCs w:val="20"/>
    </w:rPr>
  </w:style>
  <w:style w:type="paragraph" w:customStyle="1" w:styleId="66">
    <w:name w:val="D&amp;L"/>
    <w:basedOn w:val="33"/>
    <w:autoRedefine/>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7">
    <w:name w:val="Char"/>
    <w:basedOn w:val="1"/>
    <w:autoRedefine/>
    <w:qFormat/>
    <w:uiPriority w:val="0"/>
    <w:rPr>
      <w:rFonts w:ascii="Tahoma" w:hAnsi="Tahoma"/>
      <w:sz w:val="24"/>
      <w:szCs w:val="20"/>
    </w:rPr>
  </w:style>
  <w:style w:type="paragraph" w:customStyle="1" w:styleId="68">
    <w:name w:val="font7"/>
    <w:basedOn w:val="1"/>
    <w:autoRedefine/>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69">
    <w:name w:val="Char Char Char Char Char Char Char1 Char"/>
    <w:basedOn w:val="1"/>
    <w:autoRedefine/>
    <w:qFormat/>
    <w:uiPriority w:val="0"/>
    <w:rPr>
      <w:rFonts w:ascii="Tahoma" w:hAnsi="Tahoma"/>
      <w:sz w:val="24"/>
      <w:szCs w:val="20"/>
    </w:rPr>
  </w:style>
  <w:style w:type="paragraph" w:customStyle="1" w:styleId="70">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1">
    <w:name w:val="正文_0"/>
    <w:autoRedefine/>
    <w:qFormat/>
    <w:uiPriority w:val="0"/>
    <w:pPr>
      <w:widowControl w:val="0"/>
      <w:jc w:val="both"/>
    </w:pPr>
    <w:rPr>
      <w:rFonts w:ascii="Tahoma" w:hAnsi="Tahoma" w:eastAsia="宋体" w:cs="Tahoma"/>
      <w:kern w:val="2"/>
      <w:sz w:val="21"/>
      <w:szCs w:val="22"/>
      <w:lang w:val="en-US" w:eastAsia="zh-CN" w:bidi="ar-SA"/>
    </w:rPr>
  </w:style>
  <w:style w:type="paragraph" w:customStyle="1" w:styleId="72">
    <w:name w:val="font8"/>
    <w:basedOn w:val="1"/>
    <w:autoRedefine/>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3">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4">
    <w:name w:val="font9"/>
    <w:basedOn w:val="1"/>
    <w:autoRedefine/>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5">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font6"/>
    <w:basedOn w:val="1"/>
    <w:autoRedefine/>
    <w:qFormat/>
    <w:uiPriority w:val="99"/>
    <w:pPr>
      <w:widowControl/>
      <w:spacing w:before="100" w:beforeAutospacing="1" w:after="100" w:afterAutospacing="1"/>
      <w:jc w:val="left"/>
    </w:pPr>
    <w:rPr>
      <w:rFonts w:hint="eastAsia" w:ascii="宋体" w:hAnsi="宋体"/>
      <w:kern w:val="0"/>
      <w:sz w:val="18"/>
      <w:szCs w:val="18"/>
    </w:rPr>
  </w:style>
  <w:style w:type="paragraph" w:styleId="78">
    <w:name w:val="List Paragraph"/>
    <w:basedOn w:val="1"/>
    <w:autoRedefine/>
    <w:qFormat/>
    <w:uiPriority w:val="0"/>
    <w:pPr>
      <w:ind w:firstLine="420" w:firstLineChars="200"/>
    </w:pPr>
  </w:style>
  <w:style w:type="paragraph" w:customStyle="1" w:styleId="79">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1">
    <w:name w:val="p0"/>
    <w:basedOn w:val="1"/>
    <w:autoRedefine/>
    <w:qFormat/>
    <w:uiPriority w:val="0"/>
    <w:pPr>
      <w:widowControl/>
    </w:pPr>
    <w:rPr>
      <w:kern w:val="0"/>
      <w:szCs w:val="21"/>
    </w:rPr>
  </w:style>
  <w:style w:type="paragraph" w:customStyle="1" w:styleId="82">
    <w:name w:val="SUR-需求定义-第4级"/>
    <w:basedOn w:val="8"/>
    <w:next w:val="1"/>
    <w:autoRedefine/>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3">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日期 Char"/>
    <w:link w:val="29"/>
    <w:autoRedefine/>
    <w:qFormat/>
    <w:uiPriority w:val="0"/>
    <w:rPr>
      <w:rFonts w:ascii="Times New Roman" w:hAnsi="Times New Roman"/>
      <w:b/>
      <w:kern w:val="2"/>
      <w:sz w:val="28"/>
    </w:rPr>
  </w:style>
  <w:style w:type="character" w:customStyle="1" w:styleId="85">
    <w:name w:val="正文文本 2 Char"/>
    <w:link w:val="44"/>
    <w:autoRedefine/>
    <w:qFormat/>
    <w:uiPriority w:val="0"/>
    <w:rPr>
      <w:rFonts w:ascii="仿宋_GB2312" w:hAnsi="Times New Roman" w:eastAsia="仿宋_GB2312"/>
      <w:b/>
      <w:kern w:val="2"/>
      <w:sz w:val="24"/>
    </w:rPr>
  </w:style>
  <w:style w:type="character" w:customStyle="1" w:styleId="86">
    <w:name w:val="正文文本缩进 2 Char"/>
    <w:link w:val="30"/>
    <w:autoRedefine/>
    <w:qFormat/>
    <w:uiPriority w:val="0"/>
    <w:rPr>
      <w:rFonts w:ascii="Arial" w:hAnsi="Arial" w:eastAsia="仿宋_GB2312"/>
      <w:kern w:val="2"/>
      <w:sz w:val="32"/>
    </w:rPr>
  </w:style>
  <w:style w:type="character" w:customStyle="1" w:styleId="87">
    <w:name w:val="Char Char1"/>
    <w:autoRedefine/>
    <w:qFormat/>
    <w:uiPriority w:val="99"/>
    <w:rPr>
      <w:rFonts w:cs="Times New Roman"/>
      <w:kern w:val="2"/>
      <w:sz w:val="18"/>
      <w:szCs w:val="18"/>
    </w:rPr>
  </w:style>
  <w:style w:type="character" w:customStyle="1" w:styleId="88">
    <w:name w:val="正文文本缩进 Char"/>
    <w:link w:val="3"/>
    <w:autoRedefine/>
    <w:qFormat/>
    <w:uiPriority w:val="0"/>
    <w:rPr>
      <w:rFonts w:ascii="楷体_GB2312" w:hAnsi="Times New Roman" w:eastAsia="楷体_GB2312"/>
      <w:kern w:val="2"/>
      <w:sz w:val="32"/>
    </w:rPr>
  </w:style>
  <w:style w:type="character" w:customStyle="1" w:styleId="89">
    <w:name w:val="批注主题 Char"/>
    <w:link w:val="48"/>
    <w:autoRedefine/>
    <w:semiHidden/>
    <w:qFormat/>
    <w:uiPriority w:val="99"/>
    <w:rPr>
      <w:rFonts w:ascii="Times New Roman" w:hAnsi="Times New Roman"/>
      <w:b/>
      <w:bCs/>
      <w:kern w:val="2"/>
      <w:sz w:val="21"/>
      <w:szCs w:val="22"/>
    </w:rPr>
  </w:style>
  <w:style w:type="character" w:customStyle="1" w:styleId="90">
    <w:name w:val="HTML 预设格式 Char"/>
    <w:link w:val="45"/>
    <w:autoRedefine/>
    <w:qFormat/>
    <w:uiPriority w:val="0"/>
    <w:rPr>
      <w:rFonts w:ascii="Arial" w:hAnsi="Arial"/>
      <w:sz w:val="24"/>
      <w:szCs w:val="24"/>
    </w:rPr>
  </w:style>
  <w:style w:type="character" w:customStyle="1" w:styleId="91">
    <w:name w:val="纯文本 Char1"/>
    <w:link w:val="26"/>
    <w:autoRedefine/>
    <w:qFormat/>
    <w:locked/>
    <w:uiPriority w:val="0"/>
    <w:rPr>
      <w:rFonts w:ascii="宋体" w:hAnsi="Courier New"/>
      <w:kern w:val="2"/>
      <w:sz w:val="21"/>
    </w:rPr>
  </w:style>
  <w:style w:type="character" w:customStyle="1" w:styleId="92">
    <w:name w:val="页脚 Char"/>
    <w:link w:val="32"/>
    <w:autoRedefine/>
    <w:qFormat/>
    <w:uiPriority w:val="99"/>
    <w:rPr>
      <w:rFonts w:ascii="Times New Roman" w:hAnsi="Times New Roman"/>
      <w:kern w:val="2"/>
      <w:sz w:val="18"/>
    </w:rPr>
  </w:style>
  <w:style w:type="character" w:customStyle="1" w:styleId="93">
    <w:name w:val="标题 7 Char"/>
    <w:link w:val="11"/>
    <w:autoRedefine/>
    <w:qFormat/>
    <w:uiPriority w:val="0"/>
    <w:rPr>
      <w:rFonts w:ascii="Arial" w:hAnsi="Arial" w:eastAsia="仿宋_GB2312" w:cs="Arial"/>
      <w:b/>
      <w:bCs/>
      <w:spacing w:val="-4"/>
      <w:kern w:val="2"/>
      <w:sz w:val="24"/>
      <w:szCs w:val="24"/>
    </w:rPr>
  </w:style>
  <w:style w:type="character" w:customStyle="1" w:styleId="94">
    <w:name w:val="标题 6 Char"/>
    <w:link w:val="10"/>
    <w:autoRedefine/>
    <w:qFormat/>
    <w:uiPriority w:val="0"/>
    <w:rPr>
      <w:rFonts w:ascii="宋体" w:hAnsi="宋体"/>
      <w:sz w:val="28"/>
    </w:rPr>
  </w:style>
  <w:style w:type="character" w:customStyle="1" w:styleId="95">
    <w:name w:val="标题 5 Char"/>
    <w:link w:val="9"/>
    <w:autoRedefine/>
    <w:qFormat/>
    <w:uiPriority w:val="0"/>
    <w:rPr>
      <w:rFonts w:ascii="宋体" w:hAnsi="Arial"/>
      <w:bCs/>
      <w:kern w:val="2"/>
      <w:sz w:val="28"/>
    </w:rPr>
  </w:style>
  <w:style w:type="character" w:customStyle="1" w:styleId="96">
    <w:name w:val="标题 4 Char"/>
    <w:link w:val="8"/>
    <w:autoRedefine/>
    <w:qFormat/>
    <w:uiPriority w:val="0"/>
    <w:rPr>
      <w:rFonts w:ascii="Arial" w:hAnsi="Arial" w:eastAsia="黑体"/>
      <w:b/>
      <w:bCs/>
      <w:kern w:val="2"/>
      <w:sz w:val="28"/>
      <w:szCs w:val="28"/>
    </w:rPr>
  </w:style>
  <w:style w:type="character" w:customStyle="1" w:styleId="97">
    <w:name w:val="正文文本缩进 3 Char"/>
    <w:link w:val="39"/>
    <w:autoRedefine/>
    <w:qFormat/>
    <w:uiPriority w:val="0"/>
    <w:rPr>
      <w:rFonts w:ascii="仿宋_GB2312" w:hAnsi="Arial" w:eastAsia="仿宋_GB2312"/>
      <w:color w:val="000000"/>
      <w:kern w:val="2"/>
      <w:sz w:val="30"/>
    </w:rPr>
  </w:style>
  <w:style w:type="character" w:customStyle="1" w:styleId="98">
    <w:name w:val="正文文本 Char"/>
    <w:link w:val="21"/>
    <w:autoRedefine/>
    <w:qFormat/>
    <w:uiPriority w:val="0"/>
    <w:rPr>
      <w:rFonts w:ascii="宋体" w:hAnsi="Arial"/>
      <w:kern w:val="2"/>
      <w:sz w:val="28"/>
    </w:rPr>
  </w:style>
  <w:style w:type="character" w:customStyle="1" w:styleId="99">
    <w:name w:val="文档结构图 Char"/>
    <w:link w:val="16"/>
    <w:autoRedefine/>
    <w:semiHidden/>
    <w:qFormat/>
    <w:uiPriority w:val="0"/>
    <w:rPr>
      <w:rFonts w:ascii="Times New Roman" w:hAnsi="Times New Roman"/>
      <w:kern w:val="2"/>
      <w:sz w:val="21"/>
      <w:shd w:val="clear" w:color="auto" w:fill="000080"/>
    </w:rPr>
  </w:style>
  <w:style w:type="character" w:customStyle="1" w:styleId="100">
    <w:name w:val="样式1 Char Char"/>
    <w:link w:val="61"/>
    <w:autoRedefine/>
    <w:qFormat/>
    <w:locked/>
    <w:uiPriority w:val="0"/>
    <w:rPr>
      <w:rFonts w:ascii="宋体" w:hAnsi="宋体"/>
      <w:sz w:val="21"/>
    </w:rPr>
  </w:style>
  <w:style w:type="character" w:customStyle="1" w:styleId="101">
    <w:name w:val="批注文字 Char"/>
    <w:link w:val="18"/>
    <w:autoRedefine/>
    <w:qFormat/>
    <w:uiPriority w:val="0"/>
    <w:rPr>
      <w:rFonts w:ascii="Times New Roman" w:hAnsi="Times New Roman"/>
      <w:kern w:val="2"/>
      <w:sz w:val="21"/>
    </w:rPr>
  </w:style>
  <w:style w:type="character" w:customStyle="1" w:styleId="102">
    <w:name w:val="页眉 Char"/>
    <w:link w:val="33"/>
    <w:autoRedefine/>
    <w:qFormat/>
    <w:uiPriority w:val="0"/>
    <w:rPr>
      <w:rFonts w:ascii="Times New Roman" w:hAnsi="Times New Roman"/>
      <w:kern w:val="2"/>
      <w:sz w:val="18"/>
    </w:rPr>
  </w:style>
  <w:style w:type="character" w:customStyle="1" w:styleId="103">
    <w:name w:val="正文文本 3 Char"/>
    <w:link w:val="20"/>
    <w:autoRedefine/>
    <w:qFormat/>
    <w:uiPriority w:val="0"/>
    <w:rPr>
      <w:rFonts w:ascii="黑体" w:hAnsi="Arial" w:eastAsia="黑体"/>
      <w:b/>
      <w:kern w:val="2"/>
      <w:sz w:val="28"/>
    </w:rPr>
  </w:style>
  <w:style w:type="character" w:customStyle="1" w:styleId="104">
    <w:name w:val="标题 1 Char"/>
    <w:link w:val="5"/>
    <w:autoRedefine/>
    <w:qFormat/>
    <w:uiPriority w:val="99"/>
    <w:rPr>
      <w:rFonts w:ascii="Times New Roman" w:hAnsi="Times New Roman"/>
      <w:b/>
      <w:bCs/>
      <w:kern w:val="44"/>
      <w:sz w:val="30"/>
      <w:szCs w:val="44"/>
    </w:rPr>
  </w:style>
  <w:style w:type="character" w:customStyle="1" w:styleId="105">
    <w:name w:val="Char Char"/>
    <w:autoRedefine/>
    <w:qFormat/>
    <w:uiPriority w:val="99"/>
    <w:rPr>
      <w:rFonts w:cs="Times New Roman"/>
      <w:kern w:val="2"/>
      <w:sz w:val="18"/>
      <w:szCs w:val="18"/>
    </w:rPr>
  </w:style>
  <w:style w:type="character" w:customStyle="1" w:styleId="106">
    <w:name w:val="HTML 预设格式 Char1"/>
    <w:autoRedefine/>
    <w:semiHidden/>
    <w:qFormat/>
    <w:uiPriority w:val="99"/>
    <w:rPr>
      <w:rFonts w:ascii="Courier New" w:hAnsi="Courier New" w:cs="Courier New"/>
      <w:kern w:val="2"/>
    </w:rPr>
  </w:style>
  <w:style w:type="character" w:customStyle="1" w:styleId="107">
    <w:name w:val="标题 3 Char"/>
    <w:link w:val="7"/>
    <w:autoRedefine/>
    <w:qFormat/>
    <w:uiPriority w:val="0"/>
    <w:rPr>
      <w:rFonts w:ascii="宋体" w:hAnsi="Times New Roman"/>
      <w:b/>
      <w:bCs/>
      <w:kern w:val="2"/>
      <w:sz w:val="32"/>
      <w:szCs w:val="32"/>
    </w:rPr>
  </w:style>
  <w:style w:type="character" w:customStyle="1" w:styleId="108">
    <w:name w:val="标题 2 Char"/>
    <w:link w:val="6"/>
    <w:autoRedefine/>
    <w:qFormat/>
    <w:uiPriority w:val="99"/>
    <w:rPr>
      <w:rFonts w:ascii="Arial" w:hAnsi="Arial" w:eastAsia="黑体"/>
      <w:b/>
      <w:bCs/>
      <w:kern w:val="2"/>
      <w:sz w:val="32"/>
      <w:szCs w:val="32"/>
    </w:rPr>
  </w:style>
  <w:style w:type="character" w:customStyle="1" w:styleId="109">
    <w:name w:val="批注框文本 Char"/>
    <w:link w:val="31"/>
    <w:autoRedefine/>
    <w:semiHidden/>
    <w:qFormat/>
    <w:uiPriority w:val="99"/>
    <w:rPr>
      <w:rFonts w:ascii="Times New Roman" w:hAnsi="Times New Roman"/>
      <w:kern w:val="2"/>
      <w:sz w:val="18"/>
      <w:szCs w:val="18"/>
    </w:rPr>
  </w:style>
  <w:style w:type="character" w:customStyle="1" w:styleId="110">
    <w:name w:val="正文首行缩进 Char"/>
    <w:link w:val="49"/>
    <w:autoRedefine/>
    <w:qFormat/>
    <w:uiPriority w:val="0"/>
    <w:rPr>
      <w:rFonts w:ascii="Arial" w:hAnsi="Arial" w:eastAsia="仿宋_GB2312" w:cs="Arial"/>
      <w:kern w:val="2"/>
      <w:sz w:val="24"/>
      <w:szCs w:val="32"/>
    </w:rPr>
  </w:style>
  <w:style w:type="character" w:customStyle="1" w:styleId="111">
    <w:name w:val="纯文本 Char"/>
    <w:autoRedefine/>
    <w:semiHidden/>
    <w:qFormat/>
    <w:uiPriority w:val="99"/>
    <w:rPr>
      <w:rFonts w:ascii="宋体" w:hAnsi="Courier New" w:cs="Courier New"/>
      <w:kern w:val="2"/>
      <w:sz w:val="21"/>
      <w:szCs w:val="21"/>
    </w:rPr>
  </w:style>
  <w:style w:type="paragraph" w:customStyle="1" w:styleId="112">
    <w:name w:val="列出段落1"/>
    <w:basedOn w:val="1"/>
    <w:autoRedefine/>
    <w:qFormat/>
    <w:uiPriority w:val="0"/>
    <w:pPr>
      <w:ind w:firstLine="420" w:firstLineChars="200"/>
    </w:pPr>
  </w:style>
  <w:style w:type="paragraph" w:customStyle="1" w:styleId="113">
    <w:name w:val="Normal_1"/>
    <w:autoRedefine/>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C8D7B-C913-4948-A320-742049C803C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36</Pages>
  <Words>15367</Words>
  <Characters>15957</Characters>
  <Lines>164</Lines>
  <Paragraphs>46</Paragraphs>
  <TotalTime>6</TotalTime>
  <ScaleCrop>false</ScaleCrop>
  <LinksUpToDate>false</LinksUpToDate>
  <CharactersWithSpaces>16910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耶！</cp:lastModifiedBy>
  <cp:lastPrinted>2019-06-21T00:52:00Z</cp:lastPrinted>
  <dcterms:modified xsi:type="dcterms:W3CDTF">2024-04-07T00:52:08Z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416671ECD02B4DE98796FB0298E35552_13</vt:lpwstr>
  </property>
</Properties>
</file>