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spacing w:line="1700" w:lineRule="exact"/>
        <w:jc w:val="center"/>
        <w:rPr>
          <w:rFonts w:ascii="宋体" w:hAnsi="宋体"/>
          <w:b/>
          <w:color w:val="000000" w:themeColor="text1"/>
          <w:sz w:val="52"/>
          <w:szCs w:val="52"/>
          <w14:textFill>
            <w14:solidFill>
              <w14:schemeClr w14:val="tx1"/>
            </w14:solidFill>
          </w14:textFill>
        </w:rPr>
      </w:pPr>
      <w:r>
        <w:rPr>
          <w:rFonts w:hint="eastAsia" w:ascii="宋体" w:hAnsi="宋体"/>
          <w:b/>
          <w:bCs/>
          <w:color w:val="000000" w:themeColor="text1"/>
          <w:sz w:val="52"/>
          <w:szCs w:val="52"/>
          <w14:textFill>
            <w14:solidFill>
              <w14:schemeClr w14:val="tx1"/>
            </w14:solidFill>
          </w14:textFill>
        </w:rPr>
        <w:t>货物类标准</w:t>
      </w:r>
      <w:r>
        <w:rPr>
          <w:rFonts w:hint="eastAsia" w:ascii="微软简标宋"/>
          <w:b/>
          <w:bCs/>
          <w:color w:val="000000" w:themeColor="text1"/>
          <w:sz w:val="52"/>
          <w14:textFill>
            <w14:solidFill>
              <w14:schemeClr w14:val="tx1"/>
            </w14:solidFill>
          </w14:textFill>
        </w:rPr>
        <w:t>招标文件</w:t>
      </w:r>
    </w:p>
    <w:p>
      <w:pPr>
        <w:tabs>
          <w:tab w:val="left" w:pos="315"/>
          <w:tab w:val="left" w:pos="8820"/>
        </w:tabs>
        <w:spacing w:line="500" w:lineRule="exact"/>
        <w:jc w:val="right"/>
        <w:rPr>
          <w:rFonts w:ascii="微软简标宋"/>
          <w:bCs/>
          <w:color w:val="000000" w:themeColor="text1"/>
          <w:sz w:val="52"/>
          <w14:textFill>
            <w14:solidFill>
              <w14:schemeClr w14:val="tx1"/>
            </w14:solidFill>
          </w14:textFill>
        </w:rPr>
      </w:pPr>
    </w:p>
    <w:p>
      <w:pPr>
        <w:tabs>
          <w:tab w:val="left" w:pos="315"/>
          <w:tab w:val="left" w:pos="8820"/>
        </w:tabs>
        <w:spacing w:line="500" w:lineRule="exact"/>
        <w:jc w:val="right"/>
        <w:rPr>
          <w:rFonts w:ascii="微软简标宋"/>
          <w:bCs/>
          <w:color w:val="000000" w:themeColor="text1"/>
          <w:sz w:val="52"/>
          <w14:textFill>
            <w14:solidFill>
              <w14:schemeClr w14:val="tx1"/>
            </w14:solidFill>
          </w14:textFill>
        </w:rPr>
      </w:pPr>
    </w:p>
    <w:p>
      <w:pPr>
        <w:tabs>
          <w:tab w:val="left" w:pos="315"/>
          <w:tab w:val="left" w:pos="8820"/>
        </w:tabs>
        <w:spacing w:line="500" w:lineRule="exact"/>
        <w:jc w:val="right"/>
        <w:rPr>
          <w:rFonts w:ascii="微软简标宋"/>
          <w:bCs/>
          <w:color w:val="000000" w:themeColor="text1"/>
          <w:sz w:val="52"/>
          <w14:textFill>
            <w14:solidFill>
              <w14:schemeClr w14:val="tx1"/>
            </w14:solidFill>
          </w14:textFill>
        </w:rPr>
      </w:pPr>
    </w:p>
    <w:p>
      <w:pPr>
        <w:tabs>
          <w:tab w:val="left" w:pos="315"/>
          <w:tab w:val="left" w:pos="5220"/>
          <w:tab w:val="left" w:pos="8820"/>
        </w:tabs>
        <w:spacing w:line="500" w:lineRule="exact"/>
        <w:rPr>
          <w:rFonts w:ascii="微软简标宋"/>
          <w:bCs/>
          <w:color w:val="000000" w:themeColor="text1"/>
          <w:sz w:val="52"/>
          <w14:textFill>
            <w14:solidFill>
              <w14:schemeClr w14:val="tx1"/>
            </w14:solidFill>
          </w14:textFill>
        </w:rPr>
      </w:pPr>
      <w:r>
        <w:rPr>
          <w:rFonts w:ascii="微软简标宋"/>
          <w:bCs/>
          <w:color w:val="000000" w:themeColor="text1"/>
          <w:sz w:val="52"/>
          <w14:textFill>
            <w14:solidFill>
              <w14:schemeClr w14:val="tx1"/>
            </w14:solidFill>
          </w14:textFill>
        </w:rPr>
        <w:tab/>
      </w:r>
      <w:r>
        <w:rPr>
          <w:rFonts w:ascii="微软简标宋"/>
          <w:bCs/>
          <w:color w:val="000000" w:themeColor="text1"/>
          <w:sz w:val="52"/>
          <w14:textFill>
            <w14:solidFill>
              <w14:schemeClr w14:val="tx1"/>
            </w14:solidFill>
          </w14:textFill>
        </w:rPr>
        <w:tab/>
      </w:r>
    </w:p>
    <w:p>
      <w:pPr>
        <w:spacing w:line="360" w:lineRule="auto"/>
        <w:jc w:val="left"/>
        <w:rPr>
          <w:rFonts w:ascii="宋体" w:hAnsi="宋体"/>
          <w:color w:val="000000" w:themeColor="text1"/>
          <w:szCs w:val="21"/>
          <w14:textFill>
            <w14:solidFill>
              <w14:schemeClr w14:val="tx1"/>
            </w14:solidFill>
          </w14:textFill>
        </w:rPr>
      </w:pPr>
    </w:p>
    <w:p>
      <w:pPr>
        <w:widowControl/>
        <w:jc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drawing>
          <wp:inline distT="0" distB="0" distL="114300" distR="114300">
            <wp:extent cx="1349375" cy="1301750"/>
            <wp:effectExtent l="0" t="0" r="3175" b="12700"/>
            <wp:docPr id="1"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9"/>
                    <pic:cNvPicPr>
                      <a:picLocks noChangeAspect="1"/>
                    </pic:cNvPicPr>
                  </pic:nvPicPr>
                  <pic:blipFill>
                    <a:blip r:embed="rId7"/>
                    <a:stretch>
                      <a:fillRect/>
                    </a:stretch>
                  </pic:blipFill>
                  <pic:spPr>
                    <a:xfrm>
                      <a:off x="0" y="0"/>
                      <a:ext cx="1349375" cy="1301750"/>
                    </a:xfrm>
                    <a:prstGeom prst="rect">
                      <a:avLst/>
                    </a:prstGeom>
                    <a:noFill/>
                    <a:ln>
                      <a:noFill/>
                    </a:ln>
                  </pic:spPr>
                </pic:pic>
              </a:graphicData>
            </a:graphic>
          </wp:inline>
        </w:drawing>
      </w:r>
    </w:p>
    <w:p>
      <w:pPr>
        <w:tabs>
          <w:tab w:val="left" w:pos="2410"/>
        </w:tabs>
        <w:autoSpaceDE w:val="0"/>
        <w:autoSpaceDN w:val="0"/>
        <w:adjustRightInd w:val="0"/>
        <w:snapToGrid w:val="0"/>
        <w:spacing w:line="360" w:lineRule="auto"/>
        <w:rPr>
          <w:rFonts w:ascii="Arial Black" w:hAnsi="Arial Black"/>
          <w:color w:val="000000" w:themeColor="text1"/>
          <w:sz w:val="44"/>
          <w14:textFill>
            <w14:solidFill>
              <w14:schemeClr w14:val="tx1"/>
            </w14:solidFill>
          </w14:textFill>
        </w:rPr>
      </w:pPr>
    </w:p>
    <w:p>
      <w:pPr>
        <w:tabs>
          <w:tab w:val="left" w:pos="2410"/>
        </w:tabs>
        <w:autoSpaceDE w:val="0"/>
        <w:autoSpaceDN w:val="0"/>
        <w:adjustRightInd w:val="0"/>
        <w:snapToGrid w:val="0"/>
        <w:spacing w:line="360" w:lineRule="auto"/>
        <w:rPr>
          <w:rFonts w:ascii="宋体" w:hAnsi="DotumChe" w:cs="宋体"/>
          <w:b/>
          <w:color w:val="000000" w:themeColor="text1"/>
          <w:spacing w:val="20"/>
          <w:kern w:val="0"/>
          <w:sz w:val="36"/>
          <w:szCs w:val="36"/>
          <w14:textFill>
            <w14:solidFill>
              <w14:schemeClr w14:val="tx1"/>
            </w14:solidFill>
          </w14:textFill>
        </w:rPr>
      </w:pPr>
    </w:p>
    <w:p>
      <w:pPr>
        <w:tabs>
          <w:tab w:val="left" w:pos="2410"/>
        </w:tabs>
        <w:autoSpaceDE w:val="0"/>
        <w:autoSpaceDN w:val="0"/>
        <w:adjustRightInd w:val="0"/>
        <w:snapToGrid w:val="0"/>
        <w:spacing w:line="360" w:lineRule="auto"/>
        <w:ind w:left="3085" w:leftChars="608" w:hanging="1808" w:hangingChars="563"/>
        <w:rPr>
          <w:rFonts w:hint="eastAsia"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项目名称：合肥体育中心游泳馆及天鹅湖全民健身中心游</w:t>
      </w:r>
    </w:p>
    <w:p>
      <w:pPr>
        <w:tabs>
          <w:tab w:val="left" w:pos="2410"/>
        </w:tabs>
        <w:autoSpaceDE w:val="0"/>
        <w:autoSpaceDN w:val="0"/>
        <w:adjustRightInd w:val="0"/>
        <w:snapToGrid w:val="0"/>
        <w:spacing w:line="360" w:lineRule="auto"/>
        <w:ind w:firstLine="2890" w:firstLineChars="900"/>
        <w:rPr>
          <w:rFonts w:hint="eastAsia"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泳馆202</w:t>
      </w:r>
      <w:r>
        <w:rPr>
          <w:rFonts w:hint="eastAsia" w:ascii="宋体" w:hAnsi="DotumChe" w:cs="宋体"/>
          <w:b/>
          <w:color w:val="000000" w:themeColor="text1"/>
          <w:spacing w:val="20"/>
          <w:kern w:val="0"/>
          <w:sz w:val="28"/>
          <w:szCs w:val="28"/>
          <w:lang w:val="en-US" w:eastAsia="zh-CN"/>
          <w14:textFill>
            <w14:solidFill>
              <w14:schemeClr w14:val="tx1"/>
            </w14:solidFill>
          </w14:textFill>
        </w:rPr>
        <w:t>4</w:t>
      </w:r>
      <w:r>
        <w:rPr>
          <w:rFonts w:hint="eastAsia" w:ascii="宋体" w:hAnsi="DotumChe" w:cs="宋体"/>
          <w:b/>
          <w:color w:val="000000" w:themeColor="text1"/>
          <w:spacing w:val="20"/>
          <w:kern w:val="0"/>
          <w:sz w:val="28"/>
          <w:szCs w:val="28"/>
          <w14:textFill>
            <w14:solidFill>
              <w14:schemeClr w14:val="tx1"/>
            </w14:solidFill>
          </w14:textFill>
        </w:rPr>
        <w:t>年度水处理药剂及水质养护服务</w:t>
      </w:r>
    </w:p>
    <w:p>
      <w:pPr>
        <w:tabs>
          <w:tab w:val="left" w:pos="2410"/>
        </w:tabs>
        <w:autoSpaceDE w:val="0"/>
        <w:autoSpaceDN w:val="0"/>
        <w:adjustRightInd w:val="0"/>
        <w:snapToGrid w:val="0"/>
        <w:spacing w:line="360" w:lineRule="auto"/>
        <w:ind w:firstLine="1284" w:firstLineChars="400"/>
        <w:jc w:val="left"/>
        <w:rPr>
          <w:rFonts w:hint="eastAsia" w:ascii="宋体" w:hAnsi="DotumChe" w:eastAsia="宋体" w:cs="宋体"/>
          <w:b/>
          <w:color w:val="000000" w:themeColor="text1"/>
          <w:spacing w:val="20"/>
          <w:kern w:val="0"/>
          <w:sz w:val="28"/>
          <w:szCs w:val="28"/>
          <w:lang w:eastAsia="zh-CN"/>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项目编号：</w:t>
      </w:r>
      <w:r>
        <w:rPr>
          <w:rFonts w:hint="eastAsia" w:ascii="宋体" w:hAnsi="DotumChe" w:cs="宋体"/>
          <w:b/>
          <w:color w:val="000000" w:themeColor="text1"/>
          <w:spacing w:val="20"/>
          <w:kern w:val="0"/>
          <w:sz w:val="28"/>
          <w:szCs w:val="28"/>
          <w:highlight w:val="none"/>
          <w:lang w:val="en-US" w:eastAsia="zh-CN"/>
          <w14:textFill>
            <w14:solidFill>
              <w14:schemeClr w14:val="tx1"/>
            </w14:solidFill>
          </w14:textFill>
        </w:rPr>
        <w:t>2024</w:t>
      </w:r>
      <w:r>
        <w:rPr>
          <w:rFonts w:hint="eastAsia" w:ascii="宋体" w:hAnsi="DotumChe" w:cs="宋体"/>
          <w:b/>
          <w:color w:val="000000" w:themeColor="text1"/>
          <w:spacing w:val="20"/>
          <w:kern w:val="0"/>
          <w:sz w:val="28"/>
          <w:szCs w:val="28"/>
          <w:highlight w:val="none"/>
          <w14:textFill>
            <w14:solidFill>
              <w14:schemeClr w14:val="tx1"/>
            </w14:solidFill>
          </w14:textFill>
        </w:rPr>
        <w:t>TYGSCG0</w:t>
      </w:r>
      <w:r>
        <w:rPr>
          <w:rFonts w:hint="eastAsia" w:ascii="宋体" w:hAnsi="DotumChe" w:cs="宋体"/>
          <w:b/>
          <w:color w:val="000000" w:themeColor="text1"/>
          <w:spacing w:val="20"/>
          <w:kern w:val="0"/>
          <w:sz w:val="28"/>
          <w:szCs w:val="28"/>
          <w:highlight w:val="none"/>
          <w:lang w:val="en-US" w:eastAsia="zh-CN"/>
          <w14:textFill>
            <w14:solidFill>
              <w14:schemeClr w14:val="tx1"/>
            </w14:solidFill>
          </w14:textFill>
        </w:rPr>
        <w:t>2</w:t>
      </w:r>
    </w:p>
    <w:p>
      <w:pPr>
        <w:tabs>
          <w:tab w:val="left" w:pos="2410"/>
        </w:tabs>
        <w:autoSpaceDE w:val="0"/>
        <w:autoSpaceDN w:val="0"/>
        <w:adjustRightInd w:val="0"/>
        <w:snapToGrid w:val="0"/>
        <w:spacing w:line="360" w:lineRule="auto"/>
        <w:ind w:firstLine="1284" w:firstLineChars="400"/>
        <w:rPr>
          <w:rFonts w:hint="eastAsia"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招 标 人：</w:t>
      </w:r>
      <w:r>
        <w:rPr>
          <w:rFonts w:hint="eastAsia" w:ascii="宋体" w:hAnsi="DotumChe" w:cs="宋体"/>
          <w:b/>
          <w:color w:val="000000" w:themeColor="text1"/>
          <w:spacing w:val="20"/>
          <w:kern w:val="0"/>
          <w:sz w:val="28"/>
          <w:szCs w:val="28"/>
          <w:lang w:val="en-US" w:eastAsia="zh-CN"/>
          <w14:textFill>
            <w14:solidFill>
              <w14:schemeClr w14:val="tx1"/>
            </w14:solidFill>
          </w14:textFill>
        </w:rPr>
        <w:t>合肥体育产业投资</w:t>
      </w:r>
      <w:r>
        <w:rPr>
          <w:rFonts w:hint="eastAsia" w:ascii="宋体" w:hAnsi="DotumChe" w:cs="宋体"/>
          <w:b/>
          <w:color w:val="000000" w:themeColor="text1"/>
          <w:spacing w:val="20"/>
          <w:kern w:val="0"/>
          <w:sz w:val="28"/>
          <w:szCs w:val="28"/>
          <w14:textFill>
            <w14:solidFill>
              <w14:schemeClr w14:val="tx1"/>
            </w14:solidFill>
          </w14:textFill>
        </w:rPr>
        <w:t>有限公司</w:t>
      </w:r>
    </w:p>
    <w:p>
      <w:pPr>
        <w:tabs>
          <w:tab w:val="left" w:pos="2410"/>
        </w:tabs>
        <w:autoSpaceDE w:val="0"/>
        <w:autoSpaceDN w:val="0"/>
        <w:adjustRightInd w:val="0"/>
        <w:snapToGrid w:val="0"/>
        <w:spacing w:line="360" w:lineRule="auto"/>
        <w:ind w:firstLine="1284" w:firstLineChars="400"/>
        <w:rPr>
          <w:rFonts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招标时间：202</w:t>
      </w:r>
      <w:r>
        <w:rPr>
          <w:rFonts w:hint="eastAsia" w:ascii="宋体" w:hAnsi="DotumChe" w:cs="宋体"/>
          <w:b/>
          <w:color w:val="000000" w:themeColor="text1"/>
          <w:spacing w:val="20"/>
          <w:kern w:val="0"/>
          <w:sz w:val="28"/>
          <w:szCs w:val="28"/>
          <w:lang w:val="en-US" w:eastAsia="zh-CN"/>
          <w14:textFill>
            <w14:solidFill>
              <w14:schemeClr w14:val="tx1"/>
            </w14:solidFill>
          </w14:textFill>
        </w:rPr>
        <w:t>4</w:t>
      </w:r>
      <w:r>
        <w:rPr>
          <w:rFonts w:hint="eastAsia" w:ascii="宋体" w:hAnsi="DotumChe" w:cs="宋体"/>
          <w:b/>
          <w:color w:val="000000" w:themeColor="text1"/>
          <w:spacing w:val="20"/>
          <w:kern w:val="0"/>
          <w:sz w:val="28"/>
          <w:szCs w:val="28"/>
          <w14:textFill>
            <w14:solidFill>
              <w14:schemeClr w14:val="tx1"/>
            </w14:solidFill>
          </w14:textFill>
        </w:rPr>
        <w:t>年</w:t>
      </w:r>
      <w:r>
        <w:rPr>
          <w:rFonts w:hint="eastAsia" w:ascii="宋体" w:hAnsi="DotumChe" w:cs="宋体"/>
          <w:b/>
          <w:color w:val="000000" w:themeColor="text1"/>
          <w:spacing w:val="20"/>
          <w:kern w:val="0"/>
          <w:sz w:val="28"/>
          <w:szCs w:val="28"/>
          <w:lang w:val="en-US" w:eastAsia="zh-CN"/>
          <w14:textFill>
            <w14:solidFill>
              <w14:schemeClr w14:val="tx1"/>
            </w14:solidFill>
          </w14:textFill>
        </w:rPr>
        <w:t>3</w:t>
      </w:r>
      <w:r>
        <w:rPr>
          <w:rFonts w:hint="eastAsia" w:ascii="宋体" w:hAnsi="DotumChe" w:cs="宋体"/>
          <w:b/>
          <w:color w:val="000000" w:themeColor="text1"/>
          <w:spacing w:val="20"/>
          <w:kern w:val="0"/>
          <w:sz w:val="28"/>
          <w:szCs w:val="28"/>
          <w14:textFill>
            <w14:solidFill>
              <w14:schemeClr w14:val="tx1"/>
            </w14:solidFill>
          </w14:textFill>
        </w:rPr>
        <w:t>月</w:t>
      </w:r>
    </w:p>
    <w:p>
      <w:pPr>
        <w:tabs>
          <w:tab w:val="left" w:pos="2410"/>
        </w:tabs>
        <w:autoSpaceDE w:val="0"/>
        <w:autoSpaceDN w:val="0"/>
        <w:adjustRightInd w:val="0"/>
        <w:snapToGrid w:val="0"/>
        <w:spacing w:line="360" w:lineRule="auto"/>
        <w:ind w:firstLine="1257" w:firstLineChars="348"/>
        <w:rPr>
          <w:rFonts w:ascii="宋体" w:hAnsi="DotumChe" w:cs="宋体"/>
          <w:b/>
          <w:color w:val="000000" w:themeColor="text1"/>
          <w:spacing w:val="20"/>
          <w:kern w:val="0"/>
          <w:sz w:val="32"/>
          <w:szCs w:val="32"/>
          <w14:textFill>
            <w14:solidFill>
              <w14:schemeClr w14:val="tx1"/>
            </w14:solidFill>
          </w14:textFill>
        </w:rPr>
      </w:pPr>
    </w:p>
    <w:p>
      <w:pPr>
        <w:pStyle w:val="2"/>
        <w:rPr>
          <w:rFonts w:ascii="宋体" w:hAnsi="DotumChe" w:cs="宋体"/>
          <w:b/>
          <w:color w:val="000000" w:themeColor="text1"/>
          <w:spacing w:val="20"/>
          <w:kern w:val="0"/>
          <w:sz w:val="32"/>
          <w:szCs w:val="32"/>
          <w14:textFill>
            <w14:solidFill>
              <w14:schemeClr w14:val="tx1"/>
            </w14:solidFill>
          </w14:textFill>
        </w:rPr>
      </w:pPr>
    </w:p>
    <w:p>
      <w:pPr>
        <w:pStyle w:val="2"/>
        <w:rPr>
          <w:rFonts w:ascii="宋体" w:hAnsi="DotumChe" w:cs="宋体"/>
          <w:b/>
          <w:color w:val="000000" w:themeColor="text1"/>
          <w:spacing w:val="20"/>
          <w:kern w:val="0"/>
          <w:sz w:val="32"/>
          <w:szCs w:val="32"/>
          <w14:textFill>
            <w14:solidFill>
              <w14:schemeClr w14:val="tx1"/>
            </w14:solidFill>
          </w14:textFill>
        </w:rPr>
      </w:pPr>
    </w:p>
    <w:p>
      <w:pPr>
        <w:spacing w:before="240" w:beforeLines="100" w:line="440" w:lineRule="exact"/>
        <w:jc w:val="center"/>
        <w:rPr>
          <w:rFonts w:hint="eastAsia" w:ascii="黑体" w:hAnsi="宋体" w:eastAsia="黑体"/>
          <w:b/>
          <w:i w:val="0"/>
          <w:iCs w:val="0"/>
          <w:color w:val="000000" w:themeColor="text1"/>
          <w:sz w:val="32"/>
          <w14:textFill>
            <w14:solidFill>
              <w14:schemeClr w14:val="tx1"/>
            </w14:solidFill>
          </w14:textFill>
        </w:rPr>
      </w:pPr>
    </w:p>
    <w:p>
      <w:pPr>
        <w:spacing w:before="240" w:beforeLines="100" w:line="440" w:lineRule="exact"/>
        <w:jc w:val="center"/>
        <w:rPr>
          <w:rFonts w:hint="eastAsia" w:ascii="黑体" w:hAnsi="宋体" w:eastAsia="黑体"/>
          <w:b/>
          <w:i w:val="0"/>
          <w:iCs w:val="0"/>
          <w:color w:val="000000" w:themeColor="text1"/>
          <w:sz w:val="32"/>
          <w14:textFill>
            <w14:solidFill>
              <w14:schemeClr w14:val="tx1"/>
            </w14:solidFill>
          </w14:textFill>
        </w:rPr>
      </w:pPr>
    </w:p>
    <w:p>
      <w:pPr>
        <w:spacing w:before="240" w:beforeLines="100" w:line="440" w:lineRule="exact"/>
        <w:jc w:val="center"/>
        <w:rPr>
          <w:rFonts w:ascii="黑体" w:hAnsi="宋体" w:eastAsia="黑体"/>
          <w:b/>
          <w:i w:val="0"/>
          <w:iCs w:val="0"/>
          <w:color w:val="000000" w:themeColor="text1"/>
          <w:sz w:val="32"/>
          <w14:textFill>
            <w14:solidFill>
              <w14:schemeClr w14:val="tx1"/>
            </w14:solidFill>
          </w14:textFill>
        </w:rPr>
      </w:pPr>
      <w:r>
        <w:rPr>
          <w:rFonts w:hint="eastAsia" w:ascii="黑体" w:hAnsi="宋体" w:eastAsia="黑体"/>
          <w:b/>
          <w:i w:val="0"/>
          <w:iCs w:val="0"/>
          <w:color w:val="000000" w:themeColor="text1"/>
          <w:sz w:val="32"/>
          <w14:textFill>
            <w14:solidFill>
              <w14:schemeClr w14:val="tx1"/>
            </w14:solidFill>
          </w14:textFill>
        </w:rPr>
        <w:t>目    录</w:t>
      </w:r>
    </w:p>
    <w:p>
      <w:pPr>
        <w:pStyle w:val="34"/>
        <w:tabs>
          <w:tab w:val="right" w:leader="dot" w:pos="9413"/>
        </w:tabs>
        <w:rPr>
          <w:i w:val="0"/>
          <w:iCs w:val="0"/>
        </w:rPr>
      </w:pPr>
      <w:bookmarkStart w:id="0" w:name="_Hlt533241375"/>
      <w:bookmarkEnd w:id="0"/>
      <w:bookmarkStart w:id="1" w:name="_Hlt519045295"/>
      <w:bookmarkEnd w:id="1"/>
      <w:bookmarkStart w:id="2" w:name="_Hlt526418134"/>
      <w:bookmarkEnd w:id="2"/>
      <w:r>
        <w:rPr>
          <w:rFonts w:hint="eastAsia" w:ascii="宋体" w:hAnsi="宋体" w:cs="宋体"/>
          <w:i w:val="0"/>
          <w:iCs w:val="0"/>
          <w:color w:val="000000" w:themeColor="text1"/>
          <w:sz w:val="28"/>
          <w:szCs w:val="28"/>
          <w14:textFill>
            <w14:solidFill>
              <w14:schemeClr w14:val="tx1"/>
            </w14:solidFill>
          </w14:textFill>
        </w:rPr>
        <w:fldChar w:fldCharType="begin"/>
      </w:r>
      <w:r>
        <w:rPr>
          <w:rFonts w:hint="eastAsia" w:ascii="宋体" w:hAnsi="宋体" w:cs="宋体"/>
          <w:i w:val="0"/>
          <w:iCs w:val="0"/>
          <w:color w:val="000000" w:themeColor="text1"/>
          <w:sz w:val="28"/>
          <w:szCs w:val="28"/>
          <w14:textFill>
            <w14:solidFill>
              <w14:schemeClr w14:val="tx1"/>
            </w14:solidFill>
          </w14:textFill>
        </w:rPr>
        <w:instrText xml:space="preserve">TOC \o "1-3" \h \u </w:instrText>
      </w:r>
      <w:r>
        <w:rPr>
          <w:rFonts w:hint="eastAsia" w:ascii="宋体" w:hAnsi="宋体" w:cs="宋体"/>
          <w:i w:val="0"/>
          <w:iCs w:val="0"/>
          <w:color w:val="000000" w:themeColor="text1"/>
          <w:sz w:val="28"/>
          <w:szCs w:val="28"/>
          <w14:textFill>
            <w14:solidFill>
              <w14:schemeClr w14:val="tx1"/>
            </w14:solidFill>
          </w14:textFill>
        </w:rPr>
        <w:fldChar w:fldCharType="separate"/>
      </w: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_Toc16593 </w:instrText>
      </w:r>
      <w:r>
        <w:rPr>
          <w:rFonts w:hint="eastAsia" w:ascii="宋体" w:hAnsi="宋体" w:cs="宋体"/>
          <w:i w:val="0"/>
          <w:iCs w:val="0"/>
          <w:szCs w:val="28"/>
        </w:rPr>
        <w:fldChar w:fldCharType="separate"/>
      </w:r>
      <w:r>
        <w:rPr>
          <w:rFonts w:hint="eastAsia" w:ascii="宋体" w:hAnsi="宋体"/>
          <w:bCs/>
          <w:i w:val="0"/>
          <w:iCs w:val="0"/>
          <w:szCs w:val="32"/>
        </w:rPr>
        <w:t>第一章 投标邀请（招标公告）</w:t>
      </w:r>
      <w:r>
        <w:rPr>
          <w:i w:val="0"/>
          <w:iCs w:val="0"/>
        </w:rPr>
        <w:tab/>
      </w:r>
      <w:r>
        <w:rPr>
          <w:i w:val="0"/>
          <w:iCs w:val="0"/>
        </w:rPr>
        <w:fldChar w:fldCharType="begin"/>
      </w:r>
      <w:r>
        <w:rPr>
          <w:i w:val="0"/>
          <w:iCs w:val="0"/>
        </w:rPr>
        <w:instrText xml:space="preserve"> PAGEREF _Toc16593 \h </w:instrText>
      </w:r>
      <w:r>
        <w:rPr>
          <w:i w:val="0"/>
          <w:iCs w:val="0"/>
        </w:rPr>
        <w:fldChar w:fldCharType="separate"/>
      </w:r>
      <w:r>
        <w:rPr>
          <w:i w:val="0"/>
          <w:iCs w:val="0"/>
        </w:rPr>
        <w:t>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_Toc5822 </w:instrText>
      </w:r>
      <w:r>
        <w:rPr>
          <w:rFonts w:hint="eastAsia" w:ascii="宋体" w:hAnsi="宋体" w:cs="宋体"/>
          <w:i w:val="0"/>
          <w:iCs w:val="0"/>
          <w:szCs w:val="28"/>
        </w:rPr>
        <w:fldChar w:fldCharType="separate"/>
      </w:r>
      <w:r>
        <w:rPr>
          <w:rFonts w:hint="eastAsia" w:ascii="宋体" w:hAnsi="宋体"/>
          <w:bCs/>
          <w:i w:val="0"/>
          <w:iCs w:val="0"/>
          <w:szCs w:val="32"/>
        </w:rPr>
        <w:t>第二章 投标人须知前附表</w:t>
      </w:r>
      <w:r>
        <w:rPr>
          <w:i w:val="0"/>
          <w:iCs w:val="0"/>
        </w:rPr>
        <w:tab/>
      </w:r>
      <w:r>
        <w:rPr>
          <w:i w:val="0"/>
          <w:iCs w:val="0"/>
        </w:rPr>
        <w:fldChar w:fldCharType="begin"/>
      </w:r>
      <w:r>
        <w:rPr>
          <w:i w:val="0"/>
          <w:iCs w:val="0"/>
        </w:rPr>
        <w:instrText xml:space="preserve"> PAGEREF _Toc5822 \h </w:instrText>
      </w:r>
      <w:r>
        <w:rPr>
          <w:i w:val="0"/>
          <w:iCs w:val="0"/>
        </w:rPr>
        <w:fldChar w:fldCharType="separate"/>
      </w:r>
      <w:r>
        <w:rPr>
          <w:i w:val="0"/>
          <w:iCs w:val="0"/>
        </w:rPr>
        <w:t>5</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_Toc25871 </w:instrText>
      </w:r>
      <w:r>
        <w:rPr>
          <w:rFonts w:hint="eastAsia" w:ascii="宋体" w:hAnsi="宋体" w:cs="宋体"/>
          <w:i w:val="0"/>
          <w:iCs w:val="0"/>
          <w:szCs w:val="28"/>
        </w:rPr>
        <w:fldChar w:fldCharType="separate"/>
      </w:r>
      <w:r>
        <w:rPr>
          <w:rFonts w:hint="eastAsia" w:ascii="宋体" w:hAnsi="宋体"/>
          <w:i w:val="0"/>
          <w:iCs w:val="0"/>
        </w:rPr>
        <w:t>第三章 投标人须知</w:t>
      </w:r>
      <w:r>
        <w:rPr>
          <w:i w:val="0"/>
          <w:iCs w:val="0"/>
        </w:rPr>
        <w:tab/>
      </w:r>
      <w:r>
        <w:rPr>
          <w:i w:val="0"/>
          <w:iCs w:val="0"/>
        </w:rPr>
        <w:fldChar w:fldCharType="begin"/>
      </w:r>
      <w:r>
        <w:rPr>
          <w:i w:val="0"/>
          <w:iCs w:val="0"/>
        </w:rPr>
        <w:instrText xml:space="preserve"> PAGEREF _Toc25871 \h </w:instrText>
      </w:r>
      <w:r>
        <w:rPr>
          <w:i w:val="0"/>
          <w:iCs w:val="0"/>
        </w:rPr>
        <w:fldChar w:fldCharType="separate"/>
      </w:r>
      <w:r>
        <w:rPr>
          <w:i w:val="0"/>
          <w:iCs w:val="0"/>
        </w:rPr>
        <w:t>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_Toc23746 </w:instrText>
      </w:r>
      <w:r>
        <w:rPr>
          <w:rFonts w:hint="eastAsia" w:ascii="宋体" w:hAnsi="宋体" w:cs="宋体"/>
          <w:i w:val="0"/>
          <w:iCs w:val="0"/>
          <w:szCs w:val="28"/>
        </w:rPr>
        <w:fldChar w:fldCharType="separate"/>
      </w:r>
      <w:r>
        <w:rPr>
          <w:rFonts w:hint="eastAsia" w:ascii="宋体" w:hAnsi="宋体"/>
          <w:bCs/>
          <w:i w:val="0"/>
          <w:iCs w:val="0"/>
          <w:szCs w:val="32"/>
        </w:rPr>
        <w:t>一．投标文件的编制</w:t>
      </w:r>
      <w:r>
        <w:rPr>
          <w:i w:val="0"/>
          <w:iCs w:val="0"/>
        </w:rPr>
        <w:tab/>
      </w:r>
      <w:r>
        <w:rPr>
          <w:i w:val="0"/>
          <w:iCs w:val="0"/>
        </w:rPr>
        <w:fldChar w:fldCharType="begin"/>
      </w:r>
      <w:r>
        <w:rPr>
          <w:i w:val="0"/>
          <w:iCs w:val="0"/>
        </w:rPr>
        <w:instrText xml:space="preserve"> PAGEREF _Toc23746 \h </w:instrText>
      </w:r>
      <w:r>
        <w:rPr>
          <w:i w:val="0"/>
          <w:iCs w:val="0"/>
        </w:rPr>
        <w:fldChar w:fldCharType="separate"/>
      </w:r>
      <w:r>
        <w:rPr>
          <w:i w:val="0"/>
          <w:iCs w:val="0"/>
        </w:rPr>
        <w:t>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_Toc5344 </w:instrText>
      </w:r>
      <w:r>
        <w:rPr>
          <w:rFonts w:hint="eastAsia" w:ascii="宋体" w:hAnsi="宋体" w:cs="宋体"/>
          <w:i w:val="0"/>
          <w:iCs w:val="0"/>
          <w:szCs w:val="28"/>
        </w:rPr>
        <w:fldChar w:fldCharType="separate"/>
      </w:r>
      <w:r>
        <w:rPr>
          <w:rFonts w:hint="eastAsia" w:ascii="宋体" w:hAnsi="宋体"/>
          <w:bCs/>
          <w:i w:val="0"/>
          <w:iCs w:val="0"/>
          <w:szCs w:val="32"/>
        </w:rPr>
        <w:t>二．投标保证金的缴纳</w:t>
      </w:r>
      <w:r>
        <w:rPr>
          <w:i w:val="0"/>
          <w:iCs w:val="0"/>
        </w:rPr>
        <w:tab/>
      </w:r>
      <w:r>
        <w:rPr>
          <w:i w:val="0"/>
          <w:iCs w:val="0"/>
        </w:rPr>
        <w:fldChar w:fldCharType="begin"/>
      </w:r>
      <w:r>
        <w:rPr>
          <w:i w:val="0"/>
          <w:iCs w:val="0"/>
        </w:rPr>
        <w:instrText xml:space="preserve"> PAGEREF _Toc5344 \h </w:instrText>
      </w:r>
      <w:r>
        <w:rPr>
          <w:i w:val="0"/>
          <w:iCs w:val="0"/>
        </w:rPr>
        <w:fldChar w:fldCharType="separate"/>
      </w:r>
      <w:r>
        <w:rPr>
          <w:i w:val="0"/>
          <w:iCs w:val="0"/>
        </w:rPr>
        <w:t>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_Toc31055 </w:instrText>
      </w:r>
      <w:r>
        <w:rPr>
          <w:rFonts w:hint="eastAsia" w:ascii="宋体" w:hAnsi="宋体" w:cs="宋体"/>
          <w:i w:val="0"/>
          <w:iCs w:val="0"/>
          <w:szCs w:val="28"/>
        </w:rPr>
        <w:fldChar w:fldCharType="separate"/>
      </w:r>
      <w:r>
        <w:rPr>
          <w:rFonts w:hint="eastAsia" w:ascii="宋体" w:hAnsi="宋体"/>
          <w:bCs/>
          <w:i w:val="0"/>
          <w:iCs w:val="0"/>
          <w:szCs w:val="32"/>
        </w:rPr>
        <w:t>三．投标文件的递交</w:t>
      </w:r>
      <w:r>
        <w:rPr>
          <w:i w:val="0"/>
          <w:iCs w:val="0"/>
        </w:rPr>
        <w:tab/>
      </w:r>
      <w:r>
        <w:rPr>
          <w:i w:val="0"/>
          <w:iCs w:val="0"/>
        </w:rPr>
        <w:fldChar w:fldCharType="begin"/>
      </w:r>
      <w:r>
        <w:rPr>
          <w:i w:val="0"/>
          <w:iCs w:val="0"/>
        </w:rPr>
        <w:instrText xml:space="preserve"> PAGEREF _Toc31055 \h </w:instrText>
      </w:r>
      <w:r>
        <w:rPr>
          <w:i w:val="0"/>
          <w:iCs w:val="0"/>
        </w:rPr>
        <w:fldChar w:fldCharType="separate"/>
      </w:r>
      <w:r>
        <w:rPr>
          <w:i w:val="0"/>
          <w:iCs w:val="0"/>
        </w:rPr>
        <w:t>9</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_Toc9817 </w:instrText>
      </w:r>
      <w:r>
        <w:rPr>
          <w:rFonts w:hint="eastAsia" w:ascii="宋体" w:hAnsi="宋体" w:cs="宋体"/>
          <w:i w:val="0"/>
          <w:iCs w:val="0"/>
          <w:szCs w:val="28"/>
        </w:rPr>
        <w:fldChar w:fldCharType="separate"/>
      </w:r>
      <w:r>
        <w:rPr>
          <w:rFonts w:hint="eastAsia" w:ascii="宋体" w:hAnsi="宋体"/>
          <w:bCs/>
          <w:i w:val="0"/>
          <w:iCs w:val="0"/>
          <w:szCs w:val="32"/>
        </w:rPr>
        <w:t>四．开标、评标及定标</w:t>
      </w:r>
      <w:r>
        <w:rPr>
          <w:i w:val="0"/>
          <w:iCs w:val="0"/>
        </w:rPr>
        <w:tab/>
      </w:r>
      <w:r>
        <w:rPr>
          <w:i w:val="0"/>
          <w:iCs w:val="0"/>
        </w:rPr>
        <w:fldChar w:fldCharType="begin"/>
      </w:r>
      <w:r>
        <w:rPr>
          <w:i w:val="0"/>
          <w:iCs w:val="0"/>
        </w:rPr>
        <w:instrText xml:space="preserve"> PAGEREF _Toc9817 \h </w:instrText>
      </w:r>
      <w:r>
        <w:rPr>
          <w:i w:val="0"/>
          <w:iCs w:val="0"/>
        </w:rPr>
        <w:fldChar w:fldCharType="separate"/>
      </w:r>
      <w:r>
        <w:rPr>
          <w:i w:val="0"/>
          <w:iCs w:val="0"/>
        </w:rPr>
        <w:t>10</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_Toc20006 </w:instrText>
      </w:r>
      <w:r>
        <w:rPr>
          <w:rFonts w:hint="eastAsia" w:ascii="宋体" w:hAnsi="宋体" w:cs="宋体"/>
          <w:i w:val="0"/>
          <w:iCs w:val="0"/>
          <w:szCs w:val="28"/>
        </w:rPr>
        <w:fldChar w:fldCharType="separate"/>
      </w:r>
      <w:r>
        <w:rPr>
          <w:rFonts w:hint="eastAsia" w:ascii="宋体" w:hAnsi="宋体"/>
          <w:bCs/>
          <w:i w:val="0"/>
          <w:iCs w:val="0"/>
          <w:szCs w:val="32"/>
        </w:rPr>
        <w:t>六．投标文件的澄清</w:t>
      </w:r>
      <w:r>
        <w:rPr>
          <w:i w:val="0"/>
          <w:iCs w:val="0"/>
        </w:rPr>
        <w:tab/>
      </w:r>
      <w:r>
        <w:rPr>
          <w:i w:val="0"/>
          <w:iCs w:val="0"/>
        </w:rPr>
        <w:fldChar w:fldCharType="begin"/>
      </w:r>
      <w:r>
        <w:rPr>
          <w:i w:val="0"/>
          <w:iCs w:val="0"/>
        </w:rPr>
        <w:instrText xml:space="preserve"> PAGEREF _Toc20006 \h </w:instrText>
      </w:r>
      <w:r>
        <w:rPr>
          <w:i w:val="0"/>
          <w:iCs w:val="0"/>
        </w:rPr>
        <w:fldChar w:fldCharType="separate"/>
      </w:r>
      <w:r>
        <w:rPr>
          <w:i w:val="0"/>
          <w:iCs w:val="0"/>
        </w:rPr>
        <w:t>12</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_Toc20524 </w:instrText>
      </w:r>
      <w:r>
        <w:rPr>
          <w:rFonts w:hint="eastAsia" w:ascii="宋体" w:hAnsi="宋体" w:cs="宋体"/>
          <w:i w:val="0"/>
          <w:iCs w:val="0"/>
          <w:szCs w:val="28"/>
        </w:rPr>
        <w:fldChar w:fldCharType="separate"/>
      </w:r>
      <w:r>
        <w:rPr>
          <w:rFonts w:hint="eastAsia" w:ascii="宋体" w:hAnsi="宋体"/>
          <w:bCs/>
          <w:i w:val="0"/>
          <w:iCs w:val="0"/>
          <w:szCs w:val="32"/>
        </w:rPr>
        <w:t>七.中标通知书</w:t>
      </w:r>
      <w:r>
        <w:rPr>
          <w:i w:val="0"/>
          <w:iCs w:val="0"/>
        </w:rPr>
        <w:tab/>
      </w:r>
      <w:r>
        <w:rPr>
          <w:i w:val="0"/>
          <w:iCs w:val="0"/>
        </w:rPr>
        <w:fldChar w:fldCharType="begin"/>
      </w:r>
      <w:r>
        <w:rPr>
          <w:i w:val="0"/>
          <w:iCs w:val="0"/>
        </w:rPr>
        <w:instrText xml:space="preserve"> PAGEREF _Toc20524 \h </w:instrText>
      </w:r>
      <w:r>
        <w:rPr>
          <w:i w:val="0"/>
          <w:iCs w:val="0"/>
        </w:rPr>
        <w:fldChar w:fldCharType="separate"/>
      </w:r>
      <w:r>
        <w:rPr>
          <w:i w:val="0"/>
          <w:iCs w:val="0"/>
        </w:rPr>
        <w:t>12</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_Toc2884 </w:instrText>
      </w:r>
      <w:r>
        <w:rPr>
          <w:rFonts w:hint="eastAsia" w:ascii="宋体" w:hAnsi="宋体" w:cs="宋体"/>
          <w:i w:val="0"/>
          <w:iCs w:val="0"/>
          <w:szCs w:val="28"/>
        </w:rPr>
        <w:fldChar w:fldCharType="separate"/>
      </w:r>
      <w:r>
        <w:rPr>
          <w:rFonts w:hint="eastAsia" w:ascii="宋体" w:hAnsi="宋体"/>
          <w:bCs/>
          <w:i w:val="0"/>
          <w:iCs w:val="0"/>
          <w:szCs w:val="32"/>
        </w:rPr>
        <w:t>八.异议处理</w:t>
      </w:r>
      <w:r>
        <w:rPr>
          <w:i w:val="0"/>
          <w:iCs w:val="0"/>
        </w:rPr>
        <w:tab/>
      </w:r>
      <w:r>
        <w:rPr>
          <w:i w:val="0"/>
          <w:iCs w:val="0"/>
        </w:rPr>
        <w:fldChar w:fldCharType="begin"/>
      </w:r>
      <w:r>
        <w:rPr>
          <w:i w:val="0"/>
          <w:iCs w:val="0"/>
        </w:rPr>
        <w:instrText xml:space="preserve"> PAGEREF _Toc2884 \h </w:instrText>
      </w:r>
      <w:r>
        <w:rPr>
          <w:i w:val="0"/>
          <w:iCs w:val="0"/>
        </w:rPr>
        <w:fldChar w:fldCharType="separate"/>
      </w:r>
      <w:r>
        <w:rPr>
          <w:i w:val="0"/>
          <w:iCs w:val="0"/>
        </w:rPr>
        <w:t>13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_Toc20014 </w:instrText>
      </w:r>
      <w:r>
        <w:rPr>
          <w:rFonts w:hint="eastAsia" w:ascii="宋体" w:hAnsi="宋体" w:cs="宋体"/>
          <w:i w:val="0"/>
          <w:iCs w:val="0"/>
          <w:szCs w:val="28"/>
        </w:rPr>
        <w:fldChar w:fldCharType="separate"/>
      </w:r>
      <w:r>
        <w:rPr>
          <w:rFonts w:hint="eastAsia" w:ascii="宋体" w:hAnsi="宋体"/>
          <w:bCs/>
          <w:i w:val="0"/>
          <w:iCs w:val="0"/>
          <w:szCs w:val="32"/>
        </w:rPr>
        <w:t>九．签订合同</w:t>
      </w:r>
      <w:r>
        <w:rPr>
          <w:i w:val="0"/>
          <w:iCs w:val="0"/>
        </w:rPr>
        <w:tab/>
      </w:r>
      <w:r>
        <w:rPr>
          <w:i w:val="0"/>
          <w:iCs w:val="0"/>
        </w:rPr>
        <w:fldChar w:fldCharType="begin"/>
      </w:r>
      <w:r>
        <w:rPr>
          <w:i w:val="0"/>
          <w:iCs w:val="0"/>
        </w:rPr>
        <w:instrText xml:space="preserve"> PAGEREF _Toc20014 \h </w:instrText>
      </w:r>
      <w:r>
        <w:rPr>
          <w:i w:val="0"/>
          <w:iCs w:val="0"/>
        </w:rPr>
        <w:fldChar w:fldCharType="separate"/>
      </w:r>
      <w:r>
        <w:rPr>
          <w:i w:val="0"/>
          <w:iCs w:val="0"/>
        </w:rPr>
        <w:t>13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_Toc16845 </w:instrText>
      </w:r>
      <w:r>
        <w:rPr>
          <w:rFonts w:hint="eastAsia" w:ascii="宋体" w:hAnsi="宋体" w:cs="宋体"/>
          <w:i w:val="0"/>
          <w:iCs w:val="0"/>
          <w:szCs w:val="28"/>
        </w:rPr>
        <w:fldChar w:fldCharType="separate"/>
      </w:r>
      <w:r>
        <w:rPr>
          <w:rFonts w:hint="eastAsia" w:ascii="宋体" w:hAnsi="宋体"/>
          <w:i w:val="0"/>
          <w:iCs w:val="0"/>
        </w:rPr>
        <w:t xml:space="preserve">第四章 </w:t>
      </w:r>
      <w:r>
        <w:rPr>
          <w:rFonts w:hint="eastAsia" w:ascii="宋体" w:hAnsi="宋体"/>
          <w:i w:val="0"/>
          <w:iCs w:val="0"/>
          <w:szCs w:val="36"/>
        </w:rPr>
        <w:t>招标需求</w:t>
      </w:r>
      <w:r>
        <w:rPr>
          <w:i w:val="0"/>
          <w:iCs w:val="0"/>
        </w:rPr>
        <w:tab/>
      </w:r>
      <w:r>
        <w:rPr>
          <w:i w:val="0"/>
          <w:iCs w:val="0"/>
        </w:rPr>
        <w:fldChar w:fldCharType="begin"/>
      </w:r>
      <w:r>
        <w:rPr>
          <w:i w:val="0"/>
          <w:iCs w:val="0"/>
        </w:rPr>
        <w:instrText xml:space="preserve"> PAGEREF _Toc16845 \h </w:instrText>
      </w:r>
      <w:r>
        <w:rPr>
          <w:i w:val="0"/>
          <w:iCs w:val="0"/>
        </w:rPr>
        <w:fldChar w:fldCharType="separate"/>
      </w:r>
      <w:r>
        <w:rPr>
          <w:i w:val="0"/>
          <w:iCs w:val="0"/>
        </w:rPr>
        <w:t>15</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_Toc9997 </w:instrText>
      </w:r>
      <w:r>
        <w:rPr>
          <w:rFonts w:hint="eastAsia" w:ascii="宋体" w:hAnsi="宋体" w:cs="宋体"/>
          <w:i w:val="0"/>
          <w:iCs w:val="0"/>
          <w:szCs w:val="28"/>
        </w:rPr>
        <w:fldChar w:fldCharType="separate"/>
      </w:r>
      <w:r>
        <w:rPr>
          <w:rFonts w:hint="eastAsia" w:ascii="宋体" w:hAnsi="宋体"/>
          <w:i w:val="0"/>
          <w:iCs w:val="0"/>
        </w:rPr>
        <w:t>第五章 评标办法</w:t>
      </w:r>
      <w:r>
        <w:rPr>
          <w:i w:val="0"/>
          <w:iCs w:val="0"/>
        </w:rPr>
        <w:tab/>
      </w:r>
      <w:r>
        <w:rPr>
          <w:i w:val="0"/>
          <w:iCs w:val="0"/>
        </w:rPr>
        <w:fldChar w:fldCharType="begin"/>
      </w:r>
      <w:r>
        <w:rPr>
          <w:i w:val="0"/>
          <w:iCs w:val="0"/>
        </w:rPr>
        <w:instrText xml:space="preserve"> PAGEREF _Toc9997 \h </w:instrText>
      </w:r>
      <w:r>
        <w:rPr>
          <w:i w:val="0"/>
          <w:iCs w:val="0"/>
        </w:rPr>
        <w:fldChar w:fldCharType="separate"/>
      </w:r>
      <w:r>
        <w:rPr>
          <w:i w:val="0"/>
          <w:iCs w:val="0"/>
        </w:rPr>
        <w:t>18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_Toc5990 </w:instrText>
      </w:r>
      <w:r>
        <w:rPr>
          <w:rFonts w:hint="eastAsia" w:ascii="宋体" w:hAnsi="宋体" w:cs="宋体"/>
          <w:i w:val="0"/>
          <w:iCs w:val="0"/>
          <w:szCs w:val="28"/>
        </w:rPr>
        <w:fldChar w:fldCharType="separate"/>
      </w:r>
      <w:r>
        <w:rPr>
          <w:rFonts w:hint="eastAsia" w:ascii="宋体" w:hAnsi="宋体"/>
          <w:i w:val="0"/>
          <w:iCs w:val="0"/>
        </w:rPr>
        <w:t xml:space="preserve">第六章 </w:t>
      </w:r>
      <w:r>
        <w:rPr>
          <w:rFonts w:ascii="宋体" w:hAnsi="宋体"/>
          <w:i w:val="0"/>
          <w:iCs w:val="0"/>
        </w:rPr>
        <w:t>合同</w:t>
      </w:r>
      <w:r>
        <w:rPr>
          <w:i w:val="0"/>
          <w:iCs w:val="0"/>
        </w:rPr>
        <w:tab/>
      </w:r>
      <w:r>
        <w:rPr>
          <w:i w:val="0"/>
          <w:iCs w:val="0"/>
        </w:rPr>
        <w:fldChar w:fldCharType="begin"/>
      </w:r>
      <w:r>
        <w:rPr>
          <w:i w:val="0"/>
          <w:iCs w:val="0"/>
        </w:rPr>
        <w:instrText xml:space="preserve"> PAGEREF _Toc5990 \h </w:instrText>
      </w:r>
      <w:r>
        <w:rPr>
          <w:i w:val="0"/>
          <w:iCs w:val="0"/>
        </w:rPr>
        <w:fldChar w:fldCharType="separate"/>
      </w:r>
      <w:r>
        <w:rPr>
          <w:i w:val="0"/>
          <w:iCs w:val="0"/>
        </w:rPr>
        <w:t>24</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_Toc1217 </w:instrText>
      </w:r>
      <w:r>
        <w:rPr>
          <w:rFonts w:hint="eastAsia" w:ascii="宋体" w:hAnsi="宋体" w:cs="宋体"/>
          <w:i w:val="0"/>
          <w:iCs w:val="0"/>
          <w:szCs w:val="28"/>
        </w:rPr>
        <w:fldChar w:fldCharType="separate"/>
      </w:r>
      <w:r>
        <w:rPr>
          <w:rFonts w:hint="eastAsia" w:ascii="宋体" w:hAnsi="宋体"/>
          <w:bCs/>
          <w:i w:val="0"/>
          <w:iCs w:val="0"/>
          <w:szCs w:val="32"/>
          <w:lang w:val="zh-CN"/>
        </w:rPr>
        <w:t>第七章 投标文件格式</w:t>
      </w:r>
      <w:r>
        <w:rPr>
          <w:i w:val="0"/>
          <w:iCs w:val="0"/>
        </w:rPr>
        <w:tab/>
      </w:r>
      <w:r>
        <w:rPr>
          <w:i w:val="0"/>
          <w:iCs w:val="0"/>
        </w:rPr>
        <w:fldChar w:fldCharType="begin"/>
      </w:r>
      <w:r>
        <w:rPr>
          <w:i w:val="0"/>
          <w:iCs w:val="0"/>
        </w:rPr>
        <w:instrText xml:space="preserve"> PAGEREF _Toc1217 \h </w:instrText>
      </w:r>
      <w:r>
        <w:rPr>
          <w:i w:val="0"/>
          <w:iCs w:val="0"/>
        </w:rPr>
        <w:fldChar w:fldCharType="separate"/>
      </w:r>
      <w:r>
        <w:rPr>
          <w:i w:val="0"/>
          <w:iCs w:val="0"/>
        </w:rPr>
        <w:t>29</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_Toc25959 </w:instrText>
      </w:r>
      <w:r>
        <w:rPr>
          <w:rFonts w:hint="eastAsia" w:ascii="宋体" w:hAnsi="宋体" w:cs="宋体"/>
          <w:i w:val="0"/>
          <w:iCs w:val="0"/>
          <w:szCs w:val="28"/>
        </w:rPr>
        <w:fldChar w:fldCharType="separate"/>
      </w:r>
      <w:r>
        <w:rPr>
          <w:rFonts w:hint="eastAsia" w:ascii="宋体" w:hAnsi="宋体"/>
          <w:bCs/>
          <w:i w:val="0"/>
          <w:iCs w:val="0"/>
          <w:szCs w:val="32"/>
          <w:lang w:val="zh-CN"/>
        </w:rPr>
        <w:t>一．投标函</w:t>
      </w:r>
      <w:r>
        <w:rPr>
          <w:i w:val="0"/>
          <w:iCs w:val="0"/>
        </w:rPr>
        <w:tab/>
      </w:r>
      <w:r>
        <w:rPr>
          <w:i w:val="0"/>
          <w:iCs w:val="0"/>
        </w:rPr>
        <w:fldChar w:fldCharType="begin"/>
      </w:r>
      <w:r>
        <w:rPr>
          <w:i w:val="0"/>
          <w:iCs w:val="0"/>
        </w:rPr>
        <w:instrText xml:space="preserve"> PAGEREF _Toc25959 \h </w:instrText>
      </w:r>
      <w:r>
        <w:rPr>
          <w:i w:val="0"/>
          <w:iCs w:val="0"/>
        </w:rPr>
        <w:fldChar w:fldCharType="separate"/>
      </w:r>
      <w:r>
        <w:rPr>
          <w:i w:val="0"/>
          <w:iCs w:val="0"/>
        </w:rPr>
        <w:t>30</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_Toc23937 </w:instrText>
      </w:r>
      <w:r>
        <w:rPr>
          <w:rFonts w:hint="eastAsia" w:ascii="宋体" w:hAnsi="宋体" w:cs="宋体"/>
          <w:i w:val="0"/>
          <w:iCs w:val="0"/>
          <w:szCs w:val="28"/>
        </w:rPr>
        <w:fldChar w:fldCharType="separate"/>
      </w:r>
      <w:r>
        <w:rPr>
          <w:rFonts w:hint="eastAsia" w:ascii="宋体" w:hAnsi="宋体"/>
          <w:bCs/>
          <w:i w:val="0"/>
          <w:iCs w:val="0"/>
          <w:szCs w:val="32"/>
          <w:lang w:val="zh-CN"/>
        </w:rPr>
        <w:t>二．投标人情况综合简介</w:t>
      </w:r>
      <w:r>
        <w:rPr>
          <w:i w:val="0"/>
          <w:iCs w:val="0"/>
        </w:rPr>
        <w:tab/>
      </w:r>
      <w:r>
        <w:rPr>
          <w:i w:val="0"/>
          <w:iCs w:val="0"/>
        </w:rPr>
        <w:fldChar w:fldCharType="begin"/>
      </w:r>
      <w:r>
        <w:rPr>
          <w:i w:val="0"/>
          <w:iCs w:val="0"/>
        </w:rPr>
        <w:instrText xml:space="preserve"> PAGEREF _Toc23937 \h </w:instrText>
      </w:r>
      <w:r>
        <w:rPr>
          <w:i w:val="0"/>
          <w:iCs w:val="0"/>
        </w:rPr>
        <w:fldChar w:fldCharType="separate"/>
      </w:r>
      <w:r>
        <w:rPr>
          <w:i w:val="0"/>
          <w:iCs w:val="0"/>
        </w:rPr>
        <w:t>31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_Toc10885 </w:instrText>
      </w:r>
      <w:r>
        <w:rPr>
          <w:rFonts w:hint="eastAsia" w:ascii="宋体" w:hAnsi="宋体" w:cs="宋体"/>
          <w:i w:val="0"/>
          <w:iCs w:val="0"/>
          <w:szCs w:val="28"/>
        </w:rPr>
        <w:fldChar w:fldCharType="separate"/>
      </w:r>
      <w:r>
        <w:rPr>
          <w:rFonts w:hint="eastAsia" w:ascii="宋体" w:hAnsi="宋体"/>
          <w:bCs/>
          <w:i w:val="0"/>
          <w:iCs w:val="0"/>
          <w:szCs w:val="32"/>
          <w:lang w:val="zh-CN"/>
        </w:rPr>
        <w:t>三．开标一览表</w:t>
      </w:r>
      <w:r>
        <w:rPr>
          <w:i w:val="0"/>
          <w:iCs w:val="0"/>
        </w:rPr>
        <w:tab/>
      </w:r>
      <w:r>
        <w:rPr>
          <w:i w:val="0"/>
          <w:iCs w:val="0"/>
        </w:rPr>
        <w:fldChar w:fldCharType="begin"/>
      </w:r>
      <w:r>
        <w:rPr>
          <w:i w:val="0"/>
          <w:iCs w:val="0"/>
        </w:rPr>
        <w:instrText xml:space="preserve"> PAGEREF _Toc10885 \h </w:instrText>
      </w:r>
      <w:r>
        <w:rPr>
          <w:i w:val="0"/>
          <w:iCs w:val="0"/>
        </w:rPr>
        <w:fldChar w:fldCharType="separate"/>
      </w:r>
      <w:r>
        <w:rPr>
          <w:i w:val="0"/>
          <w:iCs w:val="0"/>
        </w:rPr>
        <w:t>32</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_Toc22836 </w:instrText>
      </w:r>
      <w:r>
        <w:rPr>
          <w:rFonts w:hint="eastAsia" w:ascii="宋体" w:hAnsi="宋体" w:cs="宋体"/>
          <w:i w:val="0"/>
          <w:iCs w:val="0"/>
          <w:szCs w:val="28"/>
        </w:rPr>
        <w:fldChar w:fldCharType="separate"/>
      </w:r>
      <w:r>
        <w:rPr>
          <w:rFonts w:hint="eastAsia" w:ascii="宋体" w:hAnsi="宋体"/>
          <w:bCs/>
          <w:i w:val="0"/>
          <w:iCs w:val="0"/>
          <w:szCs w:val="32"/>
          <w:lang w:val="zh-CN"/>
        </w:rPr>
        <w:t>四．投标响应表</w:t>
      </w:r>
      <w:r>
        <w:rPr>
          <w:i w:val="0"/>
          <w:iCs w:val="0"/>
        </w:rPr>
        <w:tab/>
      </w:r>
      <w:r>
        <w:rPr>
          <w:i w:val="0"/>
          <w:iCs w:val="0"/>
        </w:rPr>
        <w:fldChar w:fldCharType="begin"/>
      </w:r>
      <w:r>
        <w:rPr>
          <w:i w:val="0"/>
          <w:iCs w:val="0"/>
        </w:rPr>
        <w:instrText xml:space="preserve"> PAGEREF _Toc22836 \h </w:instrText>
      </w:r>
      <w:r>
        <w:rPr>
          <w:i w:val="0"/>
          <w:iCs w:val="0"/>
        </w:rPr>
        <w:fldChar w:fldCharType="separate"/>
      </w:r>
      <w:r>
        <w:rPr>
          <w:i w:val="0"/>
          <w:iCs w:val="0"/>
        </w:rPr>
        <w:t>33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_Toc10981 </w:instrText>
      </w:r>
      <w:r>
        <w:rPr>
          <w:rFonts w:hint="eastAsia" w:ascii="宋体" w:hAnsi="宋体" w:cs="宋体"/>
          <w:i w:val="0"/>
          <w:iCs w:val="0"/>
          <w:szCs w:val="28"/>
        </w:rPr>
        <w:fldChar w:fldCharType="separate"/>
      </w:r>
      <w:r>
        <w:rPr>
          <w:rFonts w:hint="eastAsia" w:hAnsi="宋体"/>
          <w:i w:val="0"/>
          <w:iCs w:val="0"/>
        </w:rPr>
        <w:t>五.投标货物及报价表</w:t>
      </w:r>
      <w:r>
        <w:rPr>
          <w:i w:val="0"/>
          <w:iCs w:val="0"/>
        </w:rPr>
        <w:tab/>
      </w:r>
      <w:r>
        <w:rPr>
          <w:i w:val="0"/>
          <w:iCs w:val="0"/>
        </w:rPr>
        <w:fldChar w:fldCharType="begin"/>
      </w:r>
      <w:r>
        <w:rPr>
          <w:i w:val="0"/>
          <w:iCs w:val="0"/>
        </w:rPr>
        <w:instrText xml:space="preserve"> PAGEREF _Toc10981 \h </w:instrText>
      </w:r>
      <w:r>
        <w:rPr>
          <w:i w:val="0"/>
          <w:iCs w:val="0"/>
        </w:rPr>
        <w:fldChar w:fldCharType="separate"/>
      </w:r>
      <w:r>
        <w:rPr>
          <w:i w:val="0"/>
          <w:iCs w:val="0"/>
        </w:rPr>
        <w:t>34</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_Toc32709 </w:instrText>
      </w:r>
      <w:r>
        <w:rPr>
          <w:rFonts w:hint="eastAsia" w:ascii="宋体" w:hAnsi="宋体" w:cs="宋体"/>
          <w:i w:val="0"/>
          <w:iCs w:val="0"/>
          <w:szCs w:val="28"/>
        </w:rPr>
        <w:fldChar w:fldCharType="separate"/>
      </w:r>
      <w:r>
        <w:rPr>
          <w:rFonts w:hint="eastAsia" w:ascii="宋体" w:hAnsi="宋体"/>
          <w:bCs/>
          <w:i w:val="0"/>
          <w:iCs w:val="0"/>
          <w:szCs w:val="32"/>
          <w:lang w:val="zh-CN"/>
        </w:rPr>
        <w:t>六．投标授权书</w:t>
      </w:r>
      <w:r>
        <w:rPr>
          <w:i w:val="0"/>
          <w:iCs w:val="0"/>
        </w:rPr>
        <w:tab/>
      </w:r>
      <w:r>
        <w:rPr>
          <w:i w:val="0"/>
          <w:iCs w:val="0"/>
        </w:rPr>
        <w:fldChar w:fldCharType="begin"/>
      </w:r>
      <w:r>
        <w:rPr>
          <w:i w:val="0"/>
          <w:iCs w:val="0"/>
        </w:rPr>
        <w:instrText xml:space="preserve"> PAGEREF _Toc32709 \h </w:instrText>
      </w:r>
      <w:r>
        <w:rPr>
          <w:i w:val="0"/>
          <w:iCs w:val="0"/>
        </w:rPr>
        <w:fldChar w:fldCharType="separate"/>
      </w:r>
      <w:r>
        <w:rPr>
          <w:i w:val="0"/>
          <w:iCs w:val="0"/>
        </w:rPr>
        <w:t>35</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_Toc14779 </w:instrText>
      </w:r>
      <w:r>
        <w:rPr>
          <w:rFonts w:hint="eastAsia" w:ascii="宋体" w:hAnsi="宋体" w:cs="宋体"/>
          <w:i w:val="0"/>
          <w:iCs w:val="0"/>
          <w:szCs w:val="28"/>
        </w:rPr>
        <w:fldChar w:fldCharType="separate"/>
      </w:r>
      <w:r>
        <w:rPr>
          <w:rFonts w:hint="eastAsia" w:ascii="宋体" w:hAnsi="宋体" w:cs="宋体"/>
          <w:bCs/>
          <w:i w:val="0"/>
          <w:iCs w:val="0"/>
          <w:szCs w:val="28"/>
          <w:lang w:val="zh-CN"/>
        </w:rPr>
        <w:t>七．投标人信用承诺</w:t>
      </w:r>
      <w:r>
        <w:rPr>
          <w:i w:val="0"/>
          <w:iCs w:val="0"/>
        </w:rPr>
        <w:tab/>
      </w:r>
      <w:r>
        <w:rPr>
          <w:i w:val="0"/>
          <w:iCs w:val="0"/>
        </w:rPr>
        <w:fldChar w:fldCharType="begin"/>
      </w:r>
      <w:r>
        <w:rPr>
          <w:i w:val="0"/>
          <w:iCs w:val="0"/>
        </w:rPr>
        <w:instrText xml:space="preserve"> PAGEREF _Toc14779 \h </w:instrText>
      </w:r>
      <w:r>
        <w:rPr>
          <w:i w:val="0"/>
          <w:iCs w:val="0"/>
        </w:rPr>
        <w:fldChar w:fldCharType="separate"/>
      </w:r>
      <w:r>
        <w:rPr>
          <w:i w:val="0"/>
          <w:iCs w:val="0"/>
        </w:rPr>
        <w:t>36</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_Toc24259 </w:instrText>
      </w:r>
      <w:r>
        <w:rPr>
          <w:rFonts w:hint="eastAsia" w:ascii="宋体" w:hAnsi="宋体" w:cs="宋体"/>
          <w:i w:val="0"/>
          <w:iCs w:val="0"/>
          <w:szCs w:val="28"/>
        </w:rPr>
        <w:fldChar w:fldCharType="separate"/>
      </w:r>
      <w:r>
        <w:rPr>
          <w:rFonts w:hint="eastAsia" w:ascii="宋体" w:hAnsi="宋体" w:cs="宋体"/>
          <w:bCs/>
          <w:i w:val="0"/>
          <w:iCs w:val="0"/>
          <w:szCs w:val="28"/>
          <w:lang w:val="zh-CN"/>
        </w:rPr>
        <w:t>八. 投标业绩</w:t>
      </w:r>
      <w:r>
        <w:rPr>
          <w:i w:val="0"/>
          <w:iCs w:val="0"/>
        </w:rPr>
        <w:tab/>
      </w:r>
      <w:r>
        <w:rPr>
          <w:i w:val="0"/>
          <w:iCs w:val="0"/>
        </w:rPr>
        <w:fldChar w:fldCharType="begin"/>
      </w:r>
      <w:r>
        <w:rPr>
          <w:i w:val="0"/>
          <w:iCs w:val="0"/>
        </w:rPr>
        <w:instrText xml:space="preserve"> PAGEREF _Toc24259 \h </w:instrText>
      </w:r>
      <w:r>
        <w:rPr>
          <w:i w:val="0"/>
          <w:iCs w:val="0"/>
        </w:rPr>
        <w:fldChar w:fldCharType="separate"/>
      </w:r>
      <w:r>
        <w:rPr>
          <w:i w:val="0"/>
          <w:iCs w:val="0"/>
        </w:rPr>
        <w:t>37</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_Toc16606 </w:instrText>
      </w:r>
      <w:r>
        <w:rPr>
          <w:rFonts w:hint="eastAsia" w:ascii="宋体" w:hAnsi="宋体" w:cs="宋体"/>
          <w:i w:val="0"/>
          <w:iCs w:val="0"/>
          <w:szCs w:val="28"/>
        </w:rPr>
        <w:fldChar w:fldCharType="separate"/>
      </w:r>
      <w:r>
        <w:rPr>
          <w:rFonts w:hint="eastAsia" w:ascii="宋体" w:hAnsi="宋体"/>
          <w:bCs/>
          <w:i w:val="0"/>
          <w:iCs w:val="0"/>
          <w:szCs w:val="32"/>
          <w:lang w:val="zh-CN"/>
        </w:rPr>
        <w:t>九．有关证明文件</w:t>
      </w:r>
      <w:r>
        <w:rPr>
          <w:i w:val="0"/>
          <w:iCs w:val="0"/>
        </w:rPr>
        <w:tab/>
      </w:r>
      <w:r>
        <w:rPr>
          <w:i w:val="0"/>
          <w:iCs w:val="0"/>
        </w:rPr>
        <w:fldChar w:fldCharType="begin"/>
      </w:r>
      <w:r>
        <w:rPr>
          <w:i w:val="0"/>
          <w:iCs w:val="0"/>
        </w:rPr>
        <w:instrText xml:space="preserve"> PAGEREF _Toc16606 \h </w:instrText>
      </w:r>
      <w:r>
        <w:rPr>
          <w:i w:val="0"/>
          <w:iCs w:val="0"/>
        </w:rPr>
        <w:fldChar w:fldCharType="separate"/>
      </w:r>
      <w:r>
        <w:rPr>
          <w:i w:val="0"/>
          <w:iCs w:val="0"/>
        </w:rPr>
        <w:t>38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_Toc2343 </w:instrText>
      </w:r>
      <w:r>
        <w:rPr>
          <w:rFonts w:hint="eastAsia" w:ascii="宋体" w:hAnsi="宋体" w:cs="宋体"/>
          <w:i w:val="0"/>
          <w:iCs w:val="0"/>
          <w:szCs w:val="28"/>
        </w:rPr>
        <w:fldChar w:fldCharType="separate"/>
      </w:r>
      <w:r>
        <w:rPr>
          <w:rFonts w:hint="eastAsia" w:ascii="宋体" w:hAnsi="宋体"/>
          <w:bCs/>
          <w:i w:val="0"/>
          <w:iCs w:val="0"/>
          <w:szCs w:val="32"/>
          <w:lang w:val="zh-CN"/>
        </w:rPr>
        <w:t>十．生产厂商授权书</w:t>
      </w:r>
      <w:r>
        <w:rPr>
          <w:i w:val="0"/>
          <w:iCs w:val="0"/>
        </w:rPr>
        <w:tab/>
      </w:r>
      <w:r>
        <w:rPr>
          <w:i w:val="0"/>
          <w:iCs w:val="0"/>
        </w:rPr>
        <w:fldChar w:fldCharType="begin"/>
      </w:r>
      <w:r>
        <w:rPr>
          <w:i w:val="0"/>
          <w:iCs w:val="0"/>
        </w:rPr>
        <w:instrText xml:space="preserve"> PAGEREF _Toc2343 \h </w:instrText>
      </w:r>
      <w:r>
        <w:rPr>
          <w:i w:val="0"/>
          <w:iCs w:val="0"/>
        </w:rPr>
        <w:fldChar w:fldCharType="separate"/>
      </w:r>
      <w:r>
        <w:rPr>
          <w:i w:val="0"/>
          <w:iCs w:val="0"/>
        </w:rPr>
        <w:t>38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_Toc32245 </w:instrText>
      </w:r>
      <w:r>
        <w:rPr>
          <w:rFonts w:hint="eastAsia" w:ascii="宋体" w:hAnsi="宋体" w:cs="宋体"/>
          <w:i w:val="0"/>
          <w:iCs w:val="0"/>
          <w:szCs w:val="28"/>
        </w:rPr>
        <w:fldChar w:fldCharType="separate"/>
      </w:r>
      <w:r>
        <w:rPr>
          <w:rFonts w:hint="eastAsia" w:ascii="宋体" w:hAnsi="宋体"/>
          <w:bCs/>
          <w:i w:val="0"/>
          <w:iCs w:val="0"/>
          <w:szCs w:val="32"/>
          <w:lang w:val="zh-CN"/>
        </w:rPr>
        <w:t>十一．项目人员配备</w:t>
      </w:r>
      <w:r>
        <w:rPr>
          <w:i w:val="0"/>
          <w:iCs w:val="0"/>
        </w:rPr>
        <w:tab/>
      </w:r>
      <w:r>
        <w:rPr>
          <w:i w:val="0"/>
          <w:iCs w:val="0"/>
        </w:rPr>
        <w:fldChar w:fldCharType="begin"/>
      </w:r>
      <w:r>
        <w:rPr>
          <w:i w:val="0"/>
          <w:iCs w:val="0"/>
        </w:rPr>
        <w:instrText xml:space="preserve"> PAGEREF _Toc32245 \h </w:instrText>
      </w:r>
      <w:r>
        <w:rPr>
          <w:i w:val="0"/>
          <w:iCs w:val="0"/>
        </w:rPr>
        <w:fldChar w:fldCharType="separate"/>
      </w:r>
      <w:r>
        <w:rPr>
          <w:i w:val="0"/>
          <w:iCs w:val="0"/>
        </w:rPr>
        <w:t>39</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_Toc10816 </w:instrText>
      </w:r>
      <w:r>
        <w:rPr>
          <w:rFonts w:hint="eastAsia" w:ascii="宋体" w:hAnsi="宋体" w:cs="宋体"/>
          <w:i w:val="0"/>
          <w:iCs w:val="0"/>
          <w:szCs w:val="28"/>
        </w:rPr>
        <w:fldChar w:fldCharType="separate"/>
      </w:r>
      <w:r>
        <w:rPr>
          <w:rFonts w:hint="eastAsia" w:ascii="宋体" w:hAnsi="宋体"/>
          <w:bCs/>
          <w:i w:val="0"/>
          <w:iCs w:val="0"/>
          <w:szCs w:val="32"/>
          <w:lang w:val="zh-CN"/>
        </w:rPr>
        <w:t>十二．售后服务体系与检测方案</w:t>
      </w:r>
      <w:r>
        <w:rPr>
          <w:i w:val="0"/>
          <w:iCs w:val="0"/>
        </w:rPr>
        <w:tab/>
      </w:r>
      <w:r>
        <w:rPr>
          <w:i w:val="0"/>
          <w:iCs w:val="0"/>
        </w:rPr>
        <w:fldChar w:fldCharType="begin"/>
      </w:r>
      <w:r>
        <w:rPr>
          <w:i w:val="0"/>
          <w:iCs w:val="0"/>
        </w:rPr>
        <w:instrText xml:space="preserve"> PAGEREF _Toc10816 \h </w:instrText>
      </w:r>
      <w:r>
        <w:rPr>
          <w:i w:val="0"/>
          <w:iCs w:val="0"/>
        </w:rPr>
        <w:fldChar w:fldCharType="separate"/>
      </w:r>
      <w:r>
        <w:rPr>
          <w:i w:val="0"/>
          <w:iCs w:val="0"/>
        </w:rPr>
        <w:t>41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_Toc27185 </w:instrText>
      </w:r>
      <w:r>
        <w:rPr>
          <w:rFonts w:hint="eastAsia" w:ascii="宋体" w:hAnsi="宋体" w:cs="宋体"/>
          <w:i w:val="0"/>
          <w:iCs w:val="0"/>
          <w:szCs w:val="28"/>
        </w:rPr>
        <w:fldChar w:fldCharType="separate"/>
      </w:r>
      <w:r>
        <w:rPr>
          <w:rFonts w:hint="eastAsia" w:ascii="宋体" w:hAnsi="宋体"/>
          <w:bCs/>
          <w:i w:val="0"/>
          <w:iCs w:val="0"/>
          <w:szCs w:val="32"/>
          <w:lang w:val="zh-CN"/>
        </w:rPr>
        <w:t>十三．产品质量承诺</w:t>
      </w:r>
      <w:r>
        <w:rPr>
          <w:i w:val="0"/>
          <w:iCs w:val="0"/>
        </w:rPr>
        <w:tab/>
      </w:r>
      <w:r>
        <w:rPr>
          <w:i w:val="0"/>
          <w:iCs w:val="0"/>
        </w:rPr>
        <w:fldChar w:fldCharType="begin"/>
      </w:r>
      <w:r>
        <w:rPr>
          <w:i w:val="0"/>
          <w:iCs w:val="0"/>
        </w:rPr>
        <w:instrText xml:space="preserve"> PAGEREF _Toc27185 \h </w:instrText>
      </w:r>
      <w:r>
        <w:rPr>
          <w:i w:val="0"/>
          <w:iCs w:val="0"/>
        </w:rPr>
        <w:fldChar w:fldCharType="separate"/>
      </w:r>
      <w:r>
        <w:rPr>
          <w:i w:val="0"/>
          <w:iCs w:val="0"/>
        </w:rPr>
        <w:t>41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_Toc27926 </w:instrText>
      </w:r>
      <w:r>
        <w:rPr>
          <w:rFonts w:hint="eastAsia" w:ascii="宋体" w:hAnsi="宋体" w:cs="宋体"/>
          <w:i w:val="0"/>
          <w:iCs w:val="0"/>
          <w:szCs w:val="28"/>
        </w:rPr>
        <w:fldChar w:fldCharType="separate"/>
      </w:r>
      <w:r>
        <w:rPr>
          <w:rFonts w:hint="eastAsia" w:ascii="宋体" w:hAnsi="宋体"/>
          <w:bCs/>
          <w:i w:val="0"/>
          <w:iCs w:val="0"/>
          <w:szCs w:val="32"/>
          <w:lang w:val="zh-CN"/>
        </w:rPr>
        <w:t>十</w:t>
      </w:r>
      <w:r>
        <w:rPr>
          <w:rFonts w:hint="eastAsia" w:ascii="宋体" w:hAnsi="宋体"/>
          <w:bCs/>
          <w:i w:val="0"/>
          <w:iCs w:val="0"/>
          <w:szCs w:val="32"/>
          <w:lang w:val="en-US" w:eastAsia="zh-CN"/>
        </w:rPr>
        <w:t>四</w:t>
      </w:r>
      <w:r>
        <w:rPr>
          <w:rFonts w:hint="eastAsia" w:ascii="宋体" w:hAnsi="宋体"/>
          <w:bCs/>
          <w:i w:val="0"/>
          <w:iCs w:val="0"/>
          <w:szCs w:val="32"/>
          <w:lang w:val="zh-CN"/>
        </w:rPr>
        <w:t>．</w:t>
      </w:r>
      <w:r>
        <w:rPr>
          <w:rFonts w:hint="eastAsia" w:ascii="宋体" w:hAnsi="宋体"/>
          <w:bCs/>
          <w:i w:val="0"/>
          <w:iCs w:val="0"/>
          <w:szCs w:val="32"/>
          <w:lang w:val="en-US" w:eastAsia="zh-CN"/>
        </w:rPr>
        <w:t>投标人认为需提供的其他资料</w:t>
      </w:r>
      <w:r>
        <w:rPr>
          <w:i w:val="0"/>
          <w:iCs w:val="0"/>
        </w:rPr>
        <w:tab/>
      </w:r>
      <w:r>
        <w:rPr>
          <w:i w:val="0"/>
          <w:iCs w:val="0"/>
        </w:rPr>
        <w:fldChar w:fldCharType="begin"/>
      </w:r>
      <w:r>
        <w:rPr>
          <w:i w:val="0"/>
          <w:iCs w:val="0"/>
        </w:rPr>
        <w:instrText xml:space="preserve"> PAGEREF _Toc27926 \h </w:instrText>
      </w:r>
      <w:r>
        <w:rPr>
          <w:i w:val="0"/>
          <w:iCs w:val="0"/>
        </w:rPr>
        <w:fldChar w:fldCharType="separate"/>
      </w:r>
      <w:r>
        <w:rPr>
          <w:i w:val="0"/>
          <w:iCs w:val="0"/>
        </w:rPr>
        <w:t>41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spacing w:line="440" w:lineRule="exact"/>
        <w:outlineLvl w:val="0"/>
        <w:rPr>
          <w:rFonts w:ascii="宋体" w:hAnsi="宋体" w:cs="宋体"/>
          <w:color w:val="000000" w:themeColor="text1"/>
          <w:sz w:val="28"/>
          <w:szCs w:val="28"/>
          <w14:textFill>
            <w14:solidFill>
              <w14:schemeClr w14:val="tx1"/>
            </w14:solidFill>
          </w14:textFill>
        </w:rPr>
      </w:pPr>
      <w:r>
        <w:rPr>
          <w:rFonts w:hint="eastAsia" w:ascii="宋体" w:hAnsi="宋体" w:cs="宋体"/>
          <w:i w:val="0"/>
          <w:iCs w:val="0"/>
          <w:color w:val="000000" w:themeColor="text1"/>
          <w:szCs w:val="28"/>
          <w14:textFill>
            <w14:solidFill>
              <w14:schemeClr w14:val="tx1"/>
            </w14:solidFill>
          </w14:textFill>
        </w:rPr>
        <w:fldChar w:fldCharType="end"/>
      </w:r>
      <w:bookmarkStart w:id="3" w:name="_Toc7187420"/>
    </w:p>
    <w:p>
      <w:pPr>
        <w:spacing w:line="440" w:lineRule="exact"/>
        <w:outlineLvl w:val="0"/>
        <w:rPr>
          <w:rFonts w:ascii="宋体" w:hAnsi="宋体" w:cs="宋体"/>
          <w:color w:val="000000" w:themeColor="text1"/>
          <w:sz w:val="28"/>
          <w:szCs w:val="28"/>
          <w14:textFill>
            <w14:solidFill>
              <w14:schemeClr w14:val="tx1"/>
            </w14:solidFill>
          </w14:textFill>
        </w:rPr>
      </w:pPr>
    </w:p>
    <w:p>
      <w:pPr>
        <w:spacing w:line="440" w:lineRule="exact"/>
        <w:jc w:val="center"/>
        <w:outlineLvl w:val="0"/>
        <w:rPr>
          <w:rFonts w:ascii="宋体" w:hAnsi="宋体" w:cs="宋体"/>
          <w:color w:val="000000" w:themeColor="text1"/>
          <w:sz w:val="28"/>
          <w:szCs w:val="28"/>
          <w14:textFill>
            <w14:solidFill>
              <w14:schemeClr w14:val="tx1"/>
            </w14:solidFill>
          </w14:textFill>
        </w:rPr>
      </w:pPr>
    </w:p>
    <w:p>
      <w:pPr>
        <w:spacing w:line="360" w:lineRule="auto"/>
        <w:outlineLvl w:val="0"/>
        <w:rPr>
          <w:rFonts w:ascii="宋体" w:hAnsi="宋体"/>
          <w:b/>
          <w:bCs/>
          <w:color w:val="000000" w:themeColor="text1"/>
          <w:sz w:val="32"/>
          <w:szCs w:val="32"/>
          <w14:textFill>
            <w14:solidFill>
              <w14:schemeClr w14:val="tx1"/>
            </w14:solidFill>
          </w14:textFill>
        </w:rPr>
      </w:pPr>
    </w:p>
    <w:p>
      <w:pPr>
        <w:spacing w:line="360" w:lineRule="auto"/>
        <w:jc w:val="center"/>
        <w:outlineLvl w:val="0"/>
        <w:rPr>
          <w:rFonts w:ascii="宋体" w:hAnsi="宋体"/>
          <w:b/>
          <w:bCs/>
          <w:color w:val="000000" w:themeColor="text1"/>
          <w:sz w:val="32"/>
          <w:szCs w:val="32"/>
          <w14:textFill>
            <w14:solidFill>
              <w14:schemeClr w14:val="tx1"/>
            </w14:solidFill>
          </w14:textFill>
        </w:rPr>
      </w:pPr>
      <w:bookmarkStart w:id="4" w:name="_Toc16593"/>
      <w:r>
        <w:rPr>
          <w:rFonts w:hint="eastAsia" w:ascii="宋体" w:hAnsi="宋体"/>
          <w:b/>
          <w:bCs/>
          <w:color w:val="000000" w:themeColor="text1"/>
          <w:sz w:val="32"/>
          <w:szCs w:val="32"/>
          <w14:textFill>
            <w14:solidFill>
              <w14:schemeClr w14:val="tx1"/>
            </w14:solidFill>
          </w14:textFill>
        </w:rPr>
        <w:t>第一章 投标邀请（招标公告）</w:t>
      </w:r>
      <w:bookmarkEnd w:id="3"/>
      <w:bookmarkEnd w:id="4"/>
    </w:p>
    <w:p>
      <w:pPr>
        <w:tabs>
          <w:tab w:val="left" w:pos="2410"/>
        </w:tabs>
        <w:autoSpaceDE w:val="0"/>
        <w:autoSpaceDN w:val="0"/>
        <w:adjustRightInd w:val="0"/>
        <w:snapToGrid w:val="0"/>
        <w:spacing w:line="360" w:lineRule="auto"/>
        <w:ind w:firstLine="482" w:firstLineChars="200"/>
        <w:rPr>
          <w:rFonts w:ascii="宋体" w:hAnsi="DotumChe" w:cs="宋体"/>
          <w:b/>
          <w:color w:val="000000" w:themeColor="text1"/>
          <w:spacing w:val="20"/>
          <w:kern w:val="0"/>
          <w:sz w:val="24"/>
          <w:szCs w:val="24"/>
          <w14:textFill>
            <w14:solidFill>
              <w14:schemeClr w14:val="tx1"/>
            </w14:solidFill>
          </w14:textFill>
        </w:rPr>
      </w:pPr>
      <w:bookmarkStart w:id="5" w:name="_Hlt510343011"/>
      <w:bookmarkStart w:id="6" w:name="_Hlt510342998"/>
      <w:r>
        <w:rPr>
          <w:rFonts w:hint="eastAsia" w:ascii="宋体" w:hAnsi="宋体"/>
          <w:b/>
          <w:color w:val="000000" w:themeColor="text1"/>
          <w:sz w:val="24"/>
          <w:szCs w:val="24"/>
          <w14:textFill>
            <w14:solidFill>
              <w14:schemeClr w14:val="tx1"/>
            </w14:solidFill>
          </w14:textFill>
        </w:rPr>
        <w:t>合肥体育产业投资有限公司</w:t>
      </w:r>
      <w:r>
        <w:rPr>
          <w:rFonts w:hint="eastAsia" w:ascii="宋体" w:hAnsi="宋体"/>
          <w:color w:val="000000" w:themeColor="text1"/>
          <w:sz w:val="24"/>
          <w:szCs w:val="24"/>
          <w14:textFill>
            <w14:solidFill>
              <w14:schemeClr w14:val="tx1"/>
            </w14:solidFill>
          </w14:textFill>
        </w:rPr>
        <w:t>现对</w:t>
      </w:r>
      <w:r>
        <w:rPr>
          <w:rFonts w:hint="eastAsia" w:ascii="宋体" w:hAnsi="宋体"/>
          <w:b/>
          <w:bCs/>
          <w:color w:val="000000" w:themeColor="text1"/>
          <w:sz w:val="24"/>
          <w:szCs w:val="24"/>
          <w14:textFill>
            <w14:solidFill>
              <w14:schemeClr w14:val="tx1"/>
            </w14:solidFill>
          </w14:textFill>
        </w:rPr>
        <w:t>合肥体育中心游泳馆及天鹅湖全民健身中心游泳馆202</w:t>
      </w:r>
      <w:r>
        <w:rPr>
          <w:rFonts w:hint="eastAsia" w:ascii="宋体" w:hAnsi="宋体"/>
          <w:b/>
          <w:bCs/>
          <w:color w:val="000000" w:themeColor="text1"/>
          <w:sz w:val="24"/>
          <w:szCs w:val="24"/>
          <w:lang w:val="en-US" w:eastAsia="zh-CN"/>
          <w14:textFill>
            <w14:solidFill>
              <w14:schemeClr w14:val="tx1"/>
            </w14:solidFill>
          </w14:textFill>
        </w:rPr>
        <w:t>4</w:t>
      </w:r>
      <w:r>
        <w:rPr>
          <w:rFonts w:hint="eastAsia" w:ascii="宋体" w:hAnsi="宋体"/>
          <w:b/>
          <w:bCs/>
          <w:color w:val="000000" w:themeColor="text1"/>
          <w:sz w:val="24"/>
          <w:szCs w:val="24"/>
          <w14:textFill>
            <w14:solidFill>
              <w14:schemeClr w14:val="tx1"/>
            </w14:solidFill>
          </w14:textFill>
        </w:rPr>
        <w:t>年度水处理药剂及水质养护服务项目</w:t>
      </w:r>
      <w:r>
        <w:rPr>
          <w:rFonts w:hint="eastAsia" w:ascii="宋体" w:hAnsi="宋体"/>
          <w:bCs/>
          <w:color w:val="000000" w:themeColor="text1"/>
          <w:sz w:val="24"/>
          <w:szCs w:val="24"/>
          <w14:textFill>
            <w14:solidFill>
              <w14:schemeClr w14:val="tx1"/>
            </w14:solidFill>
          </w14:textFill>
        </w:rPr>
        <w:t>（以下简称：本项目）</w:t>
      </w:r>
      <w:r>
        <w:rPr>
          <w:rFonts w:hint="eastAsia" w:ascii="宋体" w:hAnsi="宋体"/>
          <w:color w:val="000000" w:themeColor="text1"/>
          <w:sz w:val="24"/>
          <w:szCs w:val="24"/>
          <w14:textFill>
            <w14:solidFill>
              <w14:schemeClr w14:val="tx1"/>
            </w14:solidFill>
          </w14:textFill>
        </w:rPr>
        <w:t>进行公开招标，欢迎具备条件的投标人参加投标。</w:t>
      </w:r>
    </w:p>
    <w:p>
      <w:pPr>
        <w:autoSpaceDE w:val="0"/>
        <w:autoSpaceDN w:val="0"/>
        <w:adjustRightInd w:val="0"/>
        <w:spacing w:line="360" w:lineRule="auto"/>
        <w:ind w:firstLine="200"/>
        <w:jc w:val="lef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一、项目名称及内容</w:t>
      </w:r>
    </w:p>
    <w:p>
      <w:pPr>
        <w:tabs>
          <w:tab w:val="left" w:pos="2410"/>
        </w:tabs>
        <w:autoSpaceDE w:val="0"/>
        <w:autoSpaceDN w:val="0"/>
        <w:adjustRightInd w:val="0"/>
        <w:snapToGrid w:val="0"/>
        <w:spacing w:line="360" w:lineRule="auto"/>
        <w:ind w:firstLine="240" w:firstLineChars="100"/>
        <w:rPr>
          <w:rFonts w:hint="eastAsia" w:ascii="宋体" w:hAnsi="宋体" w:eastAsia="宋体"/>
          <w:color w:val="000000" w:themeColor="text1"/>
          <w:sz w:val="24"/>
          <w:szCs w:val="18"/>
          <w:lang w:val="en-US" w:eastAsia="zh-CN"/>
          <w14:textFill>
            <w14:solidFill>
              <w14:schemeClr w14:val="tx1"/>
            </w14:solidFill>
          </w14:textFill>
        </w:rPr>
      </w:pPr>
      <w:r>
        <w:rPr>
          <w:rFonts w:hint="eastAsia" w:ascii="宋体" w:hAnsi="宋体"/>
          <w:color w:val="000000" w:themeColor="text1"/>
          <w:sz w:val="24"/>
          <w:szCs w:val="18"/>
          <w14:textFill>
            <w14:solidFill>
              <w14:schemeClr w14:val="tx1"/>
            </w14:solidFill>
          </w14:textFill>
        </w:rPr>
        <w:t>1.项目编号：</w:t>
      </w:r>
      <w:r>
        <w:rPr>
          <w:rFonts w:hint="eastAsia" w:ascii="宋体" w:hAnsi="宋体"/>
          <w:color w:val="000000" w:themeColor="text1"/>
          <w:sz w:val="24"/>
          <w:szCs w:val="18"/>
          <w:highlight w:val="none"/>
          <w:lang w:val="en-US" w:eastAsia="zh-CN"/>
          <w14:textFill>
            <w14:solidFill>
              <w14:schemeClr w14:val="tx1"/>
            </w14:solidFill>
          </w14:textFill>
        </w:rPr>
        <w:t>2024</w:t>
      </w:r>
      <w:r>
        <w:rPr>
          <w:rFonts w:hint="eastAsia" w:ascii="宋体" w:hAnsi="宋体"/>
          <w:color w:val="000000" w:themeColor="text1"/>
          <w:sz w:val="24"/>
          <w:szCs w:val="18"/>
          <w:highlight w:val="none"/>
          <w14:textFill>
            <w14:solidFill>
              <w14:schemeClr w14:val="tx1"/>
            </w14:solidFill>
          </w14:textFill>
        </w:rPr>
        <w:t>TYGSCG0</w:t>
      </w:r>
      <w:r>
        <w:rPr>
          <w:rFonts w:hint="eastAsia" w:ascii="宋体" w:hAnsi="宋体"/>
          <w:color w:val="000000" w:themeColor="text1"/>
          <w:sz w:val="24"/>
          <w:szCs w:val="18"/>
          <w:highlight w:val="none"/>
          <w:lang w:val="en-US" w:eastAsia="zh-CN"/>
          <w14:textFill>
            <w14:solidFill>
              <w14:schemeClr w14:val="tx1"/>
            </w14:solidFill>
          </w14:textFill>
        </w:rPr>
        <w:t>2</w:t>
      </w:r>
    </w:p>
    <w:p>
      <w:pPr>
        <w:autoSpaceDE w:val="0"/>
        <w:autoSpaceDN w:val="0"/>
        <w:adjustRightInd w:val="0"/>
        <w:spacing w:line="360" w:lineRule="auto"/>
        <w:ind w:left="1681" w:leftChars="114" w:hanging="1442" w:hangingChars="601"/>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2.项目名称：合肥体育中心游泳馆及天鹅湖全民健身中心游泳馆202</w:t>
      </w:r>
      <w:r>
        <w:rPr>
          <w:rFonts w:hint="eastAsia" w:ascii="宋体" w:hAnsi="宋体"/>
          <w:color w:val="000000" w:themeColor="text1"/>
          <w:sz w:val="24"/>
          <w:szCs w:val="18"/>
          <w:lang w:val="en-US" w:eastAsia="zh-CN"/>
          <w14:textFill>
            <w14:solidFill>
              <w14:schemeClr w14:val="tx1"/>
            </w14:solidFill>
          </w14:textFill>
        </w:rPr>
        <w:t>4</w:t>
      </w:r>
      <w:r>
        <w:rPr>
          <w:rFonts w:hint="eastAsia" w:ascii="宋体" w:hAnsi="宋体"/>
          <w:color w:val="000000" w:themeColor="text1"/>
          <w:sz w:val="24"/>
          <w:szCs w:val="18"/>
          <w14:textFill>
            <w14:solidFill>
              <w14:schemeClr w14:val="tx1"/>
            </w14:solidFill>
          </w14:textFill>
        </w:rPr>
        <w:t>年度水处理药剂及水质养护服务</w:t>
      </w:r>
    </w:p>
    <w:p>
      <w:pPr>
        <w:autoSpaceDE w:val="0"/>
        <w:autoSpaceDN w:val="0"/>
        <w:adjustRightInd w:val="0"/>
        <w:spacing w:line="360" w:lineRule="auto"/>
        <w:ind w:left="1681" w:leftChars="114" w:hanging="1442" w:hangingChars="601"/>
        <w:jc w:val="left"/>
        <w:rPr>
          <w:rFonts w:hint="default" w:ascii="宋体" w:hAnsi="宋体" w:eastAsia="宋体"/>
          <w:color w:val="000000" w:themeColor="text1"/>
          <w:sz w:val="24"/>
          <w:szCs w:val="18"/>
          <w:lang w:val="en-US" w:eastAsia="zh-CN"/>
          <w14:textFill>
            <w14:solidFill>
              <w14:schemeClr w14:val="tx1"/>
            </w14:solidFill>
          </w14:textFill>
        </w:rPr>
      </w:pPr>
      <w:r>
        <w:rPr>
          <w:rFonts w:hint="eastAsia" w:ascii="宋体" w:hAnsi="宋体"/>
          <w:color w:val="000000" w:themeColor="text1"/>
          <w:sz w:val="24"/>
          <w:szCs w:val="18"/>
          <w14:textFill>
            <w14:solidFill>
              <w14:schemeClr w14:val="tx1"/>
            </w14:solidFill>
          </w14:textFill>
        </w:rPr>
        <w:t>3.项目地点：合肥体育中心</w:t>
      </w:r>
      <w:r>
        <w:rPr>
          <w:rFonts w:hint="eastAsia" w:ascii="宋体" w:hAnsi="宋体"/>
          <w:color w:val="000000" w:themeColor="text1"/>
          <w:sz w:val="24"/>
          <w:szCs w:val="18"/>
          <w:lang w:eastAsia="zh-CN"/>
          <w14:textFill>
            <w14:solidFill>
              <w14:schemeClr w14:val="tx1"/>
            </w14:solidFill>
          </w14:textFill>
        </w:rPr>
        <w:t>、</w:t>
      </w:r>
      <w:r>
        <w:rPr>
          <w:rFonts w:hint="eastAsia" w:ascii="宋体" w:hAnsi="宋体"/>
          <w:color w:val="000000" w:themeColor="text1"/>
          <w:sz w:val="24"/>
          <w:szCs w:val="18"/>
          <w:lang w:val="en-US" w:eastAsia="zh-CN"/>
          <w14:textFill>
            <w14:solidFill>
              <w14:schemeClr w14:val="tx1"/>
            </w14:solidFill>
          </w14:textFill>
        </w:rPr>
        <w:t>天鹅湖全民健身中心</w:t>
      </w:r>
    </w:p>
    <w:p>
      <w:pPr>
        <w:autoSpaceDE w:val="0"/>
        <w:autoSpaceDN w:val="0"/>
        <w:adjustRightInd w:val="0"/>
        <w:spacing w:line="360" w:lineRule="auto"/>
        <w:ind w:firstLine="2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4.项目单位：合肥体育产业投资有限公司 </w:t>
      </w:r>
    </w:p>
    <w:p>
      <w:pPr>
        <w:autoSpaceDE w:val="0"/>
        <w:autoSpaceDN w:val="0"/>
        <w:adjustRightInd w:val="0"/>
        <w:spacing w:line="360" w:lineRule="auto"/>
        <w:ind w:firstLine="2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5.项目概况：详见招标需求</w:t>
      </w:r>
    </w:p>
    <w:p>
      <w:pPr>
        <w:autoSpaceDE w:val="0"/>
        <w:autoSpaceDN w:val="0"/>
        <w:adjustRightInd w:val="0"/>
        <w:spacing w:line="360" w:lineRule="auto"/>
        <w:ind w:firstLine="200"/>
        <w:jc w:val="left"/>
        <w:rPr>
          <w:rFonts w:ascii="宋体" w:hAnsi="宋体"/>
          <w:color w:val="auto"/>
          <w:sz w:val="24"/>
          <w:szCs w:val="18"/>
        </w:rPr>
      </w:pPr>
      <w:r>
        <w:rPr>
          <w:rFonts w:hint="eastAsia" w:ascii="宋体" w:hAnsi="宋体"/>
          <w:color w:val="000000" w:themeColor="text1"/>
          <w:sz w:val="24"/>
          <w:szCs w:val="18"/>
          <w14:textFill>
            <w14:solidFill>
              <w14:schemeClr w14:val="tx1"/>
            </w14:solidFill>
          </w14:textFill>
        </w:rPr>
        <w:t>6.资金来源</w:t>
      </w:r>
      <w:r>
        <w:rPr>
          <w:rFonts w:hint="eastAsia" w:ascii="宋体" w:hAnsi="宋体"/>
          <w:color w:val="auto"/>
          <w:sz w:val="24"/>
          <w:szCs w:val="18"/>
        </w:rPr>
        <w:t>：自筹</w:t>
      </w:r>
    </w:p>
    <w:p>
      <w:pPr>
        <w:autoSpaceDE w:val="0"/>
        <w:autoSpaceDN w:val="0"/>
        <w:adjustRightInd w:val="0"/>
        <w:spacing w:line="360" w:lineRule="auto"/>
        <w:ind w:firstLine="200"/>
        <w:jc w:val="left"/>
        <w:rPr>
          <w:rFonts w:ascii="宋体" w:hAnsi="宋体"/>
          <w:color w:val="auto"/>
          <w:sz w:val="24"/>
          <w:szCs w:val="18"/>
          <w:highlight w:val="none"/>
        </w:rPr>
      </w:pPr>
      <w:r>
        <w:rPr>
          <w:rFonts w:hint="eastAsia" w:ascii="宋体" w:hAnsi="宋体"/>
          <w:color w:val="auto"/>
          <w:sz w:val="24"/>
          <w:szCs w:val="18"/>
          <w:highlight w:val="none"/>
        </w:rPr>
        <w:t>7.项目概算:</w:t>
      </w:r>
      <w:r>
        <w:rPr>
          <w:rFonts w:hint="eastAsia" w:ascii="宋体" w:hAnsi="宋体"/>
          <w:color w:val="auto"/>
          <w:sz w:val="24"/>
          <w:szCs w:val="18"/>
          <w:highlight w:val="none"/>
          <w:lang w:val="en-US" w:eastAsia="zh-CN"/>
        </w:rPr>
        <w:t xml:space="preserve"> </w:t>
      </w:r>
      <w:r>
        <w:rPr>
          <w:rFonts w:hint="eastAsia" w:ascii="宋体" w:hAnsi="宋体"/>
          <w:color w:val="auto"/>
          <w:sz w:val="24"/>
          <w:szCs w:val="18"/>
          <w:highlight w:val="none"/>
        </w:rPr>
        <w:t>贰拾</w:t>
      </w:r>
      <w:r>
        <w:rPr>
          <w:rFonts w:hint="eastAsia" w:ascii="宋体" w:hAnsi="宋体"/>
          <w:color w:val="auto"/>
          <w:sz w:val="24"/>
          <w:szCs w:val="18"/>
          <w:highlight w:val="none"/>
          <w:lang w:val="en-US" w:eastAsia="zh-CN"/>
        </w:rPr>
        <w:t>伍</w:t>
      </w:r>
      <w:r>
        <w:rPr>
          <w:rFonts w:hint="eastAsia" w:ascii="宋体" w:hAnsi="宋体"/>
          <w:color w:val="auto"/>
          <w:sz w:val="24"/>
          <w:szCs w:val="18"/>
          <w:highlight w:val="none"/>
        </w:rPr>
        <w:t>万贰</w:t>
      </w:r>
      <w:r>
        <w:rPr>
          <w:rFonts w:hint="eastAsia" w:ascii="宋体" w:hAnsi="宋体"/>
          <w:color w:val="auto"/>
          <w:sz w:val="24"/>
          <w:szCs w:val="18"/>
          <w:highlight w:val="none"/>
          <w:lang w:val="en-US" w:eastAsia="zh-CN"/>
        </w:rPr>
        <w:t>仟元</w:t>
      </w:r>
      <w:r>
        <w:rPr>
          <w:rFonts w:hint="eastAsia" w:ascii="宋体" w:hAnsi="宋体"/>
          <w:color w:val="auto"/>
          <w:sz w:val="24"/>
          <w:szCs w:val="18"/>
          <w:highlight w:val="none"/>
        </w:rPr>
        <w:t>整（</w:t>
      </w:r>
      <w:r>
        <w:rPr>
          <w:rFonts w:ascii="宋体" w:hAnsi="宋体"/>
          <w:color w:val="auto"/>
          <w:sz w:val="24"/>
          <w:szCs w:val="18"/>
          <w:highlight w:val="none"/>
        </w:rPr>
        <w:t>¥</w:t>
      </w:r>
      <w:r>
        <w:rPr>
          <w:rFonts w:hint="eastAsia" w:ascii="宋体" w:hAnsi="宋体"/>
          <w:color w:val="auto"/>
          <w:sz w:val="24"/>
          <w:szCs w:val="18"/>
          <w:highlight w:val="none"/>
          <w:lang w:val="en-US" w:eastAsia="zh-CN"/>
        </w:rPr>
        <w:t>252</w:t>
      </w:r>
      <w:r>
        <w:rPr>
          <w:rFonts w:hint="eastAsia" w:ascii="宋体" w:hAnsi="宋体"/>
          <w:color w:val="auto"/>
          <w:sz w:val="24"/>
          <w:szCs w:val="18"/>
          <w:highlight w:val="none"/>
        </w:rPr>
        <w:t>,000</w:t>
      </w:r>
      <w:r>
        <w:rPr>
          <w:rFonts w:ascii="宋体" w:hAnsi="宋体"/>
          <w:color w:val="auto"/>
          <w:sz w:val="24"/>
          <w:szCs w:val="18"/>
          <w:highlight w:val="none"/>
        </w:rPr>
        <w:t>.00</w:t>
      </w:r>
      <w:r>
        <w:rPr>
          <w:rFonts w:hint="eastAsia" w:ascii="宋体" w:hAnsi="宋体"/>
          <w:color w:val="auto"/>
          <w:sz w:val="24"/>
          <w:szCs w:val="18"/>
          <w:highlight w:val="none"/>
        </w:rPr>
        <w:t>）</w:t>
      </w:r>
    </w:p>
    <w:p>
      <w:pPr>
        <w:autoSpaceDE w:val="0"/>
        <w:autoSpaceDN w:val="0"/>
        <w:adjustRightInd w:val="0"/>
        <w:spacing w:line="360" w:lineRule="auto"/>
        <w:ind w:firstLine="200"/>
        <w:jc w:val="left"/>
        <w:rPr>
          <w:rFonts w:ascii="宋体" w:hAnsi="宋体"/>
          <w:color w:val="auto"/>
          <w:sz w:val="24"/>
          <w:szCs w:val="18"/>
        </w:rPr>
      </w:pPr>
      <w:r>
        <w:rPr>
          <w:rFonts w:hint="eastAsia" w:ascii="宋体" w:hAnsi="宋体"/>
          <w:color w:val="auto"/>
          <w:sz w:val="24"/>
          <w:szCs w:val="18"/>
        </w:rPr>
        <w:t>8.项目类别：</w:t>
      </w:r>
      <w:r>
        <w:rPr>
          <w:rFonts w:hint="eastAsia" w:ascii="宋体" w:hAnsi="宋体"/>
          <w:color w:val="auto"/>
          <w:sz w:val="24"/>
          <w:szCs w:val="18"/>
          <w:lang w:val="en-US" w:eastAsia="zh-CN"/>
        </w:rPr>
        <w:t>货物</w:t>
      </w:r>
      <w:r>
        <w:rPr>
          <w:rFonts w:hint="eastAsia" w:ascii="宋体" w:hAnsi="宋体"/>
          <w:color w:val="auto"/>
          <w:sz w:val="24"/>
          <w:szCs w:val="18"/>
        </w:rPr>
        <w:t>类</w:t>
      </w:r>
    </w:p>
    <w:p>
      <w:pPr>
        <w:numPr>
          <w:ilvl w:val="0"/>
          <w:numId w:val="4"/>
        </w:numPr>
        <w:autoSpaceDE w:val="0"/>
        <w:autoSpaceDN w:val="0"/>
        <w:adjustRightInd w:val="0"/>
        <w:spacing w:line="360" w:lineRule="auto"/>
        <w:jc w:val="left"/>
        <w:rPr>
          <w:rFonts w:ascii="宋体" w:hAnsi="宋体"/>
          <w:b/>
          <w:bCs/>
          <w:color w:val="auto"/>
          <w:sz w:val="24"/>
          <w:szCs w:val="24"/>
        </w:rPr>
      </w:pPr>
      <w:r>
        <w:rPr>
          <w:rFonts w:hint="eastAsia" w:ascii="宋体" w:hAnsi="宋体"/>
          <w:b/>
          <w:bCs/>
          <w:color w:val="auto"/>
          <w:sz w:val="24"/>
          <w:szCs w:val="24"/>
        </w:rPr>
        <w:t>投标人资格</w:t>
      </w:r>
    </w:p>
    <w:p>
      <w:pPr>
        <w:autoSpaceDE w:val="0"/>
        <w:autoSpaceDN w:val="0"/>
        <w:adjustRightInd w:val="0"/>
        <w:spacing w:line="460" w:lineRule="exact"/>
        <w:ind w:firstLine="240" w:firstLineChars="100"/>
        <w:jc w:val="left"/>
        <w:rPr>
          <w:rFonts w:ascii="宋体" w:hAnsi="宋体"/>
          <w:color w:val="auto"/>
          <w:sz w:val="24"/>
          <w:szCs w:val="18"/>
        </w:rPr>
      </w:pPr>
      <w:r>
        <w:rPr>
          <w:rFonts w:hint="eastAsia" w:ascii="宋体" w:hAnsi="宋体"/>
          <w:color w:val="auto"/>
          <w:sz w:val="24"/>
          <w:szCs w:val="18"/>
        </w:rPr>
        <w:t>1.具有独立承担民事责任的能力；</w:t>
      </w:r>
    </w:p>
    <w:p>
      <w:pPr>
        <w:autoSpaceDE w:val="0"/>
        <w:autoSpaceDN w:val="0"/>
        <w:adjustRightInd w:val="0"/>
        <w:spacing w:line="460" w:lineRule="exact"/>
        <w:ind w:firstLine="240" w:firstLineChars="100"/>
        <w:jc w:val="left"/>
        <w:rPr>
          <w:rFonts w:ascii="宋体" w:hAnsi="宋体"/>
          <w:color w:val="auto"/>
          <w:sz w:val="24"/>
          <w:szCs w:val="18"/>
        </w:rPr>
      </w:pPr>
      <w:r>
        <w:rPr>
          <w:rFonts w:hint="eastAsia" w:ascii="宋体" w:hAnsi="宋体"/>
          <w:color w:val="auto"/>
          <w:sz w:val="24"/>
          <w:szCs w:val="18"/>
        </w:rPr>
        <w:t>2.经营范围须含有水处理药剂或化</w:t>
      </w:r>
      <w:bookmarkStart w:id="153" w:name="_GoBack"/>
      <w:bookmarkEnd w:id="153"/>
      <w:r>
        <w:rPr>
          <w:rFonts w:hint="eastAsia" w:ascii="宋体" w:hAnsi="宋体"/>
          <w:color w:val="auto"/>
          <w:sz w:val="24"/>
          <w:szCs w:val="18"/>
        </w:rPr>
        <w:t>工经营许可；</w:t>
      </w:r>
    </w:p>
    <w:p>
      <w:pPr>
        <w:autoSpaceDE w:val="0"/>
        <w:autoSpaceDN w:val="0"/>
        <w:adjustRightInd w:val="0"/>
        <w:spacing w:line="460" w:lineRule="exact"/>
        <w:ind w:firstLine="240" w:firstLineChars="100"/>
        <w:jc w:val="left"/>
        <w:rPr>
          <w:rFonts w:ascii="宋体" w:hAnsi="宋体"/>
          <w:color w:val="auto"/>
          <w:sz w:val="24"/>
          <w:szCs w:val="18"/>
        </w:rPr>
      </w:pPr>
      <w:r>
        <w:rPr>
          <w:rFonts w:hint="eastAsia" w:ascii="宋体" w:hAnsi="宋体"/>
          <w:color w:val="auto"/>
          <w:sz w:val="24"/>
          <w:szCs w:val="18"/>
        </w:rPr>
        <w:t>3.具有</w:t>
      </w:r>
      <w:r>
        <w:rPr>
          <w:rFonts w:hint="eastAsia" w:ascii="宋体" w:hAnsi="宋体"/>
          <w:color w:val="auto"/>
          <w:sz w:val="24"/>
          <w:szCs w:val="18"/>
          <w:lang w:val="en-US" w:eastAsia="zh-CN"/>
        </w:rPr>
        <w:t>一</w:t>
      </w:r>
      <w:r>
        <w:rPr>
          <w:rFonts w:hint="eastAsia" w:ascii="宋体" w:hAnsi="宋体"/>
          <w:color w:val="auto"/>
          <w:sz w:val="24"/>
          <w:szCs w:val="18"/>
        </w:rPr>
        <w:t>家及以上游泳馆药剂承包或供应服务业绩；</w:t>
      </w:r>
    </w:p>
    <w:p>
      <w:pPr>
        <w:autoSpaceDE w:val="0"/>
        <w:autoSpaceDN w:val="0"/>
        <w:adjustRightInd w:val="0"/>
        <w:spacing w:line="460" w:lineRule="exact"/>
        <w:ind w:firstLine="240" w:firstLineChars="100"/>
        <w:jc w:val="left"/>
        <w:rPr>
          <w:rFonts w:ascii="宋体" w:hAnsi="宋体"/>
          <w:color w:val="auto"/>
          <w:sz w:val="24"/>
          <w:szCs w:val="18"/>
        </w:rPr>
      </w:pPr>
      <w:r>
        <w:rPr>
          <w:rFonts w:hint="eastAsia" w:ascii="宋体" w:hAnsi="宋体"/>
          <w:color w:val="auto"/>
          <w:sz w:val="24"/>
          <w:szCs w:val="18"/>
        </w:rPr>
        <w:t>4.本项目不接受联合体投标；</w:t>
      </w:r>
    </w:p>
    <w:p>
      <w:pPr>
        <w:autoSpaceDE w:val="0"/>
        <w:autoSpaceDN w:val="0"/>
        <w:adjustRightInd w:val="0"/>
        <w:spacing w:line="460" w:lineRule="exact"/>
        <w:ind w:firstLine="240" w:firstLineChars="100"/>
        <w:jc w:val="left"/>
        <w:rPr>
          <w:rFonts w:ascii="宋体" w:hAnsi="宋体"/>
          <w:color w:val="auto"/>
          <w:sz w:val="24"/>
          <w:szCs w:val="18"/>
        </w:rPr>
      </w:pPr>
      <w:r>
        <w:rPr>
          <w:rFonts w:hint="eastAsia" w:ascii="宋体" w:hAnsi="宋体"/>
          <w:color w:val="auto"/>
          <w:sz w:val="24"/>
          <w:szCs w:val="18"/>
        </w:rPr>
        <w:t>5. 符合下列情形之一：</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1)开标日前两年内未被合肥市及其所辖县（市）公共资源交易监督管理局记不良行为记录或记不良行为记录累计未满10分的。 </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2)最近一次被合肥市及其所辖县（市）公共资源交易监督管理局记不良行为记录累计记分达10分(含10分)到15分且公布日距开标日超过6个月。 </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3)最近一次被合肥市及其所辖县（市）公共资源交易监督管理局记不良行为记录累计记分达15分(含15分)到20分且公布日距开标日超过12个月。 </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4)最近一次被合肥市及其所辖县（市）公共资源交易监督管理局记不良行为记录累计记分达20分(含20分)及以上且公布日距开标日超过24个月。</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6.投标人存在以下不良信用记录情形之一的，不得推荐为中标候选人，不得确定为中标人：</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1）投标人被人民法院列入失信被执行人的；</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2）投标人或其法定代表人或拟派项目经理（项目负责人）被人民检察院列入行贿犯罪档案的； </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3）投标人被工商行政管理部门列入企业经营异常名录的；</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4）投标人被税务部门列入重大税收违法案件当事人名单的。</w:t>
      </w:r>
    </w:p>
    <w:p>
      <w:pPr>
        <w:autoSpaceDE w:val="0"/>
        <w:autoSpaceDN w:val="0"/>
        <w:adjustRightInd w:val="0"/>
        <w:spacing w:line="460" w:lineRule="exact"/>
        <w:ind w:firstLine="241" w:firstLineChars="100"/>
        <w:jc w:val="left"/>
        <w:rPr>
          <w:rFonts w:ascii="宋体" w:hAnsi="宋体"/>
          <w:b/>
          <w:bCs/>
          <w:color w:val="auto"/>
          <w:sz w:val="24"/>
          <w:szCs w:val="24"/>
        </w:rPr>
      </w:pPr>
      <w:r>
        <w:rPr>
          <w:rFonts w:hint="eastAsia" w:ascii="宋体" w:hAnsi="宋体"/>
          <w:b/>
          <w:bCs/>
          <w:color w:val="auto"/>
          <w:sz w:val="24"/>
          <w:szCs w:val="24"/>
        </w:rPr>
        <w:t>三、投标报名</w:t>
      </w:r>
    </w:p>
    <w:p>
      <w:pPr>
        <w:autoSpaceDE w:val="0"/>
        <w:autoSpaceDN w:val="0"/>
        <w:adjustRightInd w:val="0"/>
        <w:spacing w:line="360" w:lineRule="auto"/>
        <w:ind w:firstLine="200"/>
        <w:jc w:val="left"/>
        <w:rPr>
          <w:rFonts w:hint="eastAsia" w:ascii="宋体" w:hAnsi="宋体"/>
          <w:color w:val="000000" w:themeColor="text1"/>
          <w:sz w:val="24"/>
          <w:szCs w:val="18"/>
          <w:highlight w:val="none"/>
          <w14:textFill>
            <w14:solidFill>
              <w14:schemeClr w14:val="tx1"/>
            </w14:solidFill>
          </w14:textFill>
        </w:rPr>
      </w:pPr>
      <w:r>
        <w:rPr>
          <w:rFonts w:hint="eastAsia" w:ascii="宋体" w:hAnsi="宋体"/>
          <w:bCs/>
          <w:color w:val="auto"/>
          <w:sz w:val="24"/>
          <w:szCs w:val="24"/>
          <w:highlight w:val="none"/>
        </w:rPr>
        <w:t>1.</w:t>
      </w:r>
      <w:r>
        <w:rPr>
          <w:rFonts w:hint="eastAsia" w:ascii="宋体" w:hAnsi="宋体" w:cs="宋体"/>
          <w:color w:val="auto"/>
          <w:kern w:val="0"/>
          <w:sz w:val="24"/>
          <w:szCs w:val="24"/>
          <w:highlight w:val="none"/>
        </w:rPr>
        <w:t>报名日期：</w:t>
      </w:r>
      <w:r>
        <w:rPr>
          <w:rFonts w:hint="eastAsia" w:ascii="宋体" w:hAnsi="宋体"/>
          <w:color w:val="000000" w:themeColor="text1"/>
          <w:sz w:val="24"/>
          <w:szCs w:val="18"/>
          <w:highlight w:val="none"/>
          <w14:textFill>
            <w14:solidFill>
              <w14:schemeClr w14:val="tx1"/>
            </w14:solidFill>
          </w14:textFill>
        </w:rPr>
        <w:t>202</w:t>
      </w:r>
      <w:r>
        <w:rPr>
          <w:rFonts w:hint="eastAsia" w:ascii="宋体" w:hAnsi="宋体"/>
          <w:color w:val="000000" w:themeColor="text1"/>
          <w:sz w:val="24"/>
          <w:szCs w:val="18"/>
          <w:highlight w:val="none"/>
          <w:lang w:val="en-US" w:eastAsia="zh-CN"/>
          <w14:textFill>
            <w14:solidFill>
              <w14:schemeClr w14:val="tx1"/>
            </w14:solidFill>
          </w14:textFill>
        </w:rPr>
        <w:t>4</w:t>
      </w:r>
      <w:r>
        <w:rPr>
          <w:rFonts w:hint="eastAsia" w:ascii="宋体" w:hAnsi="宋体"/>
          <w:color w:val="000000" w:themeColor="text1"/>
          <w:sz w:val="24"/>
          <w:szCs w:val="18"/>
          <w:highlight w:val="none"/>
          <w14:textFill>
            <w14:solidFill>
              <w14:schemeClr w14:val="tx1"/>
            </w14:solidFill>
          </w14:textFill>
        </w:rPr>
        <w:t>年</w:t>
      </w:r>
      <w:r>
        <w:rPr>
          <w:rFonts w:hint="eastAsia" w:ascii="宋体" w:hAnsi="宋体"/>
          <w:color w:val="000000" w:themeColor="text1"/>
          <w:sz w:val="24"/>
          <w:szCs w:val="18"/>
          <w:highlight w:val="none"/>
          <w:lang w:val="en-US" w:eastAsia="zh-CN"/>
          <w14:textFill>
            <w14:solidFill>
              <w14:schemeClr w14:val="tx1"/>
            </w14:solidFill>
          </w14:textFill>
        </w:rPr>
        <w:t>3</w:t>
      </w:r>
      <w:r>
        <w:rPr>
          <w:rFonts w:hint="eastAsia" w:ascii="宋体" w:hAnsi="宋体"/>
          <w:color w:val="000000" w:themeColor="text1"/>
          <w:sz w:val="24"/>
          <w:szCs w:val="18"/>
          <w:highlight w:val="none"/>
          <w14:textFill>
            <w14:solidFill>
              <w14:schemeClr w14:val="tx1"/>
            </w14:solidFill>
          </w14:textFill>
        </w:rPr>
        <w:t>月</w:t>
      </w:r>
      <w:r>
        <w:rPr>
          <w:rFonts w:hint="eastAsia" w:ascii="宋体" w:hAnsi="宋体"/>
          <w:color w:val="000000" w:themeColor="text1"/>
          <w:sz w:val="24"/>
          <w:szCs w:val="18"/>
          <w:highlight w:val="none"/>
          <w:lang w:val="en-US" w:eastAsia="zh-CN"/>
          <w14:textFill>
            <w14:solidFill>
              <w14:schemeClr w14:val="tx1"/>
            </w14:solidFill>
          </w14:textFill>
        </w:rPr>
        <w:t>21</w:t>
      </w:r>
      <w:r>
        <w:rPr>
          <w:rFonts w:hint="eastAsia" w:ascii="宋体" w:hAnsi="宋体"/>
          <w:color w:val="000000" w:themeColor="text1"/>
          <w:sz w:val="24"/>
          <w:szCs w:val="18"/>
          <w:highlight w:val="none"/>
          <w14:textFill>
            <w14:solidFill>
              <w14:schemeClr w14:val="tx1"/>
            </w14:solidFill>
          </w14:textFill>
        </w:rPr>
        <w:t>日09:00至202</w:t>
      </w:r>
      <w:r>
        <w:rPr>
          <w:rFonts w:hint="eastAsia" w:ascii="宋体" w:hAnsi="宋体"/>
          <w:color w:val="000000" w:themeColor="text1"/>
          <w:sz w:val="24"/>
          <w:szCs w:val="18"/>
          <w:highlight w:val="none"/>
          <w:lang w:val="en-US" w:eastAsia="zh-CN"/>
          <w14:textFill>
            <w14:solidFill>
              <w14:schemeClr w14:val="tx1"/>
            </w14:solidFill>
          </w14:textFill>
        </w:rPr>
        <w:t>3</w:t>
      </w:r>
      <w:r>
        <w:rPr>
          <w:rFonts w:hint="eastAsia" w:ascii="宋体" w:hAnsi="宋体"/>
          <w:color w:val="000000" w:themeColor="text1"/>
          <w:sz w:val="24"/>
          <w:szCs w:val="18"/>
          <w:highlight w:val="none"/>
          <w14:textFill>
            <w14:solidFill>
              <w14:schemeClr w14:val="tx1"/>
            </w14:solidFill>
          </w14:textFill>
        </w:rPr>
        <w:t>年3月</w:t>
      </w:r>
      <w:r>
        <w:rPr>
          <w:rFonts w:hint="eastAsia" w:ascii="宋体" w:hAnsi="宋体"/>
          <w:color w:val="000000" w:themeColor="text1"/>
          <w:sz w:val="24"/>
          <w:szCs w:val="18"/>
          <w:highlight w:val="none"/>
          <w:lang w:val="en-US" w:eastAsia="zh-CN"/>
          <w14:textFill>
            <w14:solidFill>
              <w14:schemeClr w14:val="tx1"/>
            </w14:solidFill>
          </w14:textFill>
        </w:rPr>
        <w:t>27</w:t>
      </w:r>
      <w:r>
        <w:rPr>
          <w:rFonts w:hint="eastAsia" w:ascii="宋体" w:hAnsi="宋体"/>
          <w:color w:val="000000" w:themeColor="text1"/>
          <w:sz w:val="24"/>
          <w:szCs w:val="18"/>
          <w:highlight w:val="none"/>
          <w14:textFill>
            <w14:solidFill>
              <w14:schemeClr w14:val="tx1"/>
            </w14:solidFill>
          </w14:textFill>
        </w:rPr>
        <w:t>日17:00</w:t>
      </w:r>
    </w:p>
    <w:p>
      <w:pPr>
        <w:autoSpaceDE w:val="0"/>
        <w:autoSpaceDN w:val="0"/>
        <w:adjustRightInd w:val="0"/>
        <w:spacing w:line="360" w:lineRule="auto"/>
        <w:ind w:firstLine="200"/>
        <w:jc w:val="left"/>
        <w:rPr>
          <w:rFonts w:ascii="宋体" w:hAnsi="宋体" w:cs="宋体"/>
          <w:color w:val="auto"/>
          <w:kern w:val="0"/>
          <w:sz w:val="24"/>
          <w:szCs w:val="24"/>
        </w:rPr>
      </w:pPr>
      <w:r>
        <w:rPr>
          <w:rFonts w:hint="eastAsia" w:ascii="宋体" w:hAnsi="宋体" w:cs="宋体"/>
          <w:color w:val="auto"/>
          <w:kern w:val="0"/>
          <w:sz w:val="24"/>
          <w:szCs w:val="24"/>
        </w:rPr>
        <w:t>2.领取方法：登录合肥</w:t>
      </w:r>
      <w:r>
        <w:rPr>
          <w:rFonts w:hint="eastAsia" w:ascii="宋体" w:hAnsi="宋体" w:cs="宋体"/>
          <w:color w:val="auto"/>
          <w:kern w:val="0"/>
          <w:sz w:val="24"/>
          <w:szCs w:val="24"/>
          <w:lang w:val="en-US" w:eastAsia="zh-CN"/>
        </w:rPr>
        <w:t>体育产业投资</w:t>
      </w:r>
      <w:r>
        <w:rPr>
          <w:rFonts w:hint="eastAsia" w:ascii="宋体" w:hAnsi="宋体" w:cs="宋体"/>
          <w:color w:val="auto"/>
          <w:kern w:val="0"/>
          <w:sz w:val="24"/>
          <w:szCs w:val="24"/>
        </w:rPr>
        <w:t>有限公司网站http://www.hftycy.com下载标书</w:t>
      </w:r>
    </w:p>
    <w:p>
      <w:pPr>
        <w:autoSpaceDE w:val="0"/>
        <w:autoSpaceDN w:val="0"/>
        <w:adjustRightInd w:val="0"/>
        <w:spacing w:line="360" w:lineRule="auto"/>
        <w:ind w:firstLine="200"/>
        <w:jc w:val="left"/>
        <w:rPr>
          <w:rFonts w:ascii="宋体" w:hAnsi="宋体" w:cs="宋体"/>
          <w:b/>
          <w:color w:val="auto"/>
          <w:kern w:val="0"/>
          <w:sz w:val="24"/>
          <w:szCs w:val="24"/>
        </w:rPr>
      </w:pPr>
      <w:r>
        <w:rPr>
          <w:rFonts w:hint="eastAsia" w:ascii="宋体" w:hAnsi="宋体" w:cs="宋体"/>
          <w:b/>
          <w:color w:val="auto"/>
          <w:kern w:val="0"/>
          <w:sz w:val="24"/>
          <w:szCs w:val="24"/>
        </w:rPr>
        <w:t>四、投标保证金</w:t>
      </w:r>
    </w:p>
    <w:p>
      <w:pPr>
        <w:autoSpaceDE w:val="0"/>
        <w:autoSpaceDN w:val="0"/>
        <w:adjustRightInd w:val="0"/>
        <w:spacing w:line="360" w:lineRule="auto"/>
        <w:ind w:firstLine="200"/>
        <w:jc w:val="left"/>
        <w:rPr>
          <w:rFonts w:ascii="宋体" w:hAnsi="宋体" w:cs="宋体"/>
          <w:color w:val="auto"/>
          <w:kern w:val="0"/>
          <w:sz w:val="24"/>
          <w:szCs w:val="24"/>
        </w:rPr>
      </w:pPr>
      <w:r>
        <w:rPr>
          <w:rFonts w:hint="eastAsia" w:ascii="宋体" w:hAnsi="宋体" w:cs="宋体"/>
          <w:color w:val="auto"/>
          <w:kern w:val="0"/>
          <w:sz w:val="24"/>
          <w:szCs w:val="24"/>
        </w:rPr>
        <w:t>投标保证金缴纳详见第二章投标人须知前附表</w:t>
      </w:r>
    </w:p>
    <w:p>
      <w:pPr>
        <w:autoSpaceDE w:val="0"/>
        <w:autoSpaceDN w:val="0"/>
        <w:adjustRightInd w:val="0"/>
        <w:spacing w:line="360" w:lineRule="auto"/>
        <w:ind w:firstLine="200"/>
        <w:jc w:val="left"/>
        <w:rPr>
          <w:rFonts w:ascii="宋体" w:hAnsi="宋体" w:cs="宋体"/>
          <w:b/>
          <w:color w:val="auto"/>
          <w:kern w:val="0"/>
          <w:sz w:val="24"/>
          <w:szCs w:val="24"/>
        </w:rPr>
      </w:pPr>
      <w:r>
        <w:rPr>
          <w:rFonts w:hint="eastAsia" w:ascii="宋体" w:hAnsi="宋体" w:cs="宋体"/>
          <w:b/>
          <w:color w:val="auto"/>
          <w:kern w:val="0"/>
          <w:sz w:val="24"/>
          <w:szCs w:val="24"/>
        </w:rPr>
        <w:t>五、开标时间及地点</w:t>
      </w:r>
    </w:p>
    <w:p>
      <w:pPr>
        <w:autoSpaceDE w:val="0"/>
        <w:autoSpaceDN w:val="0"/>
        <w:adjustRightInd w:val="0"/>
        <w:spacing w:line="360" w:lineRule="auto"/>
        <w:ind w:firstLine="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1.开标时间：202</w:t>
      </w: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rPr>
        <w:t>年3月</w:t>
      </w:r>
      <w:r>
        <w:rPr>
          <w:rFonts w:hint="eastAsia" w:ascii="宋体" w:hAnsi="宋体" w:cs="宋体"/>
          <w:color w:val="auto"/>
          <w:kern w:val="0"/>
          <w:sz w:val="24"/>
          <w:szCs w:val="24"/>
          <w:highlight w:val="none"/>
          <w:lang w:val="en-US" w:eastAsia="zh-CN"/>
        </w:rPr>
        <w:t>28</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lang w:val="en-US" w:eastAsia="zh-CN"/>
        </w:rPr>
        <w:t>09：3</w:t>
      </w:r>
      <w:r>
        <w:rPr>
          <w:rFonts w:hint="eastAsia" w:ascii="宋体" w:hAnsi="宋体" w:cs="宋体"/>
          <w:color w:val="auto"/>
          <w:kern w:val="0"/>
          <w:sz w:val="24"/>
          <w:szCs w:val="24"/>
          <w:highlight w:val="none"/>
        </w:rPr>
        <w:t>0</w:t>
      </w:r>
    </w:p>
    <w:p>
      <w:pPr>
        <w:autoSpaceDE w:val="0"/>
        <w:autoSpaceDN w:val="0"/>
        <w:adjustRightInd w:val="0"/>
        <w:spacing w:line="360" w:lineRule="auto"/>
        <w:ind w:firstLine="200"/>
        <w:jc w:val="left"/>
        <w:rPr>
          <w:rFonts w:hint="eastAsia" w:ascii="宋体" w:hAnsi="宋体" w:cs="宋体"/>
          <w:color w:val="auto"/>
          <w:kern w:val="0"/>
          <w:sz w:val="24"/>
          <w:szCs w:val="24"/>
          <w:lang w:val="en-US" w:eastAsia="zh-CN"/>
        </w:rPr>
      </w:pPr>
      <w:r>
        <w:rPr>
          <w:rFonts w:hint="eastAsia" w:ascii="宋体" w:hAnsi="宋体" w:cs="宋体"/>
          <w:color w:val="auto"/>
          <w:kern w:val="0"/>
          <w:sz w:val="24"/>
          <w:szCs w:val="24"/>
        </w:rPr>
        <w:t>2.开标地点：</w:t>
      </w:r>
      <w:r>
        <w:rPr>
          <w:rFonts w:hint="eastAsia" w:ascii="宋体" w:hAnsi="宋体" w:cs="宋体"/>
          <w:color w:val="auto"/>
          <w:kern w:val="0"/>
          <w:sz w:val="24"/>
          <w:szCs w:val="24"/>
          <w:lang w:val="en-US" w:eastAsia="zh-CN"/>
        </w:rPr>
        <w:t>合肥体育中心</w:t>
      </w:r>
    </w:p>
    <w:p>
      <w:pPr>
        <w:autoSpaceDE w:val="0"/>
        <w:autoSpaceDN w:val="0"/>
        <w:adjustRightInd w:val="0"/>
        <w:spacing w:line="360" w:lineRule="auto"/>
        <w:ind w:firstLine="200"/>
        <w:jc w:val="left"/>
        <w:rPr>
          <w:rFonts w:hint="eastAsia" w:ascii="宋体" w:hAnsi="宋体" w:cs="宋体"/>
          <w:b/>
          <w:color w:val="auto"/>
          <w:kern w:val="0"/>
          <w:sz w:val="24"/>
          <w:szCs w:val="24"/>
        </w:rPr>
      </w:pPr>
      <w:r>
        <w:rPr>
          <w:rFonts w:hint="eastAsia" w:ascii="宋体" w:hAnsi="宋体" w:cs="宋体"/>
          <w:b/>
          <w:color w:val="auto"/>
          <w:kern w:val="0"/>
          <w:sz w:val="24"/>
          <w:szCs w:val="24"/>
        </w:rPr>
        <w:t>六、投标截止时间</w:t>
      </w:r>
    </w:p>
    <w:p>
      <w:pPr>
        <w:autoSpaceDE w:val="0"/>
        <w:autoSpaceDN w:val="0"/>
        <w:adjustRightInd w:val="0"/>
        <w:spacing w:line="360" w:lineRule="auto"/>
        <w:ind w:firstLine="200"/>
        <w:jc w:val="left"/>
        <w:rPr>
          <w:highlight w:val="none"/>
        </w:rPr>
      </w:pPr>
      <w:r>
        <w:rPr>
          <w:rFonts w:hint="eastAsia" w:ascii="宋体" w:hAnsi="宋体" w:cs="宋体"/>
          <w:color w:val="auto"/>
          <w:kern w:val="0"/>
          <w:sz w:val="24"/>
          <w:szCs w:val="24"/>
          <w:highlight w:val="none"/>
        </w:rPr>
        <w:t>202</w:t>
      </w: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rPr>
        <w:t>年3月</w:t>
      </w:r>
      <w:r>
        <w:rPr>
          <w:rFonts w:hint="eastAsia" w:ascii="宋体" w:hAnsi="宋体" w:cs="宋体"/>
          <w:color w:val="auto"/>
          <w:kern w:val="0"/>
          <w:sz w:val="24"/>
          <w:szCs w:val="24"/>
          <w:highlight w:val="none"/>
          <w:lang w:val="en-US" w:eastAsia="zh-CN"/>
        </w:rPr>
        <w:t>28</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lang w:val="en-US" w:eastAsia="zh-CN"/>
        </w:rPr>
        <w:t>09：3</w:t>
      </w:r>
      <w:r>
        <w:rPr>
          <w:rFonts w:hint="eastAsia" w:ascii="宋体" w:hAnsi="宋体" w:cs="宋体"/>
          <w:color w:val="auto"/>
          <w:kern w:val="0"/>
          <w:sz w:val="24"/>
          <w:szCs w:val="24"/>
          <w:highlight w:val="none"/>
        </w:rPr>
        <w:t>0</w:t>
      </w:r>
    </w:p>
    <w:p>
      <w:pPr>
        <w:autoSpaceDE w:val="0"/>
        <w:autoSpaceDN w:val="0"/>
        <w:adjustRightInd w:val="0"/>
        <w:spacing w:line="360" w:lineRule="auto"/>
        <w:ind w:firstLine="200"/>
        <w:jc w:val="left"/>
        <w:rPr>
          <w:rFonts w:ascii="宋体" w:hAnsi="宋体" w:cs="宋体"/>
          <w:b/>
          <w:color w:val="auto"/>
          <w:kern w:val="0"/>
          <w:sz w:val="24"/>
          <w:szCs w:val="24"/>
        </w:rPr>
      </w:pPr>
      <w:r>
        <w:rPr>
          <w:rFonts w:hint="eastAsia" w:ascii="宋体" w:hAnsi="宋体" w:cs="宋体"/>
          <w:b/>
          <w:color w:val="auto"/>
          <w:kern w:val="0"/>
          <w:sz w:val="24"/>
          <w:szCs w:val="24"/>
        </w:rPr>
        <w:t>七、联系方法</w:t>
      </w:r>
    </w:p>
    <w:p>
      <w:pPr>
        <w:autoSpaceDE w:val="0"/>
        <w:autoSpaceDN w:val="0"/>
        <w:adjustRightInd w:val="0"/>
        <w:spacing w:line="360" w:lineRule="auto"/>
        <w:ind w:firstLine="200"/>
        <w:jc w:val="left"/>
        <w:rPr>
          <w:rFonts w:ascii="宋体" w:hAnsi="宋体" w:cs="宋体"/>
          <w:color w:val="auto"/>
          <w:kern w:val="0"/>
          <w:sz w:val="24"/>
          <w:szCs w:val="24"/>
        </w:rPr>
      </w:pPr>
      <w:r>
        <w:rPr>
          <w:rFonts w:hint="eastAsia" w:ascii="宋体" w:hAnsi="宋体" w:cs="宋体"/>
          <w:color w:val="auto"/>
          <w:kern w:val="0"/>
          <w:sz w:val="24"/>
          <w:szCs w:val="24"/>
        </w:rPr>
        <w:t>招 标 人：合肥</w:t>
      </w:r>
      <w:r>
        <w:rPr>
          <w:rFonts w:hint="eastAsia" w:ascii="宋体" w:hAnsi="宋体" w:cs="宋体"/>
          <w:color w:val="auto"/>
          <w:kern w:val="0"/>
          <w:sz w:val="24"/>
          <w:szCs w:val="24"/>
          <w:lang w:val="en-US" w:eastAsia="zh-CN"/>
        </w:rPr>
        <w:t>体育产业投资</w:t>
      </w:r>
      <w:r>
        <w:rPr>
          <w:rFonts w:hint="eastAsia" w:ascii="宋体" w:hAnsi="宋体" w:cs="宋体"/>
          <w:color w:val="auto"/>
          <w:kern w:val="0"/>
          <w:sz w:val="24"/>
          <w:szCs w:val="24"/>
        </w:rPr>
        <w:t>有限公司</w:t>
      </w:r>
    </w:p>
    <w:p>
      <w:pPr>
        <w:autoSpaceDE w:val="0"/>
        <w:autoSpaceDN w:val="0"/>
        <w:adjustRightInd w:val="0"/>
        <w:spacing w:line="360" w:lineRule="auto"/>
        <w:ind w:firstLine="200"/>
        <w:jc w:val="left"/>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地    址：</w:t>
      </w:r>
      <w:r>
        <w:rPr>
          <w:rFonts w:hint="eastAsia" w:ascii="宋体" w:hAnsi="宋体" w:cs="宋体"/>
          <w:color w:val="auto"/>
          <w:kern w:val="0"/>
          <w:sz w:val="24"/>
          <w:szCs w:val="24"/>
          <w:lang w:val="en-US" w:eastAsia="zh-CN"/>
        </w:rPr>
        <w:t>合肥体育中心</w:t>
      </w:r>
    </w:p>
    <w:p>
      <w:pPr>
        <w:autoSpaceDE w:val="0"/>
        <w:autoSpaceDN w:val="0"/>
        <w:adjustRightInd w:val="0"/>
        <w:spacing w:line="360" w:lineRule="auto"/>
        <w:ind w:firstLine="200"/>
        <w:jc w:val="left"/>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rPr>
        <w:t>联 系 人：</w:t>
      </w:r>
      <w:r>
        <w:rPr>
          <w:rFonts w:hint="eastAsia" w:ascii="宋体" w:hAnsi="宋体" w:cs="宋体"/>
          <w:color w:val="auto"/>
          <w:kern w:val="0"/>
          <w:sz w:val="24"/>
          <w:szCs w:val="24"/>
          <w:highlight w:val="none"/>
          <w:lang w:val="en-US" w:eastAsia="zh-CN"/>
        </w:rPr>
        <w:t xml:space="preserve"> 樊工 15655956202  孙</w:t>
      </w:r>
      <w:r>
        <w:rPr>
          <w:rFonts w:hint="eastAsia" w:ascii="宋体" w:hAnsi="宋体" w:cs="宋体"/>
          <w:color w:val="auto"/>
          <w:kern w:val="0"/>
          <w:sz w:val="24"/>
          <w:szCs w:val="24"/>
          <w:highlight w:val="none"/>
        </w:rPr>
        <w:t>工</w:t>
      </w:r>
      <w:r>
        <w:rPr>
          <w:rFonts w:hint="eastAsia" w:ascii="宋体" w:hAnsi="宋体" w:cs="宋体"/>
          <w:color w:val="auto"/>
          <w:kern w:val="0"/>
          <w:sz w:val="24"/>
          <w:szCs w:val="24"/>
          <w:highlight w:val="none"/>
          <w:lang w:val="en-US" w:eastAsia="zh-CN"/>
        </w:rPr>
        <w:t xml:space="preserve"> </w:t>
      </w:r>
      <w:r>
        <w:rPr>
          <w:rFonts w:hint="eastAsia" w:ascii="宋体" w:hAnsi="宋体" w:cs="宋体"/>
          <w:color w:val="auto"/>
          <w:kern w:val="0"/>
          <w:sz w:val="24"/>
          <w:szCs w:val="24"/>
          <w:highlight w:val="none"/>
        </w:rPr>
        <w:t>0551--63363087</w:t>
      </w:r>
      <w:r>
        <w:rPr>
          <w:rFonts w:hint="eastAsia" w:ascii="宋体" w:hAnsi="宋体" w:cs="宋体"/>
          <w:color w:val="auto"/>
          <w:kern w:val="0"/>
          <w:sz w:val="24"/>
          <w:szCs w:val="24"/>
          <w:highlight w:val="none"/>
          <w:lang w:val="en-US" w:eastAsia="zh-CN"/>
        </w:rPr>
        <w:t xml:space="preserve"> </w:t>
      </w:r>
    </w:p>
    <w:p>
      <w:pPr>
        <w:autoSpaceDE w:val="0"/>
        <w:autoSpaceDN w:val="0"/>
        <w:adjustRightInd w:val="0"/>
        <w:spacing w:line="360" w:lineRule="auto"/>
        <w:ind w:firstLine="3833" w:firstLineChars="1193"/>
        <w:rPr>
          <w:rFonts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ind w:firstLine="3833" w:firstLineChars="1193"/>
        <w:rPr>
          <w:rFonts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ind w:firstLine="3833" w:firstLineChars="1193"/>
        <w:rPr>
          <w:rFonts w:ascii="宋体" w:hAnsi="宋体"/>
          <w:b/>
          <w:bCs/>
          <w:color w:val="000000" w:themeColor="text1"/>
          <w:sz w:val="32"/>
          <w:szCs w:val="32"/>
          <w14:textFill>
            <w14:solidFill>
              <w14:schemeClr w14:val="tx1"/>
            </w14:solidFill>
          </w14:textFill>
        </w:rPr>
      </w:pPr>
    </w:p>
    <w:p>
      <w:pPr>
        <w:pStyle w:val="2"/>
      </w:pPr>
    </w:p>
    <w:p>
      <w:pPr>
        <w:autoSpaceDE w:val="0"/>
        <w:autoSpaceDN w:val="0"/>
        <w:adjustRightInd w:val="0"/>
        <w:spacing w:line="360" w:lineRule="auto"/>
        <w:ind w:firstLine="3833" w:firstLineChars="1193"/>
        <w:rPr>
          <w:rFonts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outlineLvl w:val="0"/>
        <w:rPr>
          <w:rFonts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jc w:val="center"/>
        <w:outlineLvl w:val="0"/>
        <w:rPr>
          <w:rFonts w:hint="eastAsia" w:ascii="宋体" w:hAnsi="宋体"/>
          <w:b/>
          <w:bCs/>
          <w:color w:val="000000" w:themeColor="text1"/>
          <w:sz w:val="32"/>
          <w:szCs w:val="32"/>
          <w14:textFill>
            <w14:solidFill>
              <w14:schemeClr w14:val="tx1"/>
            </w14:solidFill>
          </w14:textFill>
        </w:rPr>
      </w:pPr>
      <w:bookmarkStart w:id="7" w:name="_Toc5822"/>
    </w:p>
    <w:p>
      <w:pPr>
        <w:autoSpaceDE w:val="0"/>
        <w:autoSpaceDN w:val="0"/>
        <w:adjustRightInd w:val="0"/>
        <w:spacing w:line="360" w:lineRule="auto"/>
        <w:jc w:val="center"/>
        <w:outlineLvl w:val="0"/>
        <w:rPr>
          <w:rFonts w:hint="eastAsia"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jc w:val="center"/>
        <w:outlineLvl w:val="0"/>
        <w:rPr>
          <w:rFonts w:hint="eastAsia"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jc w:val="center"/>
        <w:outlineLvl w:val="0"/>
        <w:rPr>
          <w:rFonts w:hint="eastAsia"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jc w:val="center"/>
        <w:outlineLvl w:val="0"/>
        <w:rPr>
          <w:rFonts w:ascii="宋体" w:hAnsi="宋体"/>
          <w:bCs/>
          <w:color w:val="000000" w:themeColor="text1"/>
          <w:sz w:val="24"/>
          <w:szCs w:val="24"/>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第二章 投标人须</w:t>
      </w:r>
      <w:bookmarkEnd w:id="5"/>
      <w:r>
        <w:rPr>
          <w:rFonts w:hint="eastAsia" w:ascii="宋体" w:hAnsi="宋体"/>
          <w:b/>
          <w:bCs/>
          <w:color w:val="000000" w:themeColor="text1"/>
          <w:sz w:val="32"/>
          <w:szCs w:val="32"/>
          <w14:textFill>
            <w14:solidFill>
              <w14:schemeClr w14:val="tx1"/>
            </w14:solidFill>
          </w14:textFill>
        </w:rPr>
        <w:t>知</w:t>
      </w:r>
      <w:bookmarkEnd w:id="6"/>
      <w:r>
        <w:rPr>
          <w:rFonts w:hint="eastAsia" w:ascii="宋体" w:hAnsi="宋体"/>
          <w:b/>
          <w:bCs/>
          <w:color w:val="000000" w:themeColor="text1"/>
          <w:sz w:val="32"/>
          <w:szCs w:val="32"/>
          <w14:textFill>
            <w14:solidFill>
              <w14:schemeClr w14:val="tx1"/>
            </w14:solidFill>
          </w14:textFill>
        </w:rPr>
        <w:t>前附表</w:t>
      </w:r>
      <w:bookmarkEnd w:id="7"/>
    </w:p>
    <w:tbl>
      <w:tblPr>
        <w:tblStyle w:val="50"/>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559"/>
        <w:gridCol w:w="7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序号</w:t>
            </w:r>
          </w:p>
        </w:tc>
        <w:tc>
          <w:tcPr>
            <w:tcW w:w="1559"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内容</w:t>
            </w:r>
          </w:p>
        </w:tc>
        <w:tc>
          <w:tcPr>
            <w:tcW w:w="7077" w:type="dxa"/>
            <w:vAlign w:val="center"/>
          </w:tcPr>
          <w:p>
            <w:pPr>
              <w:pStyle w:val="75"/>
              <w:widowControl w:val="0"/>
              <w:spacing w:before="0" w:beforeAutospacing="0" w:after="0" w:afterAutospacing="0"/>
              <w:rPr>
                <w:bCs w:val="0"/>
                <w:color w:val="000000" w:themeColor="text1"/>
                <w:kern w:val="2"/>
                <w:sz w:val="24"/>
                <w:szCs w:val="20"/>
                <w14:textFill>
                  <w14:solidFill>
                    <w14:schemeClr w14:val="tx1"/>
                  </w14:solidFill>
                </w14:textFill>
              </w:rPr>
            </w:pPr>
            <w:r>
              <w:rPr>
                <w:rFonts w:hint="eastAsia"/>
                <w:bCs w:val="0"/>
                <w:color w:val="000000" w:themeColor="text1"/>
                <w:kern w:val="2"/>
                <w:sz w:val="24"/>
                <w:szCs w:val="20"/>
                <w14:textFill>
                  <w14:solidFill>
                    <w14:schemeClr w14:val="tx1"/>
                  </w14:solidFill>
                </w14:textFill>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pStyle w:val="66"/>
              <w:pBdr>
                <w:bottom w:val="none" w:color="auto" w:sz="0" w:space="0"/>
              </w:pBdr>
              <w:tabs>
                <w:tab w:val="clear" w:pos="4153"/>
                <w:tab w:val="clear" w:pos="8306"/>
              </w:tabs>
              <w:adjustRightInd/>
              <w:spacing w:line="240" w:lineRule="auto"/>
              <w:textAlignment w:val="auto"/>
              <w:rPr>
                <w:rFonts w:ascii="宋体" w:hAnsi="宋体"/>
                <w:bCs/>
                <w:color w:val="000000" w:themeColor="text1"/>
                <w:kern w:val="2"/>
                <w14:textFill>
                  <w14:solidFill>
                    <w14:schemeClr w14:val="tx1"/>
                  </w14:solidFill>
                </w14:textFill>
              </w:rPr>
            </w:pPr>
            <w:r>
              <w:rPr>
                <w:rFonts w:hint="eastAsia" w:ascii="宋体" w:hAnsi="宋体"/>
                <w:bCs/>
                <w:color w:val="000000" w:themeColor="text1"/>
                <w:kern w:val="2"/>
                <w14:textFill>
                  <w14:solidFill>
                    <w14:schemeClr w14:val="tx1"/>
                  </w14:solidFill>
                </w14:textFill>
              </w:rPr>
              <w:t>1</w:t>
            </w:r>
          </w:p>
        </w:tc>
        <w:tc>
          <w:tcPr>
            <w:tcW w:w="1559" w:type="dxa"/>
            <w:vAlign w:val="center"/>
          </w:tcPr>
          <w:p>
            <w:pPr>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招标人</w:t>
            </w:r>
          </w:p>
        </w:tc>
        <w:tc>
          <w:tcPr>
            <w:tcW w:w="7077" w:type="dxa"/>
            <w:vAlign w:val="center"/>
          </w:tcPr>
          <w:p>
            <w:pPr>
              <w:pStyle w:val="75"/>
              <w:widowControl w:val="0"/>
              <w:spacing w:before="0" w:beforeAutospacing="0" w:after="0" w:afterAutospacing="0"/>
              <w:jc w:val="both"/>
              <w:rPr>
                <w:b w:val="0"/>
                <w:color w:val="000000" w:themeColor="text1"/>
                <w:kern w:val="2"/>
                <w:sz w:val="24"/>
                <w:szCs w:val="20"/>
                <w14:textFill>
                  <w14:solidFill>
                    <w14:schemeClr w14:val="tx1"/>
                  </w14:solidFill>
                </w14:textFill>
              </w:rPr>
            </w:pPr>
            <w:r>
              <w:rPr>
                <w:rFonts w:hint="eastAsia"/>
                <w:b w:val="0"/>
                <w:bCs w:val="0"/>
                <w:color w:val="000000" w:themeColor="text1"/>
                <w:sz w:val="24"/>
                <w:szCs w:val="18"/>
                <w14:textFill>
                  <w14:solidFill>
                    <w14:schemeClr w14:val="tx1"/>
                  </w14:solidFill>
                </w14:textFill>
              </w:rPr>
              <w:t>合肥体育产业投资有限公司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2</w:t>
            </w:r>
          </w:p>
        </w:tc>
        <w:tc>
          <w:tcPr>
            <w:tcW w:w="1559"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p>
        </w:tc>
        <w:tc>
          <w:tcPr>
            <w:tcW w:w="7077" w:type="dxa"/>
            <w:vAlign w:val="center"/>
          </w:tcPr>
          <w:p>
            <w:pPr>
              <w:tabs>
                <w:tab w:val="left" w:pos="2410"/>
              </w:tabs>
              <w:autoSpaceDE w:val="0"/>
              <w:autoSpaceDN w:val="0"/>
              <w:adjustRightInd w:val="0"/>
              <w:snapToGrid w:val="0"/>
              <w:spacing w:line="360" w:lineRule="auto"/>
              <w:rPr>
                <w:rFonts w:ascii="宋体" w:hAnsi="宋体"/>
                <w:color w:val="000000" w:themeColor="text1"/>
                <w:kern w:val="0"/>
                <w:sz w:val="24"/>
                <w:szCs w:val="18"/>
                <w14:textFill>
                  <w14:solidFill>
                    <w14:schemeClr w14:val="tx1"/>
                  </w14:solidFill>
                </w14:textFill>
              </w:rPr>
            </w:pPr>
            <w:r>
              <w:rPr>
                <w:rFonts w:hint="eastAsia" w:ascii="宋体" w:hAnsi="宋体"/>
                <w:color w:val="000000" w:themeColor="text1"/>
                <w:kern w:val="0"/>
                <w:sz w:val="24"/>
                <w:szCs w:val="18"/>
                <w14:textFill>
                  <w14:solidFill>
                    <w14:schemeClr w14:val="tx1"/>
                  </w14:solidFill>
                </w14:textFill>
              </w:rPr>
              <w:t>合肥体育中心游泳馆及天鹅湖全民健身中心游泳馆202</w:t>
            </w:r>
            <w:r>
              <w:rPr>
                <w:rFonts w:hint="eastAsia" w:ascii="宋体" w:hAnsi="宋体"/>
                <w:color w:val="000000" w:themeColor="text1"/>
                <w:kern w:val="0"/>
                <w:sz w:val="24"/>
                <w:szCs w:val="18"/>
                <w:lang w:val="en-US" w:eastAsia="zh-CN"/>
                <w14:textFill>
                  <w14:solidFill>
                    <w14:schemeClr w14:val="tx1"/>
                  </w14:solidFill>
                </w14:textFill>
              </w:rPr>
              <w:t>4</w:t>
            </w:r>
            <w:r>
              <w:rPr>
                <w:rFonts w:hint="eastAsia" w:ascii="宋体" w:hAnsi="宋体"/>
                <w:color w:val="000000" w:themeColor="text1"/>
                <w:kern w:val="0"/>
                <w:sz w:val="24"/>
                <w:szCs w:val="18"/>
                <w14:textFill>
                  <w14:solidFill>
                    <w14:schemeClr w14:val="tx1"/>
                  </w14:solidFill>
                </w14:textFill>
              </w:rPr>
              <w:t>年度水处理药剂及水质养护服务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3</w:t>
            </w:r>
          </w:p>
        </w:tc>
        <w:tc>
          <w:tcPr>
            <w:tcW w:w="1559" w:type="dxa"/>
            <w:vAlign w:val="center"/>
          </w:tcPr>
          <w:p>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项目编号</w:t>
            </w:r>
          </w:p>
        </w:tc>
        <w:tc>
          <w:tcPr>
            <w:tcW w:w="7077" w:type="dxa"/>
            <w:vAlign w:val="center"/>
          </w:tcPr>
          <w:p>
            <w:pPr>
              <w:autoSpaceDE w:val="0"/>
              <w:autoSpaceDN w:val="0"/>
              <w:adjustRightInd w:val="0"/>
              <w:spacing w:line="430" w:lineRule="exact"/>
              <w:jc w:val="left"/>
              <w:rPr>
                <w:rFonts w:hint="eastAsia" w:ascii="宋体" w:hAnsi="宋体" w:eastAsia="宋体"/>
                <w:bCs/>
                <w:color w:val="000000" w:themeColor="text1"/>
                <w:sz w:val="24"/>
                <w:highlight w:val="none"/>
                <w:lang w:val="en-US" w:eastAsia="zh-CN"/>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202</w:t>
            </w:r>
            <w:r>
              <w:rPr>
                <w:rFonts w:hint="eastAsia" w:ascii="宋体" w:hAnsi="宋体"/>
                <w:bCs/>
                <w:color w:val="000000" w:themeColor="text1"/>
                <w:sz w:val="24"/>
                <w:highlight w:val="none"/>
                <w:lang w:val="en-US" w:eastAsia="zh-CN"/>
                <w14:textFill>
                  <w14:solidFill>
                    <w14:schemeClr w14:val="tx1"/>
                  </w14:solidFill>
                </w14:textFill>
              </w:rPr>
              <w:t>4</w:t>
            </w:r>
            <w:r>
              <w:rPr>
                <w:rFonts w:hint="eastAsia" w:ascii="宋体" w:hAnsi="宋体"/>
                <w:bCs/>
                <w:color w:val="000000" w:themeColor="text1"/>
                <w:sz w:val="24"/>
                <w:highlight w:val="none"/>
                <w14:textFill>
                  <w14:solidFill>
                    <w14:schemeClr w14:val="tx1"/>
                  </w14:solidFill>
                </w14:textFill>
              </w:rPr>
              <w:t>TYGSCG0</w:t>
            </w:r>
            <w:r>
              <w:rPr>
                <w:rFonts w:hint="eastAsia" w:ascii="宋体" w:hAnsi="宋体"/>
                <w:bCs/>
                <w:color w:val="000000" w:themeColor="text1"/>
                <w:sz w:val="24"/>
                <w:highlight w:val="none"/>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4</w:t>
            </w:r>
          </w:p>
        </w:tc>
        <w:tc>
          <w:tcPr>
            <w:tcW w:w="1559"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项目性质</w:t>
            </w:r>
          </w:p>
        </w:tc>
        <w:tc>
          <w:tcPr>
            <w:tcW w:w="7077" w:type="dxa"/>
            <w:vAlign w:val="center"/>
          </w:tcPr>
          <w:p>
            <w:pPr>
              <w:pStyle w:val="75"/>
              <w:widowControl w:val="0"/>
              <w:spacing w:before="0" w:beforeAutospacing="0" w:after="0" w:afterAutospacing="0"/>
              <w:jc w:val="both"/>
              <w:rPr>
                <w:b w:val="0"/>
                <w:bCs w:val="0"/>
                <w:color w:val="000000" w:themeColor="text1"/>
                <w:sz w:val="24"/>
                <w14:textFill>
                  <w14:solidFill>
                    <w14:schemeClr w14:val="tx1"/>
                  </w14:solidFill>
                </w14:textFill>
              </w:rPr>
            </w:pPr>
            <w:r>
              <w:rPr>
                <w:rFonts w:hint="eastAsia"/>
                <w:b w:val="0"/>
                <w:bCs w:val="0"/>
                <w:color w:val="000000" w:themeColor="text1"/>
                <w:sz w:val="24"/>
                <w:lang w:val="en-US" w:eastAsia="zh-CN"/>
                <w14:textFill>
                  <w14:solidFill>
                    <w14:schemeClr w14:val="tx1"/>
                  </w14:solidFill>
                </w14:textFill>
              </w:rPr>
              <w:t>货物</w:t>
            </w:r>
            <w:r>
              <w:rPr>
                <w:rFonts w:hint="eastAsia"/>
                <w:b w:val="0"/>
                <w:bCs w:val="0"/>
                <w:color w:val="000000" w:themeColor="text1"/>
                <w:sz w:val="24"/>
                <w14:textFill>
                  <w14:solidFill>
                    <w14:schemeClr w14:val="tx1"/>
                  </w14:solidFill>
                </w14:textFill>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5</w:t>
            </w:r>
          </w:p>
        </w:tc>
        <w:tc>
          <w:tcPr>
            <w:tcW w:w="1559"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资金来源</w:t>
            </w:r>
          </w:p>
        </w:tc>
        <w:tc>
          <w:tcPr>
            <w:tcW w:w="7077" w:type="dxa"/>
            <w:vAlign w:val="center"/>
          </w:tcPr>
          <w:p>
            <w:pPr>
              <w:pStyle w:val="75"/>
              <w:widowControl w:val="0"/>
              <w:spacing w:before="0" w:beforeAutospacing="0" w:after="0" w:afterAutospacing="0"/>
              <w:jc w:val="both"/>
              <w:rPr>
                <w:b w:val="0"/>
                <w:bCs w:val="0"/>
                <w:color w:val="000000" w:themeColor="text1"/>
                <w:sz w:val="24"/>
                <w14:textFill>
                  <w14:solidFill>
                    <w14:schemeClr w14:val="tx1"/>
                  </w14:solidFill>
                </w14:textFill>
              </w:rPr>
            </w:pPr>
            <w:r>
              <w:rPr>
                <w:rFonts w:hint="eastAsia"/>
                <w:b w:val="0"/>
                <w:bCs w:val="0"/>
                <w:color w:val="000000" w:themeColor="text1"/>
                <w:sz w:val="24"/>
                <w14:textFill>
                  <w14:solidFill>
                    <w14:schemeClr w14:val="tx1"/>
                  </w14:solidFill>
                </w14:textFill>
              </w:rPr>
              <w:t xml:space="preserve">□财政投资    </w:t>
            </w:r>
            <w:r>
              <w:rPr>
                <w:rFonts w:hint="eastAsia"/>
                <w:b w:val="0"/>
                <w:bCs w:val="0"/>
                <w:color w:val="000000" w:themeColor="text1"/>
                <w:sz w:val="24"/>
                <w14:textFill>
                  <w14:solidFill>
                    <w14:schemeClr w14:val="tx1"/>
                  </w14:solidFill>
                </w14:textFill>
              </w:rPr>
              <w:sym w:font="Wingdings" w:char="F0FE"/>
            </w:r>
            <w:r>
              <w:rPr>
                <w:rFonts w:hint="eastAsia"/>
                <w:b w:val="0"/>
                <w:bCs w:val="0"/>
                <w:color w:val="000000" w:themeColor="text1"/>
                <w:sz w:val="24"/>
                <w14:textFill>
                  <w14:solidFill>
                    <w14:schemeClr w14:val="tx1"/>
                  </w14:solidFill>
                </w14:textFill>
              </w:rPr>
              <w:t>委托人</w:t>
            </w:r>
            <w:r>
              <w:rPr>
                <w:rFonts w:hint="eastAsia"/>
                <w:b w:val="0"/>
                <w:color w:val="000000" w:themeColor="text1"/>
                <w:sz w:val="24"/>
                <w14:textFill>
                  <w14:solidFill>
                    <w14:schemeClr w14:val="tx1"/>
                  </w14:solidFill>
                </w14:textFill>
              </w:rPr>
              <w:t xml:space="preserve">自筹    </w:t>
            </w:r>
            <w:r>
              <w:rPr>
                <w:rFonts w:hint="eastAsia"/>
                <w:b w:val="0"/>
                <w:bCs w:val="0"/>
                <w:color w:val="000000" w:themeColor="text1"/>
                <w:sz w:val="24"/>
                <w14:textFill>
                  <w14:solidFill>
                    <w14:schemeClr w14:val="tx1"/>
                  </w14:solidFill>
                </w14:textFill>
              </w:rPr>
              <w:t>□</w:t>
            </w:r>
            <w:r>
              <w:rPr>
                <w:rFonts w:hint="eastAsia"/>
                <w:b w:val="0"/>
                <w:color w:val="000000" w:themeColor="text1"/>
                <w:sz w:val="24"/>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6</w:t>
            </w:r>
          </w:p>
        </w:tc>
        <w:tc>
          <w:tcPr>
            <w:tcW w:w="1559" w:type="dxa"/>
          </w:tcPr>
          <w:p>
            <w:pPr>
              <w:spacing w:line="500" w:lineRule="exact"/>
              <w:jc w:val="center"/>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14:textFill>
                  <w14:solidFill>
                    <w14:schemeClr w14:val="tx1"/>
                  </w14:solidFill>
                </w14:textFill>
              </w:rPr>
              <w:t>标段划分</w:t>
            </w:r>
          </w:p>
        </w:tc>
        <w:tc>
          <w:tcPr>
            <w:tcW w:w="7077" w:type="dxa"/>
            <w:vAlign w:val="center"/>
          </w:tcPr>
          <w:p>
            <w:pPr>
              <w:spacing w:line="500" w:lineRule="exact"/>
              <w:ind w:left="841" w:hanging="841"/>
              <w:rPr>
                <w:rFonts w:ascii="宋体" w:hAnsi="宋体"/>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sym w:font="Wingdings" w:char="F0FE"/>
            </w:r>
            <w:r>
              <w:rPr>
                <w:rFonts w:hint="eastAsia" w:ascii="宋体" w:hAnsi="宋体"/>
                <w:color w:val="000000" w:themeColor="text1"/>
                <w:sz w:val="24"/>
                <w14:textFill>
                  <w14:solidFill>
                    <w14:schemeClr w14:val="tx1"/>
                  </w14:solidFill>
                </w14:textFill>
              </w:rPr>
              <w:t>不分标段   □分为  个标段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709" w:type="dxa"/>
            <w:vAlign w:val="center"/>
          </w:tcPr>
          <w:p>
            <w:pPr>
              <w:spacing w:line="500" w:lineRule="exact"/>
              <w:ind w:right="102"/>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7</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付款方式</w:t>
            </w:r>
          </w:p>
        </w:tc>
        <w:tc>
          <w:tcPr>
            <w:tcW w:w="7077" w:type="dxa"/>
          </w:tcPr>
          <w:p>
            <w:pPr>
              <w:spacing w:line="360" w:lineRule="auto"/>
              <w:rPr>
                <w:rFonts w:ascii="宋体" w:hAnsi="宋体"/>
                <w:bCs/>
                <w:color w:val="auto"/>
                <w:sz w:val="24"/>
              </w:rPr>
            </w:pPr>
            <w:r>
              <w:rPr>
                <w:rFonts w:hint="eastAsia" w:ascii="宋体" w:hAnsi="宋体"/>
                <w:bCs/>
                <w:color w:val="auto"/>
                <w:sz w:val="24"/>
                <w:lang w:val="en-US" w:eastAsia="zh-CN"/>
              </w:rPr>
              <w:t>根据中标人实际送货量据实结算，按季度支付，全年费用不得超出中标总价（超出部分中标人自行承担），</w:t>
            </w:r>
            <w:r>
              <w:rPr>
                <w:rFonts w:hint="eastAsia" w:ascii="宋体" w:hAnsi="宋体"/>
                <w:bCs/>
                <w:color w:val="auto"/>
                <w:sz w:val="24"/>
              </w:rPr>
              <w:t>付款前中标人需向委托人交付等额的合法有效的增值税专用发票，否则委托人有权拒绝或者延迟付款，且不承担违约责任。</w:t>
            </w:r>
          </w:p>
          <w:p>
            <w:pPr>
              <w:spacing w:line="360" w:lineRule="auto"/>
              <w:jc w:val="left"/>
              <w:rPr>
                <w:rFonts w:ascii="宋体" w:hAnsi="宋体"/>
                <w:bCs/>
                <w:color w:val="auto"/>
                <w:sz w:val="24"/>
              </w:rPr>
            </w:pPr>
            <w:r>
              <w:rPr>
                <w:rFonts w:hint="eastAsia" w:ascii="宋体" w:hAnsi="宋体"/>
                <w:bCs/>
                <w:color w:val="auto"/>
                <w:sz w:val="24"/>
              </w:rPr>
              <w:t>投标人提交的投标文件中如有关于付款条件的表述与招标文件规定不符，投标无效。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8</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联合体投标</w:t>
            </w:r>
          </w:p>
        </w:tc>
        <w:tc>
          <w:tcPr>
            <w:tcW w:w="7077" w:type="dxa"/>
            <w:vAlign w:val="center"/>
          </w:tcPr>
          <w:p>
            <w:pPr>
              <w:spacing w:line="500" w:lineRule="exact"/>
              <w:rPr>
                <w:rFonts w:ascii="宋体" w:hAnsi="宋体"/>
                <w:color w:val="auto"/>
                <w:sz w:val="24"/>
              </w:rPr>
            </w:pPr>
            <w:r>
              <w:rPr>
                <w:rFonts w:hint="eastAsia" w:ascii="宋体" w:hAnsi="宋体"/>
                <w:color w:val="auto"/>
                <w:sz w:val="24"/>
              </w:rPr>
              <w:t>□</w:t>
            </w:r>
            <w:r>
              <w:rPr>
                <w:rFonts w:hint="eastAsia" w:ascii="宋体" w:hAnsi="宋体"/>
                <w:color w:val="auto"/>
                <w:sz w:val="24"/>
                <w:lang w:val="zh-CN"/>
              </w:rPr>
              <w:t xml:space="preserve">接受  </w:t>
            </w:r>
            <w:r>
              <w:rPr>
                <w:b/>
                <w:bCs/>
                <w:color w:val="auto"/>
                <w:sz w:val="24"/>
              </w:rPr>
              <w:sym w:font="Wingdings" w:char="F0FE"/>
            </w:r>
            <w:r>
              <w:rPr>
                <w:rFonts w:hint="eastAsia" w:ascii="宋体" w:hAnsi="宋体"/>
                <w:color w:val="auto"/>
                <w:sz w:val="24"/>
              </w:rPr>
              <w:t>不</w:t>
            </w:r>
            <w:r>
              <w:rPr>
                <w:rFonts w:hint="eastAsia" w:ascii="宋体" w:hAnsi="宋体"/>
                <w:color w:val="auto"/>
                <w:sz w:val="24"/>
                <w:lang w:val="zh-CN"/>
              </w:rPr>
              <w:t>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9</w:t>
            </w:r>
          </w:p>
        </w:tc>
        <w:tc>
          <w:tcPr>
            <w:tcW w:w="1559" w:type="dxa"/>
            <w:vAlign w:val="center"/>
          </w:tcPr>
          <w:p>
            <w:pPr>
              <w:spacing w:line="50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投标有效期</w:t>
            </w:r>
          </w:p>
        </w:tc>
        <w:tc>
          <w:tcPr>
            <w:tcW w:w="7077" w:type="dxa"/>
            <w:vAlign w:val="center"/>
          </w:tcPr>
          <w:p>
            <w:pPr>
              <w:spacing w:line="500" w:lineRule="exact"/>
              <w:rPr>
                <w:rFonts w:ascii="宋体" w:hAnsi="宋体"/>
                <w:color w:val="auto"/>
                <w:sz w:val="24"/>
                <w:highlight w:val="none"/>
              </w:rPr>
            </w:pPr>
            <w:r>
              <w:rPr>
                <w:rFonts w:ascii="宋体" w:hAnsi="宋体"/>
                <w:color w:val="auto"/>
                <w:sz w:val="24"/>
                <w:highlight w:val="none"/>
              </w:rPr>
              <w:t>3</w:t>
            </w:r>
            <w:r>
              <w:rPr>
                <w:rFonts w:hint="eastAsia" w:ascii="宋体" w:hAnsi="宋体"/>
                <w:color w:val="auto"/>
                <w:sz w:val="24"/>
                <w:highlight w:val="none"/>
              </w:rPr>
              <w:t>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0</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供货地点</w:t>
            </w:r>
          </w:p>
        </w:tc>
        <w:tc>
          <w:tcPr>
            <w:tcW w:w="7077" w:type="dxa"/>
            <w:vAlign w:val="center"/>
          </w:tcPr>
          <w:p>
            <w:pPr>
              <w:spacing w:line="500" w:lineRule="exact"/>
              <w:rPr>
                <w:rFonts w:ascii="宋体" w:hAnsi="宋体"/>
                <w:color w:val="auto"/>
                <w:kern w:val="0"/>
                <w:sz w:val="24"/>
              </w:rPr>
            </w:pPr>
            <w:r>
              <w:rPr>
                <w:rFonts w:hint="eastAsia" w:ascii="宋体" w:hAnsi="宋体"/>
                <w:color w:val="auto"/>
                <w:kern w:val="0"/>
                <w:sz w:val="24"/>
              </w:rPr>
              <w:t>合肥体育中心游泳馆</w:t>
            </w:r>
            <w:r>
              <w:rPr>
                <w:rFonts w:hint="eastAsia" w:ascii="宋体" w:hAnsi="宋体"/>
                <w:color w:val="auto"/>
                <w:kern w:val="0"/>
                <w:sz w:val="24"/>
                <w:lang w:eastAsia="zh-CN"/>
              </w:rPr>
              <w:t>、</w:t>
            </w:r>
            <w:r>
              <w:rPr>
                <w:rFonts w:hint="eastAsia" w:ascii="宋体" w:hAnsi="宋体"/>
                <w:color w:val="auto"/>
                <w:kern w:val="0"/>
                <w:sz w:val="24"/>
              </w:rPr>
              <w:t>天鹅湖全民健身中心游泳馆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1</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供货期限</w:t>
            </w:r>
          </w:p>
        </w:tc>
        <w:tc>
          <w:tcPr>
            <w:tcW w:w="7077" w:type="dxa"/>
            <w:vAlign w:val="center"/>
          </w:tcPr>
          <w:p>
            <w:pPr>
              <w:autoSpaceDE w:val="0"/>
              <w:autoSpaceDN w:val="0"/>
              <w:adjustRightInd w:val="0"/>
              <w:spacing w:line="440" w:lineRule="exact"/>
              <w:jc w:val="left"/>
              <w:rPr>
                <w:rFonts w:hint="eastAsia" w:ascii="宋体" w:hAnsi="宋体" w:eastAsia="宋体" w:cs="宋体"/>
                <w:b/>
                <w:color w:val="auto"/>
                <w:kern w:val="0"/>
                <w:sz w:val="24"/>
                <w:lang w:eastAsia="zh-CN"/>
              </w:rPr>
            </w:pPr>
            <w:r>
              <w:rPr>
                <w:rFonts w:hint="eastAsia" w:ascii="宋体" w:hAnsi="宋体"/>
                <w:color w:val="auto"/>
                <w:sz w:val="24"/>
              </w:rPr>
              <w:t>合肥体育中心游泳馆</w:t>
            </w:r>
            <w:r>
              <w:rPr>
                <w:rFonts w:hint="eastAsia" w:ascii="宋体" w:hAnsi="宋体"/>
                <w:color w:val="auto"/>
                <w:sz w:val="24"/>
                <w:lang w:eastAsia="zh-CN"/>
              </w:rPr>
              <w:t>、</w:t>
            </w:r>
            <w:r>
              <w:rPr>
                <w:rFonts w:hint="eastAsia" w:ascii="宋体" w:hAnsi="宋体"/>
                <w:color w:val="auto"/>
                <w:sz w:val="24"/>
              </w:rPr>
              <w:t>天鹅湖全民健身中心游泳馆：自合同签订之日起一年</w:t>
            </w:r>
            <w:r>
              <w:rPr>
                <w:rFonts w:hint="eastAsia" w:ascii="宋体" w:hAnsi="宋体"/>
                <w:color w:val="auto"/>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2</w:t>
            </w:r>
          </w:p>
        </w:tc>
        <w:tc>
          <w:tcPr>
            <w:tcW w:w="1559" w:type="dxa"/>
            <w:vAlign w:val="center"/>
          </w:tcPr>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踏勘现场</w:t>
            </w:r>
          </w:p>
        </w:tc>
        <w:tc>
          <w:tcPr>
            <w:tcW w:w="7077" w:type="dxa"/>
            <w:vAlign w:val="center"/>
          </w:tcPr>
          <w:p>
            <w:pPr>
              <w:spacing w:line="500" w:lineRule="exact"/>
              <w:rPr>
                <w:rFonts w:ascii="宋体" w:hAnsi="宋体"/>
                <w:color w:val="000000" w:themeColor="text1"/>
                <w:sz w:val="24"/>
                <w:lang w:val="zh-CN"/>
                <w14:textFill>
                  <w14:solidFill>
                    <w14:schemeClr w14:val="tx1"/>
                  </w14:solidFill>
                </w14:textFill>
              </w:rPr>
            </w:pPr>
            <w:r>
              <w:rPr>
                <w:rFonts w:hint="eastAsia"/>
                <w:b/>
                <w:bCs/>
                <w:color w:val="000000" w:themeColor="text1"/>
                <w:sz w:val="24"/>
                <w14:textFill>
                  <w14:solidFill>
                    <w14:schemeClr w14:val="tx1"/>
                  </w14:solidFill>
                </w14:textFill>
              </w:rPr>
              <w:sym w:font="Wingdings" w:char="F0FE"/>
            </w:r>
            <w:r>
              <w:rPr>
                <w:rFonts w:hint="eastAsia" w:ascii="宋体" w:hAnsi="宋体"/>
                <w:bCs/>
                <w:color w:val="000000" w:themeColor="text1"/>
                <w:sz w:val="24"/>
                <w14:textFill>
                  <w14:solidFill>
                    <w14:schemeClr w14:val="tx1"/>
                  </w14:solidFill>
                </w14:textFill>
              </w:rPr>
              <w:t xml:space="preserve">自行踏勘  </w:t>
            </w:r>
            <w:r>
              <w:rPr>
                <w:rFonts w:hint="eastAsia" w:ascii="宋体" w:hAnsi="宋体"/>
                <w:color w:val="000000" w:themeColor="text1"/>
                <w:sz w:val="24"/>
                <w14:textFill>
                  <w14:solidFill>
                    <w14:schemeClr w14:val="tx1"/>
                  </w14:solidFill>
                </w14:textFill>
              </w:rPr>
              <w:t>□招标人</w:t>
            </w:r>
            <w:r>
              <w:rPr>
                <w:rFonts w:hint="eastAsia" w:ascii="宋体" w:hAnsi="宋体"/>
                <w:color w:val="000000" w:themeColor="text1"/>
                <w:sz w:val="24"/>
                <w:lang w:val="zh-CN"/>
                <w14:textFill>
                  <w14:solidFill>
                    <w14:schemeClr w14:val="tx1"/>
                  </w14:solidFill>
                </w14:textFill>
              </w:rPr>
              <w:t>统一组织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3</w:t>
            </w:r>
          </w:p>
        </w:tc>
        <w:tc>
          <w:tcPr>
            <w:tcW w:w="1559" w:type="dxa"/>
            <w:vAlign w:val="center"/>
          </w:tcPr>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投标文件</w:t>
            </w:r>
          </w:p>
        </w:tc>
        <w:tc>
          <w:tcPr>
            <w:tcW w:w="7077" w:type="dxa"/>
            <w:vAlign w:val="center"/>
          </w:tcPr>
          <w:p>
            <w:pPr>
              <w:spacing w:line="500" w:lineRule="exact"/>
              <w:rPr>
                <w:b/>
                <w:bCs/>
                <w:color w:val="000000" w:themeColor="text1"/>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正、副本各一，装订成册并封装于一个文件袋内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4</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开标时间</w:t>
            </w:r>
          </w:p>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及地点</w:t>
            </w:r>
          </w:p>
        </w:tc>
        <w:tc>
          <w:tcPr>
            <w:tcW w:w="7077" w:type="dxa"/>
            <w:vAlign w:val="center"/>
          </w:tcPr>
          <w:p>
            <w:pPr>
              <w:spacing w:line="500" w:lineRule="exact"/>
              <w:rPr>
                <w:rFonts w:ascii="宋体" w:hAnsi="宋体"/>
                <w:bCs/>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开标时间：</w:t>
            </w:r>
            <w:r>
              <w:rPr>
                <w:rFonts w:hint="eastAsia" w:ascii="宋体" w:hAnsi="宋体"/>
                <w:color w:val="000000" w:themeColor="text1"/>
                <w:sz w:val="24"/>
                <w:lang w:val="zh-CN"/>
                <w14:textFill>
                  <w14:solidFill>
                    <w14:schemeClr w14:val="tx1"/>
                  </w14:solidFill>
                </w14:textFill>
              </w:rPr>
              <w:t>详见招标公告</w:t>
            </w:r>
          </w:p>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开标地点：</w:t>
            </w:r>
            <w:r>
              <w:rPr>
                <w:rFonts w:hint="eastAsia" w:ascii="宋体" w:hAnsi="宋体"/>
                <w:color w:val="000000" w:themeColor="text1"/>
                <w:sz w:val="24"/>
                <w:lang w:val="zh-CN"/>
                <w14:textFill>
                  <w14:solidFill>
                    <w14:schemeClr w14:val="tx1"/>
                  </w14:solidFill>
                </w14:textFill>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5</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评标办法</w:t>
            </w:r>
          </w:p>
        </w:tc>
        <w:tc>
          <w:tcPr>
            <w:tcW w:w="7077" w:type="dxa"/>
            <w:vAlign w:val="center"/>
          </w:tcPr>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u w:val="single"/>
                <w14:textFill>
                  <w14:solidFill>
                    <w14:schemeClr w14:val="tx1"/>
                  </w14:solidFill>
                </w14:textFill>
              </w:rPr>
              <w:t>有效最低价法</w:t>
            </w:r>
            <w:r>
              <w:rPr>
                <w:rFonts w:hint="eastAsia" w:ascii="宋体" w:hAnsi="宋体"/>
                <w:color w:val="000000" w:themeColor="text1"/>
                <w:sz w:val="24"/>
                <w:u w:val="single"/>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详见招标文件第五章评标办法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6</w:t>
            </w:r>
          </w:p>
        </w:tc>
        <w:tc>
          <w:tcPr>
            <w:tcW w:w="1559" w:type="dxa"/>
            <w:vAlign w:val="center"/>
          </w:tcPr>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u w:color="FFFFFF"/>
                <w14:textFill>
                  <w14:solidFill>
                    <w14:schemeClr w14:val="tx1"/>
                  </w14:solidFill>
                </w14:textFill>
              </w:rPr>
              <w:t>踏勘</w:t>
            </w:r>
            <w:r>
              <w:rPr>
                <w:rFonts w:hint="eastAsia" w:ascii="宋体" w:hAnsi="宋体"/>
                <w:bCs/>
                <w:color w:val="000000" w:themeColor="text1"/>
                <w:sz w:val="24"/>
                <w14:textFill>
                  <w14:solidFill>
                    <w14:schemeClr w14:val="tx1"/>
                  </w14:solidFill>
                </w14:textFill>
              </w:rPr>
              <w:t>现场</w:t>
            </w:r>
          </w:p>
        </w:tc>
        <w:tc>
          <w:tcPr>
            <w:tcW w:w="7077" w:type="dxa"/>
            <w:vAlign w:val="center"/>
          </w:tcPr>
          <w:p>
            <w:pPr>
              <w:spacing w:line="500" w:lineRule="exact"/>
              <w:rPr>
                <w:rFonts w:ascii="宋体" w:hAnsi="宋体"/>
                <w:color w:val="000000" w:themeColor="text1"/>
                <w:sz w:val="24"/>
                <w:lang w:val="zh-CN"/>
                <w14:textFill>
                  <w14:solidFill>
                    <w14:schemeClr w14:val="tx1"/>
                  </w14:solidFill>
                </w14:textFill>
              </w:rPr>
            </w:pPr>
            <w:r>
              <w:rPr>
                <w:rFonts w:hint="eastAsia"/>
                <w:b/>
                <w:bCs/>
                <w:color w:val="000000" w:themeColor="text1"/>
                <w:sz w:val="24"/>
                <w14:textFill>
                  <w14:solidFill>
                    <w14:schemeClr w14:val="tx1"/>
                  </w14:solidFill>
                </w14:textFill>
              </w:rPr>
              <w:sym w:font="Wingdings" w:char="F0FE"/>
            </w:r>
            <w:r>
              <w:rPr>
                <w:rFonts w:hint="eastAsia" w:ascii="宋体" w:hAnsi="宋体"/>
                <w:bCs/>
                <w:color w:val="000000" w:themeColor="text1"/>
                <w:sz w:val="24"/>
                <w14:textFill>
                  <w14:solidFill>
                    <w14:schemeClr w14:val="tx1"/>
                  </w14:solidFill>
                </w14:textFill>
              </w:rPr>
              <w:t>自行</w:t>
            </w:r>
            <w:r>
              <w:rPr>
                <w:rFonts w:hint="eastAsia" w:ascii="宋体" w:hAnsi="宋体"/>
                <w:bCs/>
                <w:color w:val="000000" w:themeColor="text1"/>
                <w:sz w:val="24"/>
                <w:u w:color="FFFFFF"/>
                <w14:textFill>
                  <w14:solidFill>
                    <w14:schemeClr w14:val="tx1"/>
                  </w14:solidFill>
                </w14:textFill>
              </w:rPr>
              <w:t>踏勘</w:t>
            </w:r>
            <w:r>
              <w:rPr>
                <w:rFonts w:hint="eastAsia" w:ascii="宋体" w:hAnsi="宋体"/>
                <w:bCs/>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□招标人</w:t>
            </w:r>
            <w:r>
              <w:rPr>
                <w:rFonts w:hint="eastAsia" w:ascii="宋体" w:hAnsi="宋体"/>
                <w:color w:val="000000" w:themeColor="text1"/>
                <w:sz w:val="24"/>
                <w:lang w:val="zh-CN"/>
                <w14:textFill>
                  <w14:solidFill>
                    <w14:schemeClr w14:val="tx1"/>
                  </w14:solidFill>
                </w14:textFill>
              </w:rPr>
              <w:t>统一组织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16</w:t>
            </w:r>
          </w:p>
        </w:tc>
        <w:tc>
          <w:tcPr>
            <w:tcW w:w="1559" w:type="dxa"/>
            <w:vAlign w:val="center"/>
          </w:tcPr>
          <w:p>
            <w:pPr>
              <w:spacing w:line="500" w:lineRule="exact"/>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履约保证金</w:t>
            </w:r>
          </w:p>
        </w:tc>
        <w:tc>
          <w:tcPr>
            <w:tcW w:w="7077" w:type="dxa"/>
            <w:vAlign w:val="center"/>
          </w:tcPr>
          <w:p>
            <w:pPr>
              <w:adjustRightInd w:val="0"/>
              <w:snapToGrid w:val="0"/>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1.履约保证金数额：中标价的</w:t>
            </w:r>
            <w:r>
              <w:rPr>
                <w:rFonts w:hint="eastAsia" w:ascii="宋体" w:hAnsi="宋体"/>
                <w:color w:val="000000" w:themeColor="text1"/>
                <w:sz w:val="24"/>
                <w:szCs w:val="24"/>
                <w:u w:val="single"/>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w:t>
            </w:r>
          </w:p>
          <w:p>
            <w:pPr>
              <w:adjustRightInd w:val="0"/>
              <w:snapToGrid w:val="0"/>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2.收受方式为：□现金保证 □现金支票 □银行汇票</w:t>
            </w:r>
          </w:p>
          <w:p>
            <w:pPr>
              <w:adjustRightInd w:val="0"/>
              <w:snapToGrid w:val="0"/>
              <w:spacing w:line="360" w:lineRule="auto"/>
              <w:ind w:firstLine="840" w:firstLineChars="3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□银行保函</w:t>
            </w:r>
            <w:r>
              <w:rPr>
                <w:rFonts w:hint="eastAsia" w:ascii="MS Mincho" w:hAnsi="MS Mincho" w:eastAsia="MS Mincho" w:cs="MS Mincho"/>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银行转账 □工程担保  □保证保险</w:t>
            </w:r>
          </w:p>
          <w:p>
            <w:pPr>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3.收受人为:□招标人、</w:t>
            </w:r>
            <w:r>
              <w:rPr>
                <w:rFonts w:ascii="宋体" w:hAnsi="宋体"/>
                <w:color w:val="000000" w:themeColor="text1"/>
                <w:sz w:val="24"/>
                <w:szCs w:val="24"/>
                <w14:textFill>
                  <w14:solidFill>
                    <w14:schemeClr w14:val="tx1"/>
                  </w14:solidFill>
                </w14:textFill>
              </w:rPr>
              <w:sym w:font="Wingdings" w:char="F0FE"/>
            </w:r>
            <w:r>
              <w:rPr>
                <w:rFonts w:hint="eastAsia" w:ascii="宋体" w:hAnsi="宋体"/>
                <w:color w:val="000000" w:themeColor="text1"/>
                <w:sz w:val="24"/>
                <w:szCs w:val="24"/>
                <w14:textFill>
                  <w14:solidFill>
                    <w14:schemeClr w14:val="tx1"/>
                  </w14:solidFill>
                </w14:textFill>
              </w:rPr>
              <w:t>委托人</w:t>
            </w:r>
          </w:p>
          <w:p>
            <w:pPr>
              <w:adjustRightInd w:val="0"/>
              <w:snapToGrid w:val="0"/>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4.提交时限：合同签订前按规定提交履约保证金，若中标人在规定时限内未提交保证金的，招标人将书面通知中标人，</w:t>
            </w: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日内不能办理的，招标人将有权取消其中标资格。</w:t>
            </w:r>
          </w:p>
          <w:p>
            <w:pPr>
              <w:adjustRightInd w:val="0"/>
              <w:snapToGrid w:val="0"/>
              <w:spacing w:line="440" w:lineRule="exact"/>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5.退还：</w:t>
            </w:r>
            <w:r>
              <w:rPr>
                <w:rFonts w:hint="eastAsia" w:ascii="宋体" w:hAnsi="宋体"/>
                <w:color w:val="000000" w:themeColor="text1"/>
                <w:sz w:val="24"/>
                <w:szCs w:val="24"/>
                <w:u w:val="single"/>
                <w14:textFill>
                  <w14:solidFill>
                    <w14:schemeClr w14:val="tx1"/>
                  </w14:solidFill>
                </w14:textFill>
              </w:rPr>
              <w:t>合同履行完成后30日内一次性无息退还。</w:t>
            </w:r>
            <w:r>
              <w:rPr>
                <w:rFonts w:hint="eastAsia"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u w:val="single"/>
                <w14:textFill>
                  <w14:solidFill>
                    <w14:schemeClr w14:val="tx1"/>
                  </w14:solidFill>
                </w14:textFill>
              </w:rPr>
              <w:t xml:space="preserve"> </w:t>
            </w:r>
          </w:p>
          <w:p>
            <w:pPr>
              <w:adjustRightInd w:val="0"/>
              <w:snapToGrid w:val="0"/>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6.如采用银行保函，银行保函由合肥本地银行或在合肥具有分支机构的银行出具的见索即付无条件保函。</w:t>
            </w:r>
          </w:p>
          <w:p>
            <w:pPr>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7.如采用工程担保，工程担保由注册地在合肥市或在合肥具有分支机构的国有担保公司出具的无条件担保。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17</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业绩要求</w:t>
            </w:r>
          </w:p>
        </w:tc>
        <w:tc>
          <w:tcPr>
            <w:tcW w:w="7077" w:type="dxa"/>
            <w:vAlign w:val="center"/>
          </w:tcPr>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本招标文件中要求的业绩须为:</w:t>
            </w:r>
          </w:p>
          <w:p>
            <w:pPr>
              <w:spacing w:line="500" w:lineRule="exac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sym w:font="Wingdings 2" w:char="0052"/>
            </w:r>
            <w:r>
              <w:rPr>
                <w:rFonts w:hint="eastAsia" w:ascii="宋体" w:hAnsi="宋体"/>
                <w:b/>
                <w:bCs/>
                <w:color w:val="000000" w:themeColor="text1"/>
                <w:sz w:val="24"/>
                <w:szCs w:val="24"/>
                <w14:textFill>
                  <w14:solidFill>
                    <w14:schemeClr w14:val="tx1"/>
                  </w14:solidFill>
                </w14:textFill>
              </w:rPr>
              <w:t>已完成的业绩：投标文件中提供业绩合同扫描件。</w:t>
            </w:r>
          </w:p>
          <w:p>
            <w:pPr>
              <w:spacing w:line="500" w:lineRule="exac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sym w:font="Wingdings 2" w:char="00A3"/>
            </w:r>
            <w:r>
              <w:rPr>
                <w:rFonts w:hint="eastAsia" w:ascii="宋体" w:hAnsi="宋体"/>
                <w:b/>
                <w:bCs/>
                <w:color w:val="000000" w:themeColor="text1"/>
                <w:sz w:val="24"/>
                <w:szCs w:val="24"/>
                <w14:textFill>
                  <w14:solidFill>
                    <w14:schemeClr w14:val="tx1"/>
                  </w14:solidFill>
                </w14:textFill>
              </w:rPr>
              <w:t>正在履约或已完成的业绩均可：投标文件中提供业绩合同扫描件。</w:t>
            </w:r>
          </w:p>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备注：已签订合同但尚未实施的业绩不予认可。即截至投标截止时间，项目如存在目前尚未开始履约、人员进场但尚未实质性开展、处于暂停等情况的，该业绩不予认可。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default" w:ascii="宋体" w:hAnsi="宋体" w:eastAsia="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18</w:t>
            </w:r>
          </w:p>
        </w:tc>
        <w:tc>
          <w:tcPr>
            <w:tcW w:w="1559" w:type="dxa"/>
            <w:vAlign w:val="center"/>
          </w:tcPr>
          <w:p>
            <w:pPr>
              <w:spacing w:line="50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本地化服务</w:t>
            </w:r>
          </w:p>
        </w:tc>
        <w:tc>
          <w:tcPr>
            <w:tcW w:w="7077" w:type="dxa"/>
            <w:vAlign w:val="center"/>
          </w:tcPr>
          <w:p>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本项目是否要求本地化服务能力：</w:t>
            </w:r>
            <w:r>
              <w:rPr>
                <w:rFonts w:hint="eastAsia" w:ascii="宋体" w:hAnsi="宋体"/>
                <w:b/>
                <w:color w:val="000000" w:themeColor="text1"/>
                <w:sz w:val="24"/>
                <w:highlight w:val="none"/>
                <w14:textFill>
                  <w14:solidFill>
                    <w14:schemeClr w14:val="tx1"/>
                  </w14:solidFill>
                </w14:textFill>
              </w:rPr>
              <w:sym w:font="Wingdings" w:char="F0FE"/>
            </w:r>
            <w:r>
              <w:rPr>
                <w:rFonts w:hint="eastAsia" w:ascii="宋体" w:hAnsi="宋体"/>
                <w:b/>
                <w:color w:val="000000" w:themeColor="text1"/>
                <w:sz w:val="24"/>
                <w:highlight w:val="none"/>
                <w14:textFill>
                  <w14:solidFill>
                    <w14:schemeClr w14:val="tx1"/>
                  </w14:solidFill>
                </w14:textFill>
              </w:rPr>
              <w:t>要求   □不要求</w:t>
            </w:r>
          </w:p>
          <w:p>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本地化服务的能力是指具有下列条件之一：</w:t>
            </w:r>
          </w:p>
          <w:p>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1.在本地具有固定的办公场所及人员；</w:t>
            </w:r>
          </w:p>
          <w:p>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2.投标人在本地注册成立或者本地有分支机构的；</w:t>
            </w:r>
          </w:p>
          <w:p>
            <w:pPr>
              <w:spacing w:line="50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3.承诺中标即设立本地化服务机构。</w:t>
            </w:r>
          </w:p>
        </w:tc>
      </w:tr>
    </w:tbl>
    <w:p>
      <w:pPr>
        <w:rPr>
          <w:color w:val="000000" w:themeColor="text1"/>
          <w14:textFill>
            <w14:solidFill>
              <w14:schemeClr w14:val="tx1"/>
            </w14:solidFill>
          </w14:textFill>
        </w:rPr>
      </w:pPr>
      <w:bookmarkStart w:id="8" w:name="_Hlt509650027"/>
      <w:bookmarkEnd w:id="8"/>
      <w:bookmarkStart w:id="9" w:name="_Hlt519045778"/>
      <w:bookmarkEnd w:id="9"/>
      <w:bookmarkStart w:id="10" w:name="_Toc7187421"/>
      <w:bookmarkStart w:id="11" w:name="_Toc459990137"/>
      <w:bookmarkStart w:id="12" w:name="_Toc508363589"/>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pPr>
    </w:p>
    <w:p>
      <w:pPr>
        <w:pStyle w:val="5"/>
        <w:spacing w:before="0" w:line="500" w:lineRule="exact"/>
        <w:jc w:val="center"/>
        <w:rPr>
          <w:rFonts w:ascii="宋体" w:hAnsi="宋体"/>
          <w:color w:val="000000" w:themeColor="text1"/>
          <w14:textFill>
            <w14:solidFill>
              <w14:schemeClr w14:val="tx1"/>
            </w14:solidFill>
          </w14:textFill>
        </w:rPr>
      </w:pPr>
      <w:bookmarkStart w:id="13" w:name="_Toc25871"/>
      <w:r>
        <w:rPr>
          <w:rFonts w:hint="eastAsia" w:ascii="宋体" w:hAnsi="宋体"/>
          <w:color w:val="000000" w:themeColor="text1"/>
          <w14:textFill>
            <w14:solidFill>
              <w14:schemeClr w14:val="tx1"/>
            </w14:solidFill>
          </w14:textFill>
        </w:rPr>
        <w:t>第三章 投标人须知</w:t>
      </w:r>
      <w:bookmarkEnd w:id="10"/>
      <w:bookmarkEnd w:id="13"/>
      <w:bookmarkStart w:id="14" w:name="_Toc459990138"/>
    </w:p>
    <w:bookmarkEnd w:id="11"/>
    <w:bookmarkEnd w:id="12"/>
    <w:bookmarkEnd w:id="14"/>
    <w:p>
      <w:pPr>
        <w:keepNext/>
        <w:keepLines/>
        <w:spacing w:before="260" w:after="260" w:line="360" w:lineRule="auto"/>
        <w:jc w:val="center"/>
        <w:outlineLvl w:val="2"/>
        <w:rPr>
          <w:rFonts w:ascii="宋体" w:hAnsi="宋体"/>
          <w:b/>
          <w:bCs/>
          <w:color w:val="000000" w:themeColor="text1"/>
          <w:sz w:val="28"/>
          <w:szCs w:val="32"/>
          <w14:textFill>
            <w14:solidFill>
              <w14:schemeClr w14:val="tx1"/>
            </w14:solidFill>
          </w14:textFill>
        </w:rPr>
      </w:pPr>
      <w:bookmarkStart w:id="15" w:name="_Hlt516969057"/>
      <w:bookmarkEnd w:id="15"/>
      <w:bookmarkStart w:id="16" w:name="_Hlt204508754"/>
      <w:bookmarkEnd w:id="16"/>
      <w:bookmarkStart w:id="17" w:name="_Hlt509650351"/>
      <w:bookmarkEnd w:id="17"/>
      <w:bookmarkStart w:id="18" w:name="_Toc22888330"/>
      <w:bookmarkStart w:id="19" w:name="_Toc23746"/>
      <w:bookmarkStart w:id="20" w:name="_Toc51505239"/>
      <w:bookmarkStart w:id="21" w:name="_Toc27068"/>
      <w:bookmarkStart w:id="22" w:name="_Toc19733"/>
      <w:bookmarkStart w:id="23" w:name="_Toc25480"/>
      <w:bookmarkStart w:id="24" w:name="_Toc508363595"/>
      <w:r>
        <w:rPr>
          <w:rFonts w:hint="eastAsia" w:ascii="宋体" w:hAnsi="宋体"/>
          <w:b/>
          <w:bCs/>
          <w:color w:val="000000" w:themeColor="text1"/>
          <w:sz w:val="28"/>
          <w:szCs w:val="32"/>
          <w14:textFill>
            <w14:solidFill>
              <w14:schemeClr w14:val="tx1"/>
            </w14:solidFill>
          </w14:textFill>
        </w:rPr>
        <w:t>一．投标文件的编制</w:t>
      </w:r>
      <w:bookmarkEnd w:id="18"/>
      <w:bookmarkEnd w:id="19"/>
      <w:bookmarkEnd w:id="20"/>
    </w:p>
    <w:p>
      <w:pPr>
        <w:spacing w:line="360" w:lineRule="auto"/>
        <w:ind w:firstLine="482" w:firstLineChars="200"/>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1.投标文件的编写要求</w:t>
      </w:r>
    </w:p>
    <w:p>
      <w:pPr>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1.1投标人须以招标人正式发布的《招标文件》为制作《投标文件》的依据；</w:t>
      </w:r>
    </w:p>
    <w:p>
      <w:pPr>
        <w:spacing w:line="360" w:lineRule="auto"/>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w:t>
      </w:r>
      <w:r>
        <w:rPr>
          <w:rFonts w:hint="eastAsia" w:ascii="宋体" w:hAnsi="宋体"/>
          <w:color w:val="000000" w:themeColor="text1"/>
          <w:kern w:val="0"/>
          <w:sz w:val="24"/>
          <w14:textFill>
            <w14:solidFill>
              <w14:schemeClr w14:val="tx1"/>
            </w14:solidFill>
          </w14:textFill>
        </w:rPr>
        <w:t>投标人应仔细阅读招标文件的所有内容，按招标文件的要求提供投标文件，并保证所提供的全部资料真实有效；</w:t>
      </w:r>
    </w:p>
    <w:p>
      <w:pPr>
        <w:spacing w:line="360" w:lineRule="auto"/>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1.3</w:t>
      </w:r>
      <w:r>
        <w:rPr>
          <w:rFonts w:hint="eastAsia" w:ascii="宋体" w:hAnsi="宋体"/>
          <w:color w:val="000000" w:themeColor="text1"/>
          <w:kern w:val="0"/>
          <w:sz w:val="24"/>
          <w14:textFill>
            <w14:solidFill>
              <w14:schemeClr w14:val="tx1"/>
            </w14:solidFill>
          </w14:textFill>
        </w:rPr>
        <w:t>投标文件的书面内容不得涂抹或改写；</w:t>
      </w:r>
    </w:p>
    <w:p>
      <w:pPr>
        <w:spacing w:line="360" w:lineRule="auto"/>
        <w:ind w:firstLine="480" w:firstLineChars="20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1.4满足本招标文件规定的其它要求。</w:t>
      </w:r>
    </w:p>
    <w:p>
      <w:pPr>
        <w:spacing w:line="360" w:lineRule="auto"/>
        <w:ind w:firstLine="482" w:firstLineChars="200"/>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2.投标文件由以下部分构成</w:t>
      </w:r>
    </w:p>
    <w:p>
      <w:pPr>
        <w:spacing w:line="480" w:lineRule="exact"/>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2.1</w:t>
      </w:r>
      <w:r>
        <w:rPr>
          <w:rFonts w:hint="eastAsia" w:ascii="宋体" w:hAnsi="宋体"/>
          <w:color w:val="000000" w:themeColor="text1"/>
          <w:kern w:val="0"/>
          <w:sz w:val="24"/>
          <w14:textFill>
            <w14:solidFill>
              <w14:schemeClr w14:val="tx1"/>
            </w14:solidFill>
          </w14:textFill>
        </w:rPr>
        <w:t>投标承诺书、开标一览表、分项报价表、投标事项承诺原件等；</w:t>
      </w:r>
    </w:p>
    <w:p>
      <w:pPr>
        <w:spacing w:line="480" w:lineRule="exact"/>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2.2</w:t>
      </w:r>
      <w:r>
        <w:rPr>
          <w:rFonts w:hint="eastAsia" w:ascii="宋体" w:hAnsi="宋体"/>
          <w:color w:val="000000" w:themeColor="text1"/>
          <w:kern w:val="0"/>
          <w:sz w:val="24"/>
          <w14:textFill>
            <w14:solidFill>
              <w14:schemeClr w14:val="tx1"/>
            </w14:solidFill>
          </w14:textFill>
        </w:rPr>
        <w:t>投标人资质证明文件复印件、法人和授权代表人身份证复印件；</w:t>
      </w:r>
    </w:p>
    <w:p>
      <w:pPr>
        <w:spacing w:line="480" w:lineRule="exact"/>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2.3投标人</w:t>
      </w:r>
      <w:r>
        <w:rPr>
          <w:rFonts w:hint="eastAsia" w:ascii="宋体" w:hAnsi="宋体"/>
          <w:color w:val="000000" w:themeColor="text1"/>
          <w:kern w:val="0"/>
          <w:sz w:val="24"/>
          <w14:textFill>
            <w14:solidFill>
              <w14:schemeClr w14:val="tx1"/>
            </w14:solidFill>
          </w14:textFill>
        </w:rPr>
        <w:t>同类项目合同及投标人其它说明文件等；</w:t>
      </w:r>
    </w:p>
    <w:p>
      <w:pPr>
        <w:spacing w:line="480" w:lineRule="exact"/>
        <w:ind w:firstLine="482" w:firstLineChars="200"/>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3.投标报价说明及依据</w:t>
      </w:r>
    </w:p>
    <w:p>
      <w:pPr>
        <w:spacing w:line="480" w:lineRule="exact"/>
        <w:ind w:firstLine="480" w:firstLineChars="200"/>
        <w:rPr>
          <w:rFonts w:ascii="宋体" w:hAnsi="宋体"/>
          <w:b/>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3.1招标内容、采购清单及有关文件等；</w:t>
      </w:r>
    </w:p>
    <w:p>
      <w:pPr>
        <w:widowControl/>
        <w:spacing w:line="48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3.2国家、行业、地方有关技术标准规范；</w:t>
      </w:r>
    </w:p>
    <w:p>
      <w:pPr>
        <w:widowControl/>
        <w:spacing w:line="480" w:lineRule="exact"/>
        <w:ind w:firstLine="465"/>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3.3投标方需按照《投标分项报价表》格式做报价清单，所有价格均为到达项目所在工地含税（增值税专用发票）报价。</w:t>
      </w:r>
    </w:p>
    <w:p>
      <w:pPr>
        <w:widowControl/>
        <w:spacing w:line="480" w:lineRule="exact"/>
        <w:ind w:firstLine="465"/>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4.投标人接到招标文件后,认真审阅和全面理解招标文件中所有的须知、条件、格式、条款和图纸，如果投标人的投标文件不符合招标文件要求，该投标文件将被拒绝，责任自负。</w:t>
      </w:r>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25" w:name="_Toc22888332"/>
      <w:bookmarkStart w:id="26" w:name="_Toc51505241"/>
      <w:bookmarkStart w:id="27" w:name="_Toc7187423"/>
      <w:bookmarkStart w:id="28" w:name="_Toc459990139"/>
      <w:bookmarkStart w:id="29" w:name="_Toc31055"/>
      <w:bookmarkStart w:id="30" w:name="_Toc19773336"/>
      <w:r>
        <w:rPr>
          <w:rFonts w:hint="eastAsia" w:ascii="宋体" w:hAnsi="宋体"/>
          <w:b/>
          <w:bCs/>
          <w:color w:val="000000" w:themeColor="text1"/>
          <w:sz w:val="28"/>
          <w:szCs w:val="32"/>
          <w:lang w:val="en-US" w:eastAsia="zh-CN"/>
          <w14:textFill>
            <w14:solidFill>
              <w14:schemeClr w14:val="tx1"/>
            </w14:solidFill>
          </w14:textFill>
        </w:rPr>
        <w:t>二</w:t>
      </w:r>
      <w:r>
        <w:rPr>
          <w:rFonts w:hint="eastAsia" w:ascii="宋体" w:hAnsi="宋体"/>
          <w:b/>
          <w:bCs/>
          <w:color w:val="000000" w:themeColor="text1"/>
          <w:sz w:val="28"/>
          <w:szCs w:val="32"/>
          <w14:textFill>
            <w14:solidFill>
              <w14:schemeClr w14:val="tx1"/>
            </w14:solidFill>
          </w14:textFill>
        </w:rPr>
        <w:t>．投标文件的递交</w:t>
      </w:r>
      <w:bookmarkEnd w:id="25"/>
      <w:bookmarkEnd w:id="26"/>
      <w:bookmarkEnd w:id="27"/>
      <w:bookmarkEnd w:id="28"/>
      <w:bookmarkEnd w:id="29"/>
      <w:bookmarkEnd w:id="30"/>
      <w:bookmarkStart w:id="31" w:name="_Hlt509649414"/>
      <w:bookmarkEnd w:id="31"/>
    </w:p>
    <w:p>
      <w:pPr>
        <w:widowControl/>
        <w:spacing w:line="360" w:lineRule="auto"/>
        <w:rPr>
          <w:rFonts w:ascii="宋体" w:hAnsi="宋体" w:cs="宋体"/>
          <w:b/>
          <w:color w:val="000000" w:themeColor="text1"/>
          <w:kern w:val="0"/>
          <w:sz w:val="24"/>
          <w14:textFill>
            <w14:solidFill>
              <w14:schemeClr w14:val="tx1"/>
            </w14:solidFill>
          </w14:textFill>
        </w:rPr>
      </w:pPr>
      <w:bookmarkStart w:id="32" w:name="_Toc459990140"/>
      <w:bookmarkStart w:id="33" w:name="_Toc516969091"/>
      <w:bookmarkStart w:id="34" w:name="_Toc459990141"/>
      <w:r>
        <w:rPr>
          <w:rFonts w:hint="eastAsia" w:ascii="宋体" w:hAnsi="宋体" w:cs="宋体"/>
          <w:b/>
          <w:color w:val="000000" w:themeColor="text1"/>
          <w:kern w:val="0"/>
          <w:sz w:val="24"/>
          <w14:textFill>
            <w14:solidFill>
              <w14:schemeClr w14:val="tx1"/>
            </w14:solidFill>
          </w14:textFill>
        </w:rPr>
        <w:t xml:space="preserve">    1、投标文件的密封和标记</w:t>
      </w:r>
    </w:p>
    <w:p>
      <w:pPr>
        <w:widowControl/>
        <w:spacing w:line="360" w:lineRule="auto"/>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1.1投标文件装订成册、密封，并在封面注明招标编号、投标项目等，同时在密封处加盖骑缝章；</w:t>
      </w:r>
    </w:p>
    <w:p>
      <w:pPr>
        <w:widowControl/>
        <w:spacing w:line="360" w:lineRule="auto"/>
        <w:jc w:val="left"/>
        <w:rPr>
          <w:rFonts w:ascii="宋体" w:hAnsi="宋体" w:cs="宋体"/>
          <w:bCs/>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1.2投标文件要求：</w:t>
      </w:r>
      <w:r>
        <w:rPr>
          <w:rFonts w:hint="eastAsia" w:ascii="宋体" w:hAnsi="宋体" w:cs="宋体"/>
          <w:bCs/>
          <w:color w:val="000000" w:themeColor="text1"/>
          <w:kern w:val="0"/>
          <w:sz w:val="24"/>
          <w14:textFill>
            <w14:solidFill>
              <w14:schemeClr w14:val="tx1"/>
            </w14:solidFill>
          </w14:textFill>
        </w:rPr>
        <w:t>正、副本各一份。</w:t>
      </w:r>
    </w:p>
    <w:p>
      <w:pPr>
        <w:widowControl/>
        <w:spacing w:line="360" w:lineRule="auto"/>
        <w:jc w:val="left"/>
        <w:rPr>
          <w:rFonts w:ascii="宋体" w:hAnsi="宋体"/>
          <w:b/>
          <w:bCs/>
          <w:color w:val="000000" w:themeColor="text1"/>
          <w:kern w:val="0"/>
          <w:sz w:val="24"/>
          <w14:textFill>
            <w14:solidFill>
              <w14:schemeClr w14:val="tx1"/>
            </w14:solidFill>
          </w14:textFill>
        </w:rPr>
      </w:pPr>
      <w:r>
        <w:rPr>
          <w:rFonts w:hint="eastAsia" w:ascii="宋体" w:hAnsi="宋体"/>
          <w:b/>
          <w:bCs/>
          <w:color w:val="000000" w:themeColor="text1"/>
          <w:kern w:val="0"/>
          <w:sz w:val="24"/>
          <w14:textFill>
            <w14:solidFill>
              <w14:schemeClr w14:val="tx1"/>
            </w14:solidFill>
          </w14:textFill>
        </w:rPr>
        <w:t xml:space="preserve">    2、投标文件的递交、修改和撤回</w:t>
      </w:r>
    </w:p>
    <w:p>
      <w:pPr>
        <w:spacing w:line="360" w:lineRule="auto"/>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2.1</w:t>
      </w:r>
      <w:r>
        <w:rPr>
          <w:rFonts w:hint="eastAsia" w:ascii="宋体" w:hAnsi="宋体"/>
          <w:color w:val="000000" w:themeColor="text1"/>
          <w:kern w:val="0"/>
          <w:sz w:val="24"/>
          <w14:textFill>
            <w14:solidFill>
              <w14:schemeClr w14:val="tx1"/>
            </w14:solidFill>
          </w14:textFill>
        </w:rPr>
        <w:t>投标人应在投标截止时间前将密封合格的投标文件送达开标现场；</w:t>
      </w:r>
    </w:p>
    <w:p>
      <w:pPr>
        <w:spacing w:line="360" w:lineRule="auto"/>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2.2</w:t>
      </w:r>
      <w:r>
        <w:rPr>
          <w:rFonts w:hint="eastAsia" w:ascii="宋体" w:hAnsi="宋体"/>
          <w:color w:val="000000" w:themeColor="text1"/>
          <w:kern w:val="0"/>
          <w:sz w:val="24"/>
          <w14:textFill>
            <w14:solidFill>
              <w14:schemeClr w14:val="tx1"/>
            </w14:solidFill>
          </w14:textFill>
        </w:rPr>
        <w:t>投标人递交投标文件后，可修改或撤回投标文件，但必须在投标截止时间前书面通知招标人；投标截止后不得修改或撤回投标文件。</w:t>
      </w:r>
    </w:p>
    <w:p>
      <w:pPr>
        <w:keepNext/>
        <w:keepLines/>
        <w:spacing w:before="260" w:after="260" w:line="360" w:lineRule="auto"/>
        <w:jc w:val="center"/>
        <w:outlineLvl w:val="2"/>
        <w:rPr>
          <w:rFonts w:ascii="宋体" w:hAnsi="宋体"/>
          <w:b/>
          <w:bCs/>
          <w:color w:val="000000" w:themeColor="text1"/>
          <w:sz w:val="28"/>
          <w:szCs w:val="32"/>
          <w14:textFill>
            <w14:solidFill>
              <w14:schemeClr w14:val="tx1"/>
            </w14:solidFill>
          </w14:textFill>
        </w:rPr>
      </w:pPr>
      <w:bookmarkStart w:id="35" w:name="_Toc22888333"/>
      <w:bookmarkStart w:id="36" w:name="_Toc9817"/>
      <w:bookmarkStart w:id="37" w:name="_Toc51505242"/>
      <w:bookmarkStart w:id="38" w:name="_Toc7187424"/>
      <w:bookmarkStart w:id="39" w:name="_Toc19773337"/>
      <w:r>
        <w:rPr>
          <w:rFonts w:hint="eastAsia" w:ascii="宋体" w:hAnsi="宋体"/>
          <w:b/>
          <w:bCs/>
          <w:color w:val="000000" w:themeColor="text1"/>
          <w:sz w:val="28"/>
          <w:szCs w:val="32"/>
          <w:lang w:val="en-US" w:eastAsia="zh-CN"/>
          <w14:textFill>
            <w14:solidFill>
              <w14:schemeClr w14:val="tx1"/>
            </w14:solidFill>
          </w14:textFill>
        </w:rPr>
        <w:t>三</w:t>
      </w:r>
      <w:r>
        <w:rPr>
          <w:rFonts w:hint="eastAsia" w:ascii="宋体" w:hAnsi="宋体"/>
          <w:b/>
          <w:bCs/>
          <w:color w:val="000000" w:themeColor="text1"/>
          <w:sz w:val="28"/>
          <w:szCs w:val="32"/>
          <w14:textFill>
            <w14:solidFill>
              <w14:schemeClr w14:val="tx1"/>
            </w14:solidFill>
          </w14:textFill>
        </w:rPr>
        <w:t>．</w:t>
      </w:r>
      <w:bookmarkEnd w:id="32"/>
      <w:r>
        <w:rPr>
          <w:rFonts w:hint="eastAsia" w:ascii="宋体" w:hAnsi="宋体"/>
          <w:b/>
          <w:bCs/>
          <w:color w:val="000000" w:themeColor="text1"/>
          <w:sz w:val="28"/>
          <w:szCs w:val="32"/>
          <w14:textFill>
            <w14:solidFill>
              <w14:schemeClr w14:val="tx1"/>
            </w14:solidFill>
          </w14:textFill>
        </w:rPr>
        <w:t>开标、评标及定标</w:t>
      </w:r>
      <w:bookmarkEnd w:id="35"/>
      <w:bookmarkEnd w:id="36"/>
      <w:bookmarkEnd w:id="37"/>
      <w:bookmarkEnd w:id="38"/>
      <w:bookmarkEnd w:id="39"/>
    </w:p>
    <w:p>
      <w:pPr>
        <w:spacing w:line="360" w:lineRule="auto"/>
        <w:ind w:firstLine="482" w:firstLineChars="200"/>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 xml:space="preserve"> 1.开标</w:t>
      </w:r>
    </w:p>
    <w:p>
      <w:pPr>
        <w:spacing w:line="360" w:lineRule="auto"/>
        <w:ind w:firstLine="55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1.1</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szCs w:val="24"/>
          <w14:textFill>
            <w14:solidFill>
              <w14:schemeClr w14:val="tx1"/>
            </w14:solidFill>
          </w14:textFill>
        </w:rPr>
        <w:t>将在招标公告（如有变更，以变更公告为准）规定的时间和地点组织公开开标。</w:t>
      </w:r>
    </w:p>
    <w:p>
      <w:pPr>
        <w:widowControl/>
        <w:spacing w:line="360" w:lineRule="auto"/>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2</w:t>
      </w:r>
      <w:r>
        <w:rPr>
          <w:rFonts w:hint="eastAsia" w:ascii="宋体" w:hAnsi="宋体"/>
          <w:bCs/>
          <w:color w:val="000000" w:themeColor="text1"/>
          <w:sz w:val="24"/>
          <w:szCs w:val="24"/>
          <w14:textFill>
            <w14:solidFill>
              <w14:schemeClr w14:val="tx1"/>
            </w14:solidFill>
          </w14:textFill>
        </w:rPr>
        <w:t>开标时</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14:textFill>
            <w14:solidFill>
              <w14:schemeClr w14:val="tx1"/>
            </w14:solidFill>
          </w14:textFill>
        </w:rPr>
        <w:t>查验投标文件的密封状况，确认无误后拆封唱标。</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bCs/>
          <w:color w:val="000000" w:themeColor="text1"/>
          <w:sz w:val="24"/>
          <w:szCs w:val="24"/>
          <w14:textFill>
            <w14:solidFill>
              <w14:schemeClr w14:val="tx1"/>
            </w14:solidFill>
          </w14:textFill>
        </w:rPr>
        <w:t>将当众宣读</w:t>
      </w:r>
      <w:r>
        <w:rPr>
          <w:rFonts w:hint="eastAsia" w:ascii="宋体" w:hAnsi="宋体"/>
          <w:color w:val="000000" w:themeColor="text1"/>
          <w:sz w:val="24"/>
          <w:szCs w:val="24"/>
          <w14:textFill>
            <w14:solidFill>
              <w14:schemeClr w14:val="tx1"/>
            </w14:solidFill>
          </w14:textFill>
        </w:rPr>
        <w:t>投标人名称、投标价格以及</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szCs w:val="24"/>
          <w14:textFill>
            <w14:solidFill>
              <w14:schemeClr w14:val="tx1"/>
            </w14:solidFill>
          </w14:textFill>
        </w:rPr>
        <w:t>认为合适的其它详细内容。</w:t>
      </w:r>
    </w:p>
    <w:p>
      <w:pPr>
        <w:spacing w:line="360" w:lineRule="auto"/>
        <w:ind w:firstLine="549"/>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14:textFill>
            <w14:solidFill>
              <w14:schemeClr w14:val="tx1"/>
            </w14:solidFill>
          </w14:textFill>
        </w:rPr>
        <w:t>2</w:t>
      </w:r>
      <w:r>
        <w:rPr>
          <w:rFonts w:hint="eastAsia" w:ascii="宋体" w:hAnsi="宋体"/>
          <w:b/>
          <w:color w:val="000000" w:themeColor="text1"/>
          <w:sz w:val="24"/>
          <w:szCs w:val="24"/>
          <w14:textFill>
            <w14:solidFill>
              <w14:schemeClr w14:val="tx1"/>
            </w14:solidFill>
          </w14:textFill>
        </w:rPr>
        <w:t>.投标文件的澄清、说明或补正</w:t>
      </w:r>
    </w:p>
    <w:p>
      <w:pPr>
        <w:spacing w:line="360" w:lineRule="auto"/>
        <w:ind w:firstLine="549"/>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为有助于投标的审查、评价和比较，评标委员会可以书面方式要求投标人对投标文件中含义不明确、对同类问题表述不一致或者有明显文字和计算错误的内容作必要的澄清、说明或补正。澄清、说明或补正应以书面方式进行并不得超出投标文件的范围或改变投标文件的实质性内容。</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.2投标文件中大写金额和小写金额不一致的，以大写金额为准；总价金额与按单价汇总金额不一致的，以单价金额计算结果为准；单价金额小数点有明显错位的，应以总价为准，并修改单价。</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.3开标一览表内容与投标文件中明细表内容不一致的，以开标一览表为准。</w:t>
      </w:r>
      <w:r>
        <w:rPr>
          <w:rFonts w:hint="eastAsia" w:ascii="宋体" w:hAnsi="宋体"/>
          <w:bCs/>
          <w:color w:val="000000" w:themeColor="text1"/>
          <w:sz w:val="24"/>
          <w:szCs w:val="24"/>
          <w14:textFill>
            <w14:solidFill>
              <w14:schemeClr w14:val="tx1"/>
            </w14:solidFill>
          </w14:textFill>
        </w:rPr>
        <w:t>开标一览表内容与唱标信息内容不一致的，以开标一览表为准。</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.4 开标一览表中投标总价与投标文件中各分项报价汇总金额不一致的，按以下方式处理：</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.4.1 项目以投标总价结算的，以开标一览表中投标总价为准；</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.4.2项目以分项报价为准据实结算的，投标无效。</w:t>
      </w:r>
    </w:p>
    <w:p>
      <w:pPr>
        <w:spacing w:line="360" w:lineRule="auto"/>
        <w:ind w:firstLine="549"/>
        <w:rPr>
          <w:rFonts w:ascii="宋体" w:hAnsi="宋体"/>
          <w:b/>
          <w:color w:val="000000" w:themeColor="text1"/>
          <w:sz w:val="24"/>
          <w:szCs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hint="eastAsia" w:ascii="宋体" w:hAnsi="宋体"/>
          <w:b/>
          <w:color w:val="000000" w:themeColor="text1"/>
          <w:sz w:val="24"/>
          <w:szCs w:val="24"/>
          <w14:textFill>
            <w14:solidFill>
              <w14:schemeClr w14:val="tx1"/>
            </w14:solidFill>
          </w14:textFill>
        </w:rPr>
        <w:t>评标</w:t>
      </w:r>
    </w:p>
    <w:p>
      <w:pPr>
        <w:widowControl/>
        <w:spacing w:line="360" w:lineRule="auto"/>
        <w:ind w:firstLine="482"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3.1评标原则：</w:t>
      </w:r>
      <w:r>
        <w:rPr>
          <w:rFonts w:hint="eastAsia" w:ascii="宋体" w:hAnsi="宋体" w:cs="宋体"/>
          <w:color w:val="000000" w:themeColor="text1"/>
          <w:kern w:val="0"/>
          <w:sz w:val="24"/>
          <w14:textFill>
            <w14:solidFill>
              <w14:schemeClr w14:val="tx1"/>
            </w14:solidFill>
          </w14:textFill>
        </w:rPr>
        <w:t>遵循国家有关法律、法规，客观、公正地对待所有投标人，以招标文件作为评标的基本依据；凡涉及审查、评估和比较投标文件以及定标等意见，均不得向投标人及与评标无关的人员透露；</w:t>
      </w:r>
    </w:p>
    <w:p>
      <w:pPr>
        <w:widowControl/>
        <w:spacing w:line="360" w:lineRule="auto"/>
        <w:ind w:firstLine="482"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3.2评标方法：</w:t>
      </w:r>
      <w:r>
        <w:rPr>
          <w:rFonts w:hint="eastAsia" w:ascii="宋体" w:hAnsi="宋体" w:cs="宋体"/>
          <w:color w:val="000000" w:themeColor="text1"/>
          <w:kern w:val="0"/>
          <w:sz w:val="24"/>
          <w14:textFill>
            <w14:solidFill>
              <w14:schemeClr w14:val="tx1"/>
            </w14:solidFill>
          </w14:textFill>
        </w:rPr>
        <w:t>本次评标采用有效最低价法，即资格审查、商务标、技术标均经评审通过的有效投标报价最低的投标人为中标候选人。</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3.3如符合专业条件的投标人或对招标文件作实质响应的投标人只有两家，评标委员会将视情况现场决定是否改为竞争性谈判。谈判并不限定只进行二轮报价，如果评标委员会认为有必要，可以要求投标人进行多轮报价。在谈判内容不做实质性变更及重大调整的前提下，投标人下轮报价不得高于上一轮报价。</w:t>
      </w:r>
    </w:p>
    <w:p>
      <w:pPr>
        <w:spacing w:line="360" w:lineRule="auto"/>
        <w:ind w:firstLine="523" w:firstLineChars="218"/>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3.4 评标委员会将按照招标文件规定的评标办法对投标人独立进行评审。</w:t>
      </w:r>
    </w:p>
    <w:p>
      <w:pPr>
        <w:spacing w:line="360" w:lineRule="auto"/>
        <w:ind w:firstLine="549"/>
        <w:rPr>
          <w:rFonts w:ascii="宋体" w:hAnsi="宋体" w:cs="Tahoma"/>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3.5</w:t>
      </w:r>
      <w:r>
        <w:rPr>
          <w:rFonts w:hint="eastAsia" w:ascii="宋体" w:hAnsi="宋体" w:cs="Tahoma"/>
          <w:color w:val="000000" w:themeColor="text1"/>
          <w:sz w:val="24"/>
          <w:szCs w:val="24"/>
          <w14:textFill>
            <w14:solidFill>
              <w14:schemeClr w14:val="tx1"/>
            </w14:solidFill>
          </w14:textFill>
        </w:rPr>
        <w:t>评审过程中，如有询标，投标人授权代表（或法定代表人）应携带本人有效身份证明（包括居民身份证、社保卡、军官证、驾驶证或护照）原件参加询标并签字，因投标人授权代表未到开标现场或联系不上等情形而无法接受评标委员会询标的，有关风险投标人自行承担。</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评标委员会将首先审查投标文件是否实质上响应招标文件的初审指标要求。实质上响应的投标应与招标文件的全部条款、条件和规格相符，没有重大偏离或保留。所谓重大偏离或保留是指影响合同的服务范围和质量等；或者在实质上与招标文件不一致，而且限制了合同中买方的权利或投标人的义务。这些偏离或保留将会对其他实质上响应要求的投标人的竞争地位产生不公正的影响。投标人不得通过修改或撤销不合要求的偏离或保留而使其投标成为响应性的投标。</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有下列情形之一的，评标委员会应当否决其投标</w:t>
      </w:r>
      <w:r>
        <w:rPr>
          <w:rFonts w:hint="eastAsia" w:ascii="宋体" w:hAnsi="宋体"/>
          <w:color w:val="000000" w:themeColor="text1"/>
          <w:sz w:val="24"/>
          <w14:textFill>
            <w14:solidFill>
              <w14:schemeClr w14:val="tx1"/>
            </w14:solidFill>
          </w14:textFill>
        </w:rPr>
        <w:t>：</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3.6.1</w:t>
      </w:r>
      <w:r>
        <w:rPr>
          <w:rFonts w:ascii="宋体" w:hAnsi="宋体"/>
          <w:color w:val="000000" w:themeColor="text1"/>
          <w:sz w:val="24"/>
          <w:szCs w:val="24"/>
          <w14:textFill>
            <w14:solidFill>
              <w14:schemeClr w14:val="tx1"/>
            </w14:solidFill>
          </w14:textFill>
        </w:rPr>
        <w:t>投标文件未经投标人盖章</w:t>
      </w:r>
      <w:r>
        <w:rPr>
          <w:rFonts w:ascii="宋体" w:hAnsi="宋体"/>
          <w:color w:val="000000" w:themeColor="text1"/>
          <w:sz w:val="24"/>
          <w:szCs w:val="24"/>
          <w:highlight w:val="none"/>
          <w14:textFill>
            <w14:solidFill>
              <w14:schemeClr w14:val="tx1"/>
            </w14:solidFill>
          </w14:textFill>
        </w:rPr>
        <w:t>和单</w:t>
      </w:r>
      <w:r>
        <w:rPr>
          <w:rFonts w:ascii="宋体" w:hAnsi="宋体"/>
          <w:color w:val="000000" w:themeColor="text1"/>
          <w:sz w:val="24"/>
          <w:szCs w:val="24"/>
          <w14:textFill>
            <w14:solidFill>
              <w14:schemeClr w14:val="tx1"/>
            </w14:solidFill>
          </w14:textFill>
        </w:rPr>
        <w:t>位负责人签字</w:t>
      </w:r>
      <w:r>
        <w:rPr>
          <w:rFonts w:hint="eastAsia" w:ascii="宋体" w:hAnsi="宋体"/>
          <w:color w:val="000000" w:themeColor="text1"/>
          <w:sz w:val="24"/>
          <w:szCs w:val="24"/>
          <w14:textFill>
            <w14:solidFill>
              <w14:schemeClr w14:val="tx1"/>
            </w14:solidFill>
          </w14:textFill>
        </w:rPr>
        <w:t>；</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3.6.2</w:t>
      </w:r>
      <w:r>
        <w:rPr>
          <w:rFonts w:ascii="宋体" w:hAnsi="宋体"/>
          <w:color w:val="000000" w:themeColor="text1"/>
          <w:sz w:val="24"/>
          <w:szCs w:val="24"/>
          <w14:textFill>
            <w14:solidFill>
              <w14:schemeClr w14:val="tx1"/>
            </w14:solidFill>
          </w14:textFill>
        </w:rPr>
        <w:t>投标联合体没有提交</w:t>
      </w:r>
      <w:r>
        <w:rPr>
          <w:rFonts w:hint="eastAsia" w:ascii="宋体" w:hAnsi="宋体"/>
          <w:color w:val="000000" w:themeColor="text1"/>
          <w:sz w:val="24"/>
          <w:szCs w:val="24"/>
          <w14:textFill>
            <w14:solidFill>
              <w14:schemeClr w14:val="tx1"/>
            </w14:solidFill>
          </w14:textFill>
        </w:rPr>
        <w:t>共同投标</w:t>
      </w:r>
      <w:r>
        <w:rPr>
          <w:rFonts w:ascii="宋体" w:hAnsi="宋体"/>
          <w:color w:val="000000" w:themeColor="text1"/>
          <w:sz w:val="24"/>
          <w:szCs w:val="24"/>
          <w14:textFill>
            <w14:solidFill>
              <w14:schemeClr w14:val="tx1"/>
            </w14:solidFill>
          </w14:textFill>
        </w:rPr>
        <w:t>协议；</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3.6.3投标人不符合国家或者招标文件规定的资格条件；</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3.6.4同一投标人提交两个以上不同的投标文件或者投标报价，但招标文件要求提交备选投标的除外；</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3.6.5</w:t>
      </w:r>
      <w:r>
        <w:rPr>
          <w:rFonts w:ascii="宋体" w:hAnsi="宋体"/>
          <w:color w:val="000000" w:themeColor="text1"/>
          <w:sz w:val="24"/>
          <w:szCs w:val="24"/>
          <w14:textFill>
            <w14:solidFill>
              <w14:schemeClr w14:val="tx1"/>
            </w14:solidFill>
          </w14:textFill>
        </w:rPr>
        <w:t>投标报价低于成本或者高于招标文件设定的最高投标限价；</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3.6.6</w:t>
      </w:r>
      <w:r>
        <w:rPr>
          <w:rFonts w:ascii="宋体" w:hAnsi="宋体"/>
          <w:color w:val="000000" w:themeColor="text1"/>
          <w:sz w:val="24"/>
          <w:szCs w:val="24"/>
          <w14:textFill>
            <w14:solidFill>
              <w14:schemeClr w14:val="tx1"/>
            </w14:solidFill>
          </w14:textFill>
        </w:rPr>
        <w:t>投标文件没有对招标文件的实质性要求和条件作出响应；</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3.6.7</w:t>
      </w:r>
      <w:r>
        <w:rPr>
          <w:rFonts w:ascii="宋体" w:hAnsi="宋体"/>
          <w:color w:val="000000" w:themeColor="text1"/>
          <w:sz w:val="24"/>
          <w:szCs w:val="24"/>
          <w14:textFill>
            <w14:solidFill>
              <w14:schemeClr w14:val="tx1"/>
            </w14:solidFill>
          </w14:textFill>
        </w:rPr>
        <w:t>投标人有串通投标、弄虚作假、行贿等违法行为</w:t>
      </w:r>
      <w:r>
        <w:rPr>
          <w:rFonts w:hint="eastAsia" w:ascii="宋体" w:hAnsi="宋体"/>
          <w:color w:val="000000" w:themeColor="text1"/>
          <w:sz w:val="24"/>
          <w:szCs w:val="24"/>
          <w14:textFill>
            <w14:solidFill>
              <w14:schemeClr w14:val="tx1"/>
            </w14:solidFill>
          </w14:textFill>
        </w:rPr>
        <w:t>；</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3.6.8评标委员会评议认为构成废标的其他情况；</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3.6.9投标人未按要求提交投标保证金的；</w:t>
      </w:r>
    </w:p>
    <w:p>
      <w:pPr>
        <w:spacing w:line="360" w:lineRule="auto"/>
        <w:ind w:firstLine="549"/>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3.6.10</w:t>
      </w:r>
      <w:r>
        <w:rPr>
          <w:rFonts w:hint="eastAsia" w:ascii="宋体" w:hAnsi="宋体"/>
          <w:color w:val="000000" w:themeColor="text1"/>
          <w:sz w:val="24"/>
          <w:szCs w:val="24"/>
          <w14:textFill>
            <w14:solidFill>
              <w14:schemeClr w14:val="tx1"/>
            </w14:solidFill>
          </w14:textFill>
        </w:rPr>
        <w:t>其他未实质性响应招标文件要求的。</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3.7评审时，评标委员会将审查投标文件是否符合招标文件的评审指标要求。</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3.8</w:t>
      </w:r>
      <w:r>
        <w:rPr>
          <w:rFonts w:hint="eastAsia" w:ascii="宋体" w:hAnsi="宋体"/>
          <w:color w:val="000000" w:themeColor="text1"/>
          <w:sz w:val="24"/>
          <w14:textFill>
            <w14:solidFill>
              <w14:schemeClr w14:val="tx1"/>
            </w14:solidFill>
          </w14:textFill>
        </w:rPr>
        <w:t>如果投标文件未通过投标有效性评审，投标无效。</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3.9评标委员会决定投标文件的响应性及符合性只根据投标文件本身的内容，而不寻求其他外部证据。</w:t>
      </w:r>
    </w:p>
    <w:p>
      <w:pPr>
        <w:spacing w:line="360" w:lineRule="auto"/>
        <w:ind w:firstLine="549"/>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4.定标</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1评标委员会应当按招标文件规定的标准和方法提出独立评审意见，推荐中标候选人。</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2如评标委员会认为有必要，将首先对第一中标候选人就投标文件所提供的内容是否符合招标文件的要求进行资格后审。资格后审视为本项目招标活动的延续，以书面报告作为最终审查的结果。如果确定第一中标候选人无法履行合同，将按排名依次对其余中标候选人进行类似的审查。</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一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4.3原则上把合同授予实质上响应招标文件要求的排名最前的中标候选人或通过上条资格审查的中标候选人。 </w:t>
      </w:r>
    </w:p>
    <w:p>
      <w:p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5.招标人一律不予退还投标人的投标文件。</w:t>
      </w:r>
    </w:p>
    <w:p>
      <w:pPr>
        <w:spacing w:line="360" w:lineRule="auto"/>
        <w:ind w:firstLine="525" w:firstLineChars="218"/>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14:textFill>
            <w14:solidFill>
              <w14:schemeClr w14:val="tx1"/>
            </w14:solidFill>
          </w14:textFill>
        </w:rPr>
        <w:t>6.</w:t>
      </w:r>
      <w:r>
        <w:rPr>
          <w:rFonts w:hint="eastAsia" w:ascii="宋体" w:hAnsi="宋体"/>
          <w:color w:val="000000" w:themeColor="text1"/>
          <w:sz w:val="24"/>
          <w:szCs w:val="24"/>
          <w14:textFill>
            <w14:solidFill>
              <w14:schemeClr w14:val="tx1"/>
            </w14:solidFill>
          </w14:textFill>
        </w:rPr>
        <w:t>本招标文件所要求的证书、认证、资质，均应当是有权机构颁发，且在有效期内的。</w:t>
      </w:r>
    </w:p>
    <w:p>
      <w:pPr>
        <w:spacing w:line="360" w:lineRule="auto"/>
        <w:ind w:firstLine="562" w:firstLineChars="200"/>
        <w:jc w:val="center"/>
        <w:rPr>
          <w:rFonts w:ascii="宋体" w:hAnsi="宋体"/>
          <w:b/>
          <w:bCs/>
          <w:color w:val="000000" w:themeColor="text1"/>
          <w:sz w:val="28"/>
          <w:szCs w:val="32"/>
          <w14:textFill>
            <w14:solidFill>
              <w14:schemeClr w14:val="tx1"/>
            </w14:solidFill>
          </w14:textFill>
        </w:rPr>
      </w:pPr>
      <w:r>
        <w:rPr>
          <w:rFonts w:hint="eastAsia" w:ascii="宋体" w:hAnsi="宋体"/>
          <w:b/>
          <w:bCs/>
          <w:color w:val="000000" w:themeColor="text1"/>
          <w:sz w:val="28"/>
          <w:szCs w:val="32"/>
          <w:lang w:val="en-US" w:eastAsia="zh-CN"/>
          <w14:textFill>
            <w14:solidFill>
              <w14:schemeClr w14:val="tx1"/>
            </w14:solidFill>
          </w14:textFill>
        </w:rPr>
        <w:t>四</w:t>
      </w:r>
      <w:r>
        <w:rPr>
          <w:rFonts w:hint="eastAsia" w:ascii="宋体" w:hAnsi="宋体"/>
          <w:b/>
          <w:bCs/>
          <w:color w:val="000000" w:themeColor="text1"/>
          <w:sz w:val="28"/>
          <w:szCs w:val="32"/>
          <w14:textFill>
            <w14:solidFill>
              <w14:schemeClr w14:val="tx1"/>
            </w14:solidFill>
          </w14:textFill>
        </w:rPr>
        <w:t>. 投标信息发布</w:t>
      </w:r>
    </w:p>
    <w:p>
      <w:pPr>
        <w:spacing w:line="360" w:lineRule="auto"/>
        <w:ind w:firstLine="5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1.与本次招标活动相关的信息，将在</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14:textFill>
            <w14:solidFill>
              <w14:schemeClr w14:val="tx1"/>
            </w14:solidFill>
          </w14:textFill>
        </w:rPr>
        <w:t>(http://www.hftycy.com/)发布。</w:t>
      </w:r>
    </w:p>
    <w:p>
      <w:pPr>
        <w:spacing w:line="360" w:lineRule="auto"/>
        <w:ind w:firstLine="5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2. </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14:textFill>
            <w14:solidFill>
              <w14:schemeClr w14:val="tx1"/>
            </w14:solidFill>
          </w14:textFill>
        </w:rPr>
        <w:t>对招标文件进行的答疑、澄清、变更或补充，将在网站上及时发布，该公告内容为招标文件的组成部分，对投标人具有同样约束力效力。当招标文件、招标文件的答疑、澄清、变更或补充等在同一内容的表述上不一致时，以最后发出的书面文件为准。投标人应主动上网查询。文旅博览集团不承担投标人未及时关注相关信息引发的相关责任。</w:t>
      </w:r>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40" w:name="_Toc22888334"/>
      <w:bookmarkStart w:id="41" w:name="_Toc51505243"/>
      <w:bookmarkStart w:id="42" w:name="_Toc20006"/>
      <w:bookmarkStart w:id="43" w:name="_Toc7187425"/>
      <w:bookmarkStart w:id="44" w:name="_Toc19773338"/>
      <w:r>
        <w:rPr>
          <w:rFonts w:hint="eastAsia" w:ascii="宋体" w:hAnsi="宋体"/>
          <w:b/>
          <w:bCs/>
          <w:color w:val="000000" w:themeColor="text1"/>
          <w:sz w:val="28"/>
          <w:szCs w:val="32"/>
          <w:lang w:val="en-US" w:eastAsia="zh-CN"/>
          <w14:textFill>
            <w14:solidFill>
              <w14:schemeClr w14:val="tx1"/>
            </w14:solidFill>
          </w14:textFill>
        </w:rPr>
        <w:t>五</w:t>
      </w:r>
      <w:r>
        <w:rPr>
          <w:rFonts w:hint="eastAsia" w:ascii="宋体" w:hAnsi="宋体"/>
          <w:b/>
          <w:bCs/>
          <w:color w:val="000000" w:themeColor="text1"/>
          <w:sz w:val="28"/>
          <w:szCs w:val="32"/>
          <w14:textFill>
            <w14:solidFill>
              <w14:schemeClr w14:val="tx1"/>
            </w14:solidFill>
          </w14:textFill>
        </w:rPr>
        <w:t>．投标文件的澄清</w:t>
      </w:r>
      <w:bookmarkEnd w:id="40"/>
      <w:bookmarkEnd w:id="41"/>
      <w:bookmarkEnd w:id="42"/>
      <w:bookmarkEnd w:id="43"/>
      <w:bookmarkEnd w:id="44"/>
    </w:p>
    <w:p>
      <w:pPr>
        <w:spacing w:line="360" w:lineRule="auto"/>
        <w:ind w:firstLine="549"/>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1.为有助于投标文件的审查、评估和比较，招标人有权向投标人质疑并请投标人澄清其投标内容。投标人应当按照招标人通知的时间、地点，指派专人进行答疑和澄清。</w:t>
      </w:r>
    </w:p>
    <w:p>
      <w:pPr>
        <w:spacing w:line="360" w:lineRule="auto"/>
        <w:ind w:firstLine="549"/>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2.重要的澄清应是书面的，但不得对投标内容进行实质性修改。</w:t>
      </w:r>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45" w:name="_Toc7187426"/>
      <w:bookmarkStart w:id="46" w:name="_Toc51505244"/>
      <w:bookmarkStart w:id="47" w:name="_Toc20524"/>
      <w:bookmarkStart w:id="48" w:name="_Toc22888335"/>
      <w:bookmarkStart w:id="49" w:name="_Toc19773339"/>
      <w:r>
        <w:rPr>
          <w:rFonts w:hint="eastAsia" w:ascii="宋体" w:hAnsi="宋体"/>
          <w:b/>
          <w:bCs/>
          <w:color w:val="000000" w:themeColor="text1"/>
          <w:sz w:val="28"/>
          <w:szCs w:val="32"/>
          <w:lang w:val="en-US" w:eastAsia="zh-CN"/>
          <w14:textFill>
            <w14:solidFill>
              <w14:schemeClr w14:val="tx1"/>
            </w14:solidFill>
          </w14:textFill>
        </w:rPr>
        <w:t>六</w:t>
      </w:r>
      <w:r>
        <w:rPr>
          <w:rFonts w:hint="eastAsia" w:ascii="宋体" w:hAnsi="宋体"/>
          <w:b/>
          <w:bCs/>
          <w:color w:val="000000" w:themeColor="text1"/>
          <w:sz w:val="28"/>
          <w:szCs w:val="32"/>
          <w14:textFill>
            <w14:solidFill>
              <w14:schemeClr w14:val="tx1"/>
            </w14:solidFill>
          </w14:textFill>
        </w:rPr>
        <w:t>.中标通知书</w:t>
      </w:r>
      <w:bookmarkEnd w:id="45"/>
      <w:bookmarkEnd w:id="46"/>
      <w:bookmarkEnd w:id="47"/>
      <w:bookmarkEnd w:id="48"/>
      <w:bookmarkEnd w:id="49"/>
    </w:p>
    <w:p>
      <w:pPr>
        <w:tabs>
          <w:tab w:val="left" w:pos="709"/>
        </w:tabs>
        <w:snapToGrid w:val="0"/>
        <w:spacing w:line="360" w:lineRule="auto"/>
        <w:ind w:firstLine="600" w:firstLineChars="250"/>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s="宋体"/>
          <w:color w:val="000000" w:themeColor="text1"/>
          <w:sz w:val="24"/>
          <w14:textFill>
            <w14:solidFill>
              <w14:schemeClr w14:val="tx1"/>
            </w14:solidFill>
          </w14:textFill>
        </w:rPr>
        <w:t>将以中标通知书形式通知中标人，其投标已被接受。</w:t>
      </w:r>
    </w:p>
    <w:p>
      <w:pPr>
        <w:tabs>
          <w:tab w:val="left" w:pos="709"/>
        </w:tabs>
        <w:snapToGrid w:val="0"/>
        <w:spacing w:line="360" w:lineRule="auto"/>
        <w:ind w:left="566"/>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s="宋体"/>
          <w:color w:val="000000" w:themeColor="text1"/>
          <w:sz w:val="24"/>
          <w14:textFill>
            <w14:solidFill>
              <w14:schemeClr w14:val="tx1"/>
            </w14:solidFill>
          </w14:textFill>
        </w:rPr>
        <w:t>对未中标的投标人不做未中标原因的解释。</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中标公示期满后，中标人请在3个工作日内委派专人凭介绍信或公司授权书（须同时携带有效身份证明）领取中标通知书。</w:t>
      </w:r>
      <w:bookmarkEnd w:id="33"/>
      <w:bookmarkEnd w:id="34"/>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50" w:name="_Toc22888336"/>
      <w:bookmarkStart w:id="51" w:name="_Toc2884"/>
      <w:bookmarkStart w:id="52" w:name="_Toc51505245"/>
      <w:bookmarkStart w:id="53" w:name="_Toc19773340"/>
      <w:bookmarkStart w:id="54" w:name="_Toc7187427"/>
      <w:r>
        <w:rPr>
          <w:rFonts w:hint="eastAsia" w:ascii="宋体" w:hAnsi="宋体"/>
          <w:b/>
          <w:bCs/>
          <w:color w:val="000000" w:themeColor="text1"/>
          <w:sz w:val="28"/>
          <w:szCs w:val="32"/>
          <w:lang w:val="en-US" w:eastAsia="zh-CN"/>
          <w14:textFill>
            <w14:solidFill>
              <w14:schemeClr w14:val="tx1"/>
            </w14:solidFill>
          </w14:textFill>
        </w:rPr>
        <w:t>七</w:t>
      </w:r>
      <w:r>
        <w:rPr>
          <w:rFonts w:hint="eastAsia" w:ascii="宋体" w:hAnsi="宋体"/>
          <w:b/>
          <w:bCs/>
          <w:color w:val="000000" w:themeColor="text1"/>
          <w:sz w:val="28"/>
          <w:szCs w:val="32"/>
          <w14:textFill>
            <w14:solidFill>
              <w14:schemeClr w14:val="tx1"/>
            </w14:solidFill>
          </w14:textFill>
        </w:rPr>
        <w:t>.异议处理</w:t>
      </w:r>
      <w:bookmarkEnd w:id="50"/>
      <w:bookmarkEnd w:id="51"/>
      <w:bookmarkEnd w:id="52"/>
      <w:bookmarkEnd w:id="53"/>
      <w:bookmarkEnd w:id="54"/>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w:t>
      </w:r>
      <w:r>
        <w:rPr>
          <w:rFonts w:ascii="宋体" w:hAnsi="宋体"/>
          <w:bCs/>
          <w:color w:val="000000" w:themeColor="text1"/>
          <w:sz w:val="24"/>
          <w14:textFill>
            <w14:solidFill>
              <w14:schemeClr w14:val="tx1"/>
            </w14:solidFill>
          </w14:textFill>
        </w:rPr>
        <w:t>投标人或者其他利害关系人对依法必须进行招标的项目的评标结果有异议的，应当在中标候选人公示期间</w:t>
      </w:r>
      <w:r>
        <w:rPr>
          <w:rFonts w:hint="eastAsia" w:ascii="宋体" w:hAnsi="宋体"/>
          <w:bCs/>
          <w:color w:val="000000" w:themeColor="text1"/>
          <w:sz w:val="24"/>
          <w14:textFill>
            <w14:solidFill>
              <w14:schemeClr w14:val="tx1"/>
            </w14:solidFill>
          </w14:textFill>
        </w:rPr>
        <w:t>，由投标人授权代表（或法定代表人）携带身份证明材料，以书面形式向</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bCs/>
          <w:color w:val="000000" w:themeColor="text1"/>
          <w:sz w:val="24"/>
          <w14:textFill>
            <w14:solidFill>
              <w14:schemeClr w14:val="tx1"/>
            </w14:solidFill>
          </w14:textFill>
        </w:rPr>
        <w:t>提出异议，逾期不予受理。</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2.异议书内容应包括异议的详细理由和依据，并提供有关证明资料。</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3.有以下情形之一的，视为无效异议：</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3.1 未按规定时间或规定手续提交异议的；</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3.2异议内容含糊不清、没有提供详细理由和依据，无法进行核查的；</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3.3其他不符合异议程序和有关规定的。</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bCs/>
          <w:color w:val="000000" w:themeColor="text1"/>
          <w:sz w:val="24"/>
          <w14:textFill>
            <w14:solidFill>
              <w14:schemeClr w14:val="tx1"/>
            </w14:solidFill>
          </w14:textFill>
        </w:rPr>
        <w:t>将在收到书面质疑后5个工作日内审查异议事项，作出答复或相关处理决定，并以书面形式通知异议人，但答复的内容不涉及商业秘密。</w:t>
      </w:r>
    </w:p>
    <w:p>
      <w:pPr>
        <w:keepNext/>
        <w:keepLines/>
        <w:spacing w:before="260" w:after="260" w:line="360" w:lineRule="auto"/>
        <w:jc w:val="center"/>
        <w:outlineLvl w:val="2"/>
        <w:rPr>
          <w:rFonts w:ascii="宋体" w:hAnsi="宋体"/>
          <w:b/>
          <w:bCs/>
          <w:color w:val="000000" w:themeColor="text1"/>
          <w:sz w:val="28"/>
          <w:szCs w:val="32"/>
          <w14:textFill>
            <w14:solidFill>
              <w14:schemeClr w14:val="tx1"/>
            </w14:solidFill>
          </w14:textFill>
        </w:rPr>
      </w:pPr>
      <w:bookmarkStart w:id="55" w:name="_Toc51505246"/>
      <w:bookmarkStart w:id="56" w:name="_Toc19773341"/>
      <w:bookmarkStart w:id="57" w:name="_Toc20014"/>
      <w:bookmarkStart w:id="58" w:name="_Toc22888337"/>
      <w:bookmarkStart w:id="59" w:name="_Toc7187428"/>
      <w:r>
        <w:rPr>
          <w:rFonts w:hint="eastAsia" w:ascii="宋体" w:hAnsi="宋体"/>
          <w:b/>
          <w:bCs/>
          <w:color w:val="000000" w:themeColor="text1"/>
          <w:sz w:val="28"/>
          <w:szCs w:val="32"/>
          <w:lang w:val="en-US" w:eastAsia="zh-CN"/>
          <w14:textFill>
            <w14:solidFill>
              <w14:schemeClr w14:val="tx1"/>
            </w14:solidFill>
          </w14:textFill>
        </w:rPr>
        <w:t>八</w:t>
      </w:r>
      <w:r>
        <w:rPr>
          <w:rFonts w:hint="eastAsia" w:ascii="宋体" w:hAnsi="宋体"/>
          <w:b/>
          <w:bCs/>
          <w:color w:val="000000" w:themeColor="text1"/>
          <w:sz w:val="28"/>
          <w:szCs w:val="32"/>
          <w14:textFill>
            <w14:solidFill>
              <w14:schemeClr w14:val="tx1"/>
            </w14:solidFill>
          </w14:textFill>
        </w:rPr>
        <w:t>．签订合同</w:t>
      </w:r>
      <w:bookmarkEnd w:id="55"/>
      <w:bookmarkEnd w:id="56"/>
      <w:bookmarkEnd w:id="57"/>
      <w:bookmarkEnd w:id="58"/>
      <w:bookmarkEnd w:id="59"/>
    </w:p>
    <w:p>
      <w:pPr>
        <w:spacing w:line="360" w:lineRule="auto"/>
        <w:ind w:firstLine="549"/>
        <w:rPr>
          <w:rFonts w:ascii="宋体" w:hAnsi="宋体"/>
          <w:color w:val="000000" w:themeColor="text1"/>
          <w:sz w:val="24"/>
          <w:szCs w:val="24"/>
          <w14:textFill>
            <w14:solidFill>
              <w14:schemeClr w14:val="tx1"/>
            </w14:solidFill>
          </w14:textFill>
        </w:rPr>
      </w:pPr>
    </w:p>
    <w:p>
      <w:pPr>
        <w:spacing w:line="360" w:lineRule="auto"/>
        <w:ind w:firstLine="549"/>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1.履约保证金</w:t>
      </w:r>
    </w:p>
    <w:p>
      <w:pPr>
        <w:spacing w:line="360" w:lineRule="auto"/>
        <w:ind w:firstLine="549"/>
        <w:rPr>
          <w:rFonts w:ascii="宋体" w:hAnsi="宋体"/>
          <w:dstrike/>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1.1签订合同前，投标人应提交履约保证金。履约保证金金额、收受方式及收受人见投标人须知前附表规定。</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1.2投标人须知前附表约定收取履约保证金或免收履约保证金的，从其规定。</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3如果中标人未按规定交纳履约保证金，招标人有权取消该授标，在此情况下招标人可将该标授予其下一个中标候选人，或重新招标。</w:t>
      </w:r>
    </w:p>
    <w:p>
      <w:pPr>
        <w:spacing w:line="360" w:lineRule="auto"/>
        <w:ind w:firstLine="549"/>
        <w:rPr>
          <w:rFonts w:ascii="宋体" w:hAnsi="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2.</w:t>
      </w:r>
      <w:r>
        <w:rPr>
          <w:rFonts w:hint="eastAsia" w:ascii="宋体" w:hAnsi="宋体"/>
          <w:b/>
          <w:color w:val="000000" w:themeColor="text1"/>
          <w:sz w:val="24"/>
          <w14:textFill>
            <w14:solidFill>
              <w14:schemeClr w14:val="tx1"/>
            </w14:solidFill>
          </w14:textFill>
        </w:rPr>
        <w:t>签订合同</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2.1中标人应在中标通知书发出之日起7日内（具体时间、地点见中标通知书）与委托人签订合同。招标文件、中标人的投标文件及澄清文件等，均作为合同的附件。</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2.2中标人、委托人双方必须严格按照招标文件、投标文件及有关承诺签订合同，不得擅自变更。合同的标的、价款、质量、履行期限等主要条款应当与招标文件和中标人的投标文件的内容一致，委托人和中标人不得再行订立背离合同实质性内容的其他协议。</w:t>
      </w:r>
    </w:p>
    <w:p>
      <w:pPr>
        <w:spacing w:line="360" w:lineRule="auto"/>
        <w:ind w:firstLine="523" w:firstLineChars="218"/>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2.3招标人保留以书面形式要求合同的卖方对其所投货物的装运方式、交货地点及服务细则等作适当调整的权利。</w:t>
      </w:r>
    </w:p>
    <w:p>
      <w:pPr>
        <w:spacing w:line="360" w:lineRule="auto"/>
        <w:ind w:firstLine="523" w:firstLineChars="218"/>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2.4</w:t>
      </w:r>
      <w:r>
        <w:rPr>
          <w:rFonts w:hint="eastAsia" w:ascii="宋体" w:hAnsi="宋体" w:cs="宋体"/>
          <w:color w:val="000000" w:themeColor="text1"/>
          <w:kern w:val="0"/>
          <w:sz w:val="24"/>
          <w14:textFill>
            <w14:solidFill>
              <w14:schemeClr w14:val="tx1"/>
            </w14:solidFill>
          </w14:textFill>
        </w:rPr>
        <w:t>招标人在授予合同时有权对标的物的数量予以适当的增加或减少；</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2.5中标人不与委托人签订合同的，招标人可单方面取消其中标资格，并追究其责任。</w:t>
      </w:r>
    </w:p>
    <w:p>
      <w:pPr>
        <w:pStyle w:val="78"/>
        <w:numPr>
          <w:ilvl w:val="1"/>
          <w:numId w:val="5"/>
        </w:numPr>
        <w:spacing w:line="36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合同履行完毕后，经委托人考核合格，双方可续签合同。</w:t>
      </w:r>
    </w:p>
    <w:p>
      <w:pPr>
        <w:spacing w:line="360" w:lineRule="auto"/>
        <w:rPr>
          <w:rFonts w:ascii="宋体" w:hAnsi="宋体"/>
          <w:color w:val="000000" w:themeColor="text1"/>
          <w:sz w:val="24"/>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pStyle w:val="5"/>
        <w:spacing w:line="500" w:lineRule="exact"/>
        <w:jc w:val="center"/>
        <w:rPr>
          <w:rFonts w:ascii="宋体" w:hAnsi="宋体"/>
          <w:color w:val="000000" w:themeColor="text1"/>
          <w:szCs w:val="36"/>
          <w14:textFill>
            <w14:solidFill>
              <w14:schemeClr w14:val="tx1"/>
            </w14:solidFill>
          </w14:textFill>
        </w:rPr>
      </w:pPr>
      <w:bookmarkStart w:id="60" w:name="_Toc16845"/>
      <w:r>
        <w:rPr>
          <w:rFonts w:hint="eastAsia" w:ascii="宋体" w:hAnsi="宋体"/>
          <w:color w:val="000000" w:themeColor="text1"/>
          <w14:textFill>
            <w14:solidFill>
              <w14:schemeClr w14:val="tx1"/>
            </w14:solidFill>
          </w14:textFill>
        </w:rPr>
        <w:t>第</w:t>
      </w:r>
      <w:bookmarkStart w:id="61" w:name="_Hlt240110027"/>
      <w:bookmarkEnd w:id="61"/>
      <w:r>
        <w:rPr>
          <w:rFonts w:hint="eastAsia" w:ascii="宋体" w:hAnsi="宋体"/>
          <w:color w:val="000000" w:themeColor="text1"/>
          <w14:textFill>
            <w14:solidFill>
              <w14:schemeClr w14:val="tx1"/>
            </w14:solidFill>
          </w14:textFill>
        </w:rPr>
        <w:t>四章</w:t>
      </w:r>
      <w:bookmarkStart w:id="62" w:name="_Hlt509716920"/>
      <w:bookmarkEnd w:id="62"/>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szCs w:val="36"/>
          <w14:textFill>
            <w14:solidFill>
              <w14:schemeClr w14:val="tx1"/>
            </w14:solidFill>
          </w14:textFill>
        </w:rPr>
        <w:t>招标需求</w:t>
      </w:r>
      <w:bookmarkEnd w:id="21"/>
      <w:bookmarkEnd w:id="22"/>
      <w:bookmarkEnd w:id="23"/>
      <w:bookmarkEnd w:id="60"/>
    </w:p>
    <w:p>
      <w:pPr>
        <w:spacing w:line="360" w:lineRule="auto"/>
        <w:ind w:firstLine="480" w:firstLineChars="200"/>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前注：</w:t>
      </w:r>
    </w:p>
    <w:p>
      <w:pPr>
        <w:spacing w:line="360" w:lineRule="auto"/>
        <w:ind w:firstLine="480" w:firstLineChars="200"/>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1.投标人自行考虑“营改增”税收费用及风险，中标后须按国家相关规定</w:t>
      </w:r>
      <w:r>
        <w:rPr>
          <w:rFonts w:hint="eastAsia" w:hAnsi="宋体"/>
          <w:color w:val="000000" w:themeColor="text1"/>
          <w:sz w:val="24"/>
          <w:szCs w:val="28"/>
          <w14:textFill>
            <w14:solidFill>
              <w14:schemeClr w14:val="tx1"/>
            </w14:solidFill>
          </w14:textFill>
        </w:rPr>
        <w:t>缴纳</w:t>
      </w:r>
      <w:r>
        <w:rPr>
          <w:rFonts w:hint="eastAsia" w:ascii="宋体" w:hAnsi="宋体"/>
          <w:color w:val="000000" w:themeColor="text1"/>
          <w:sz w:val="24"/>
          <w:szCs w:val="28"/>
          <w14:textFill>
            <w14:solidFill>
              <w14:schemeClr w14:val="tx1"/>
            </w14:solidFill>
          </w14:textFill>
        </w:rPr>
        <w:t>税金并按委托人要求提供发票，费用含在本次投标总价中，中标后不作调整。</w:t>
      </w:r>
    </w:p>
    <w:p>
      <w:pPr>
        <w:spacing w:line="360" w:lineRule="auto"/>
        <w:ind w:firstLine="480" w:firstLineChars="200"/>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2.如对本招标文件有任何疑问或澄清要求，请按本招标文件“投标人须知前附表”中的约定方式联系</w:t>
      </w:r>
      <w:r>
        <w:rPr>
          <w:rFonts w:hint="eastAsia" w:ascii="宋体" w:hAnsi="宋体"/>
          <w:color w:val="000000" w:themeColor="text1"/>
          <w:sz w:val="24"/>
          <w:szCs w:val="28"/>
          <w:lang w:val="en-US" w:eastAsia="zh-CN"/>
          <w14:textFill>
            <w14:solidFill>
              <w14:schemeClr w14:val="tx1"/>
            </w14:solidFill>
          </w14:textFill>
        </w:rPr>
        <w:t>合肥体育产业投资有限公司</w:t>
      </w:r>
      <w:r>
        <w:rPr>
          <w:rFonts w:hint="eastAsia" w:ascii="宋体" w:hAnsi="宋体"/>
          <w:color w:val="000000" w:themeColor="text1"/>
          <w:sz w:val="24"/>
          <w:szCs w:val="28"/>
          <w14:textFill>
            <w14:solidFill>
              <w14:schemeClr w14:val="tx1"/>
            </w14:solidFill>
          </w14:textFill>
        </w:rPr>
        <w:t>，或接受答疑截止时间前联系招标人。否则视同理解和接受。</w:t>
      </w:r>
    </w:p>
    <w:p>
      <w:pPr>
        <w:spacing w:line="360" w:lineRule="auto"/>
        <w:rPr>
          <w:color w:val="000000" w:themeColor="text1"/>
          <w14:textFill>
            <w14:solidFill>
              <w14:schemeClr w14:val="tx1"/>
            </w14:solidFill>
          </w14:textFill>
        </w:rPr>
      </w:pPr>
    </w:p>
    <w:p>
      <w:pPr>
        <w:pStyle w:val="78"/>
        <w:numPr>
          <w:ilvl w:val="0"/>
          <w:numId w:val="6"/>
        </w:numPr>
        <w:spacing w:line="360" w:lineRule="auto"/>
        <w:ind w:firstLineChars="0"/>
        <w:rPr>
          <w:rFonts w:ascii="宋体" w:hAnsi="宋体"/>
          <w:b/>
          <w:color w:val="000000" w:themeColor="text1"/>
          <w:kern w:val="0"/>
          <w:sz w:val="24"/>
          <w:szCs w:val="24"/>
          <w14:textFill>
            <w14:solidFill>
              <w14:schemeClr w14:val="tx1"/>
            </w14:solidFill>
          </w14:textFill>
        </w:rPr>
      </w:pPr>
      <w:r>
        <w:rPr>
          <w:rFonts w:hint="eastAsia" w:ascii="宋体" w:hAnsi="宋体"/>
          <w:b/>
          <w:color w:val="000000" w:themeColor="text1"/>
          <w:kern w:val="0"/>
          <w:sz w:val="24"/>
          <w:szCs w:val="24"/>
          <w14:textFill>
            <w14:solidFill>
              <w14:schemeClr w14:val="tx1"/>
            </w14:solidFill>
          </w14:textFill>
        </w:rPr>
        <w:t>项目简介</w:t>
      </w:r>
    </w:p>
    <w:p>
      <w:pPr>
        <w:pStyle w:val="78"/>
        <w:spacing w:line="360" w:lineRule="auto"/>
        <w:ind w:firstLine="48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合肥体育中心建设标准可承办全国运动会及单项国际赛事的大型公共体育设施场馆，体育中心风格定位为开放式体育公园，是集体育运动和比赛、展览、办公、会议、餐饮、休闲为一体的综合性、智能化建筑体系。</w:t>
      </w:r>
    </w:p>
    <w:p>
      <w:pPr>
        <w:autoSpaceDE w:val="0"/>
        <w:autoSpaceDN w:val="0"/>
        <w:adjustRightInd w:val="0"/>
        <w:spacing w:line="360" w:lineRule="auto"/>
        <w:ind w:firstLine="354" w:firstLineChars="147"/>
        <w:jc w:val="left"/>
        <w:rPr>
          <w:rFonts w:hint="eastAsia" w:ascii="宋体" w:hAnsi="宋体" w:eastAsia="宋体" w:cs="宋体"/>
          <w:b/>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二、招标需求</w:t>
      </w:r>
    </w:p>
    <w:p>
      <w:pPr>
        <w:pStyle w:val="58"/>
        <w:keepNext w:val="0"/>
        <w:keepLines w:val="0"/>
        <w:pageBreakBefore w:val="0"/>
        <w:numPr>
          <w:ilvl w:val="0"/>
          <w:numId w:val="7"/>
        </w:numPr>
        <w:kinsoku/>
        <w:wordWrap/>
        <w:overflowPunct/>
        <w:topLinePunct w:val="0"/>
        <w:autoSpaceDE/>
        <w:autoSpaceDN/>
        <w:bidi w:val="0"/>
        <w:adjustRightInd/>
        <w:snapToGrid/>
        <w:spacing w:line="54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提供对合肥体育中心游泳馆【训练池1650m³、竞赛池3750m³、跳水池3</w:t>
      </w:r>
      <w:r>
        <w:rPr>
          <w:rFonts w:hint="eastAsia" w:ascii="宋体" w:hAnsi="宋体" w:cs="宋体"/>
          <w:color w:val="000000" w:themeColor="text1"/>
          <w:kern w:val="2"/>
          <w:sz w:val="24"/>
          <w:szCs w:val="24"/>
          <w:lang w:val="en-US" w:eastAsia="zh-CN" w:bidi="ar-SA"/>
          <w14:textFill>
            <w14:solidFill>
              <w14:schemeClr w14:val="tx1"/>
            </w14:solidFill>
          </w14:textFill>
        </w:rPr>
        <w:t>1</w:t>
      </w:r>
      <w:r>
        <w:rPr>
          <w:rFonts w:hint="eastAsia" w:ascii="宋体" w:hAnsi="宋体" w:eastAsia="宋体" w:cs="宋体"/>
          <w:color w:val="000000" w:themeColor="text1"/>
          <w:kern w:val="2"/>
          <w:sz w:val="24"/>
          <w:szCs w:val="24"/>
          <w:lang w:val="en-US" w:eastAsia="zh-CN" w:bidi="ar-SA"/>
          <w14:textFill>
            <w14:solidFill>
              <w14:schemeClr w14:val="tx1"/>
            </w14:solidFill>
          </w14:textFill>
        </w:rPr>
        <w:t>50m³（泳池实际容量以现场勘测为准，其中竞赛池或跳水池每年开放时间一般不超过3个月）】和天鹅</w:t>
      </w:r>
      <w:r>
        <w:rPr>
          <w:rFonts w:hint="eastAsia" w:ascii="宋体" w:hAnsi="宋体" w:eastAsia="宋体" w:cs="宋体"/>
          <w:color w:val="auto"/>
          <w:kern w:val="2"/>
          <w:sz w:val="24"/>
          <w:szCs w:val="24"/>
          <w:highlight w:val="none"/>
          <w:lang w:val="en-US" w:eastAsia="zh-CN" w:bidi="ar-SA"/>
        </w:rPr>
        <w:t>湖全民健身中心游泳馆（训练池、戏水池）202</w:t>
      </w:r>
      <w:r>
        <w:rPr>
          <w:rFonts w:hint="eastAsia" w:ascii="宋体" w:hAnsi="宋体"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eastAsia="zh-CN" w:bidi="ar-SA"/>
        </w:rPr>
        <w:t>年度的水处理药剂、水质</w:t>
      </w:r>
      <w:r>
        <w:rPr>
          <w:rFonts w:hint="eastAsia" w:ascii="宋体" w:hAnsi="宋体" w:cs="宋体"/>
          <w:color w:val="auto"/>
          <w:kern w:val="2"/>
          <w:sz w:val="24"/>
          <w:szCs w:val="24"/>
          <w:highlight w:val="none"/>
          <w:lang w:val="en-US" w:eastAsia="zh-CN" w:bidi="ar-SA"/>
        </w:rPr>
        <w:t>检测、养护</w:t>
      </w:r>
      <w:r>
        <w:rPr>
          <w:rFonts w:hint="eastAsia" w:ascii="宋体" w:hAnsi="宋体" w:eastAsia="宋体" w:cs="宋体"/>
          <w:color w:val="auto"/>
          <w:kern w:val="2"/>
          <w:sz w:val="24"/>
          <w:szCs w:val="24"/>
          <w:highlight w:val="none"/>
          <w:lang w:val="en-US" w:eastAsia="zh-CN" w:bidi="ar-SA"/>
        </w:rPr>
        <w:t>服务、自动投药设备的维护</w:t>
      </w:r>
      <w:r>
        <w:rPr>
          <w:rFonts w:hint="eastAsia" w:ascii="宋体" w:hAnsi="宋体" w:cs="宋体"/>
          <w:color w:val="auto"/>
          <w:kern w:val="2"/>
          <w:sz w:val="24"/>
          <w:szCs w:val="24"/>
          <w:highlight w:val="none"/>
          <w:lang w:val="en-US" w:eastAsia="zh-CN" w:bidi="ar-SA"/>
        </w:rPr>
        <w:t>等</w:t>
      </w:r>
      <w:r>
        <w:rPr>
          <w:rFonts w:hint="eastAsia" w:ascii="宋体" w:hAnsi="宋体" w:eastAsia="宋体" w:cs="宋体"/>
          <w:color w:val="auto"/>
          <w:kern w:val="2"/>
          <w:sz w:val="24"/>
          <w:szCs w:val="24"/>
          <w:highlight w:val="none"/>
          <w:lang w:val="en-US" w:eastAsia="zh-CN" w:bidi="ar-SA"/>
        </w:rPr>
        <w:t>（水处理药剂主要包括不限于</w:t>
      </w:r>
      <w:r>
        <w:rPr>
          <w:rFonts w:hint="eastAsia" w:ascii="宋体" w:hAnsi="宋体"/>
          <w:bCs/>
          <w:color w:val="auto"/>
          <w:sz w:val="24"/>
          <w:highlight w:val="none"/>
          <w:lang w:val="en-US" w:eastAsia="zh-CN"/>
        </w:rPr>
        <w:t>次氯酸钠</w:t>
      </w:r>
      <w:r>
        <w:rPr>
          <w:rFonts w:hint="eastAsia" w:ascii="宋体" w:hAnsi="宋体" w:eastAsia="宋体" w:cs="宋体"/>
          <w:color w:val="auto"/>
          <w:kern w:val="2"/>
          <w:sz w:val="24"/>
          <w:szCs w:val="24"/>
          <w:highlight w:val="none"/>
          <w:lang w:val="en-US" w:eastAsia="zh-CN" w:bidi="ar-SA"/>
        </w:rPr>
        <w:t>、杀菌剂、</w:t>
      </w:r>
      <w:r>
        <w:rPr>
          <w:rFonts w:hint="eastAsia" w:ascii="宋体" w:hAnsi="宋体" w:cs="宋体"/>
          <w:color w:val="auto"/>
          <w:kern w:val="2"/>
          <w:sz w:val="24"/>
          <w:szCs w:val="24"/>
          <w:highlight w:val="none"/>
          <w:lang w:val="en-US" w:eastAsia="zh-CN" w:bidi="ar-SA"/>
        </w:rPr>
        <w:t>超级浓缩</w:t>
      </w:r>
      <w:r>
        <w:rPr>
          <w:rFonts w:hint="eastAsia" w:ascii="宋体" w:hAnsi="宋体" w:eastAsia="宋体" w:cs="宋体"/>
          <w:color w:val="auto"/>
          <w:kern w:val="2"/>
          <w:sz w:val="24"/>
          <w:szCs w:val="24"/>
          <w:highlight w:val="none"/>
          <w:lang w:val="en-US" w:eastAsia="zh-CN" w:bidi="ar-SA"/>
        </w:rPr>
        <w:t>澄清剂、除藻剂、</w:t>
      </w:r>
      <w:r>
        <w:rPr>
          <w:rFonts w:hint="eastAsia" w:ascii="宋体" w:hAnsi="宋体" w:cs="宋体"/>
          <w:color w:val="auto"/>
          <w:kern w:val="2"/>
          <w:sz w:val="24"/>
          <w:szCs w:val="24"/>
          <w:highlight w:val="none"/>
          <w:lang w:val="en-US" w:eastAsia="zh-CN" w:bidi="ar-SA"/>
        </w:rPr>
        <w:t>氯</w:t>
      </w:r>
      <w:r>
        <w:rPr>
          <w:rFonts w:hint="eastAsia" w:ascii="宋体" w:hAnsi="宋体" w:eastAsia="宋体" w:cs="宋体"/>
          <w:color w:val="auto"/>
          <w:kern w:val="2"/>
          <w:sz w:val="24"/>
          <w:szCs w:val="24"/>
          <w:highlight w:val="none"/>
          <w:lang w:val="en-US" w:eastAsia="zh-CN" w:bidi="ar-SA"/>
        </w:rPr>
        <w:t>中和剂、PH降低剂、速溶</w:t>
      </w:r>
      <w:r>
        <w:rPr>
          <w:rFonts w:hint="eastAsia" w:ascii="宋体" w:hAnsi="宋体" w:cs="宋体"/>
          <w:color w:val="auto"/>
          <w:kern w:val="2"/>
          <w:sz w:val="24"/>
          <w:szCs w:val="24"/>
          <w:highlight w:val="none"/>
          <w:lang w:val="en-US" w:eastAsia="zh-CN" w:bidi="ar-SA"/>
        </w:rPr>
        <w:t>氯</w:t>
      </w:r>
      <w:r>
        <w:rPr>
          <w:rFonts w:hint="eastAsia" w:ascii="宋体" w:hAnsi="宋体" w:eastAsia="宋体" w:cs="宋体"/>
          <w:color w:val="auto"/>
          <w:kern w:val="2"/>
          <w:sz w:val="24"/>
          <w:szCs w:val="24"/>
          <w:highlight w:val="none"/>
          <w:lang w:val="en-US" w:eastAsia="zh-CN" w:bidi="ar-SA"/>
        </w:rPr>
        <w:t>片等）。</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r>
        <w:rPr>
          <w:rFonts w:hint="eastAsia" w:ascii="宋体" w:hAnsi="宋体" w:cs="宋体"/>
          <w:color w:val="auto"/>
          <w:kern w:val="2"/>
          <w:sz w:val="24"/>
          <w:szCs w:val="24"/>
          <w:highlight w:val="none"/>
          <w:lang w:val="en-US" w:eastAsia="zh-CN" w:bidi="ar-SA"/>
        </w:rPr>
        <w:t>每次药剂送货上门</w:t>
      </w:r>
      <w:r>
        <w:rPr>
          <w:rFonts w:hint="eastAsia" w:ascii="宋体" w:hAnsi="宋体" w:eastAsia="宋体" w:cs="宋体"/>
          <w:color w:val="auto"/>
          <w:kern w:val="2"/>
          <w:sz w:val="24"/>
          <w:szCs w:val="24"/>
          <w:highlight w:val="none"/>
          <w:lang w:val="en-US" w:eastAsia="zh-CN" w:bidi="ar-SA"/>
        </w:rPr>
        <w:t>提供供货清单，</w:t>
      </w:r>
      <w:r>
        <w:rPr>
          <w:rFonts w:hint="eastAsia" w:ascii="宋体" w:hAnsi="宋体" w:cs="宋体"/>
          <w:color w:val="auto"/>
          <w:kern w:val="2"/>
          <w:sz w:val="24"/>
          <w:szCs w:val="24"/>
          <w:highlight w:val="none"/>
          <w:lang w:val="en-US" w:eastAsia="zh-CN" w:bidi="ar-SA"/>
        </w:rPr>
        <w:t>产品合格证，检验报告等，</w:t>
      </w:r>
      <w:r>
        <w:rPr>
          <w:rFonts w:hint="eastAsia" w:ascii="宋体" w:hAnsi="宋体" w:eastAsia="宋体" w:cs="宋体"/>
          <w:color w:val="auto"/>
          <w:kern w:val="2"/>
          <w:sz w:val="24"/>
          <w:szCs w:val="24"/>
          <w:highlight w:val="none"/>
          <w:lang w:val="en-US" w:eastAsia="zh-CN" w:bidi="ar-SA"/>
        </w:rPr>
        <w:t>并由专人签字确认保管。</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3、专人</w:t>
      </w:r>
      <w:r>
        <w:rPr>
          <w:rFonts w:hint="eastAsia" w:ascii="宋体" w:hAnsi="宋体" w:cs="宋体"/>
          <w:color w:val="auto"/>
          <w:kern w:val="2"/>
          <w:sz w:val="24"/>
          <w:szCs w:val="24"/>
          <w:highlight w:val="none"/>
          <w:lang w:val="en-US" w:eastAsia="zh-CN" w:bidi="ar-SA"/>
        </w:rPr>
        <w:t>定期</w:t>
      </w:r>
      <w:r>
        <w:rPr>
          <w:rFonts w:hint="eastAsia" w:ascii="宋体" w:hAnsi="宋体" w:eastAsia="宋体" w:cs="宋体"/>
          <w:color w:val="auto"/>
          <w:kern w:val="2"/>
          <w:sz w:val="24"/>
          <w:szCs w:val="24"/>
          <w:highlight w:val="none"/>
          <w:lang w:val="en-US" w:eastAsia="zh-CN" w:bidi="ar-SA"/>
        </w:rPr>
        <w:t>服务，定期提供游泳馆水质检测</w:t>
      </w:r>
      <w:r>
        <w:rPr>
          <w:rFonts w:hint="eastAsia" w:ascii="宋体" w:hAnsi="宋体" w:cs="宋体"/>
          <w:color w:val="auto"/>
          <w:kern w:val="2"/>
          <w:sz w:val="24"/>
          <w:szCs w:val="24"/>
          <w:highlight w:val="none"/>
          <w:lang w:val="en-US" w:eastAsia="zh-CN" w:bidi="ar-SA"/>
        </w:rPr>
        <w:t>并出具</w:t>
      </w:r>
      <w:r>
        <w:rPr>
          <w:rFonts w:hint="eastAsia" w:ascii="宋体" w:hAnsi="宋体" w:eastAsia="宋体" w:cs="宋体"/>
          <w:color w:val="auto"/>
          <w:kern w:val="2"/>
          <w:sz w:val="24"/>
          <w:szCs w:val="24"/>
          <w:highlight w:val="none"/>
          <w:lang w:val="en-US" w:eastAsia="zh-CN" w:bidi="ar-SA"/>
        </w:rPr>
        <w:t>分析工作报告（一周一次），对水质不合格情况</w:t>
      </w:r>
      <w:r>
        <w:rPr>
          <w:rFonts w:hint="eastAsia" w:ascii="宋体" w:hAnsi="宋体" w:cs="宋体"/>
          <w:color w:val="auto"/>
          <w:kern w:val="2"/>
          <w:sz w:val="24"/>
          <w:szCs w:val="24"/>
          <w:highlight w:val="none"/>
          <w:lang w:val="en-US" w:eastAsia="zh-CN" w:bidi="ar-SA"/>
        </w:rPr>
        <w:t>立即进行</w:t>
      </w:r>
      <w:r>
        <w:rPr>
          <w:rFonts w:hint="eastAsia" w:ascii="宋体" w:hAnsi="宋体" w:eastAsia="宋体" w:cs="宋体"/>
          <w:color w:val="auto"/>
          <w:kern w:val="2"/>
          <w:sz w:val="24"/>
          <w:szCs w:val="24"/>
          <w:highlight w:val="none"/>
          <w:lang w:val="en-US" w:eastAsia="zh-CN" w:bidi="ar-SA"/>
        </w:rPr>
        <w:t>整改；</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w:t>
      </w:r>
      <w:bookmarkStart w:id="63" w:name="_Hlk97909431"/>
      <w:r>
        <w:rPr>
          <w:rFonts w:hint="eastAsia" w:ascii="宋体" w:hAnsi="宋体" w:eastAsia="宋体" w:cs="宋体"/>
          <w:color w:val="auto"/>
          <w:kern w:val="2"/>
          <w:sz w:val="24"/>
          <w:szCs w:val="24"/>
          <w:highlight w:val="none"/>
          <w:lang w:val="en-US" w:eastAsia="zh-CN" w:bidi="ar-SA"/>
        </w:rPr>
        <w:t>负责游泳馆自动投药设备维护、维修及水质相关问题的处理工作</w:t>
      </w:r>
      <w:bookmarkEnd w:id="63"/>
      <w:r>
        <w:rPr>
          <w:rFonts w:hint="eastAsia" w:ascii="宋体" w:hAnsi="宋体" w:eastAsia="宋体" w:cs="宋体"/>
          <w:color w:val="auto"/>
          <w:kern w:val="2"/>
          <w:sz w:val="24"/>
          <w:szCs w:val="24"/>
          <w:highlight w:val="none"/>
          <w:lang w:val="en-US" w:eastAsia="zh-CN" w:bidi="ar-SA"/>
        </w:rPr>
        <w:t>，提供有效处理方案；</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5、协助卫生主管部门对游泳馆水质检查准备工作，并承担因水质处理不达标的行政处罚责任；</w:t>
      </w:r>
    </w:p>
    <w:p>
      <w:pPr>
        <w:pStyle w:val="2"/>
        <w:ind w:left="0" w:leftChars="0"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6、负责对游泳馆水质管理员进行专业技术培训，及日常工作对接、配合；</w:t>
      </w:r>
    </w:p>
    <w:p>
      <w:pPr>
        <w:pStyle w:val="58"/>
        <w:keepNext w:val="0"/>
        <w:keepLines w:val="0"/>
        <w:pageBreakBefore w:val="0"/>
        <w:numPr>
          <w:ilvl w:val="0"/>
          <w:numId w:val="0"/>
        </w:numPr>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7</w:t>
      </w:r>
      <w:r>
        <w:rPr>
          <w:rFonts w:hint="eastAsia" w:ascii="宋体" w:hAnsi="宋体" w:eastAsia="宋体" w:cs="宋体"/>
          <w:color w:val="auto"/>
          <w:kern w:val="2"/>
          <w:sz w:val="24"/>
          <w:szCs w:val="24"/>
          <w:highlight w:val="none"/>
          <w:lang w:val="en-US" w:eastAsia="zh-CN" w:bidi="ar-SA"/>
        </w:rPr>
        <w:t>、配合参与其它与游泳馆水质</w:t>
      </w:r>
      <w:r>
        <w:rPr>
          <w:rFonts w:hint="eastAsia" w:ascii="宋体" w:hAnsi="宋体" w:cs="宋体"/>
          <w:color w:val="auto"/>
          <w:kern w:val="2"/>
          <w:sz w:val="24"/>
          <w:szCs w:val="24"/>
          <w:highlight w:val="none"/>
          <w:lang w:val="en-US" w:eastAsia="zh-CN" w:bidi="ar-SA"/>
        </w:rPr>
        <w:t>检测养护等</w:t>
      </w:r>
      <w:r>
        <w:rPr>
          <w:rFonts w:hint="eastAsia" w:ascii="宋体" w:hAnsi="宋体" w:eastAsia="宋体" w:cs="宋体"/>
          <w:color w:val="auto"/>
          <w:kern w:val="2"/>
          <w:sz w:val="24"/>
          <w:szCs w:val="24"/>
          <w:highlight w:val="none"/>
          <w:lang w:val="en-US" w:eastAsia="zh-CN" w:bidi="ar-SA"/>
        </w:rPr>
        <w:t>相关工作。</w:t>
      </w:r>
    </w:p>
    <w:p>
      <w:pPr>
        <w:spacing w:line="360" w:lineRule="auto"/>
        <w:rPr>
          <w:rFonts w:ascii="宋体" w:hAnsi="宋体"/>
          <w:b/>
          <w:color w:val="000000" w:themeColor="text1"/>
          <w:kern w:val="0"/>
          <w:sz w:val="24"/>
          <w:szCs w:val="24"/>
          <w14:textFill>
            <w14:solidFill>
              <w14:schemeClr w14:val="tx1"/>
            </w14:solidFill>
          </w14:textFill>
        </w:rPr>
      </w:pPr>
    </w:p>
    <w:p>
      <w:pPr>
        <w:spacing w:line="360" w:lineRule="auto"/>
        <w:rPr>
          <w:rFonts w:hint="default"/>
          <w:lang w:val="en-US"/>
        </w:rPr>
      </w:pPr>
      <w:r>
        <w:rPr>
          <w:rFonts w:hint="eastAsia" w:ascii="宋体" w:hAnsi="宋体"/>
          <w:b/>
          <w:color w:val="000000" w:themeColor="text1"/>
          <w:kern w:val="0"/>
          <w:sz w:val="24"/>
          <w:szCs w:val="24"/>
          <w14:textFill>
            <w14:solidFill>
              <w14:schemeClr w14:val="tx1"/>
            </w14:solidFill>
          </w14:textFill>
        </w:rPr>
        <w:t>三、游泳池药剂项目清单</w:t>
      </w:r>
    </w:p>
    <w:tbl>
      <w:tblPr>
        <w:tblStyle w:val="50"/>
        <w:tblW w:w="9520" w:type="dxa"/>
        <w:tblInd w:w="-34" w:type="dxa"/>
        <w:tblLayout w:type="fixed"/>
        <w:tblCellMar>
          <w:top w:w="0" w:type="dxa"/>
          <w:left w:w="108" w:type="dxa"/>
          <w:bottom w:w="0" w:type="dxa"/>
          <w:right w:w="108" w:type="dxa"/>
        </w:tblCellMar>
      </w:tblPr>
      <w:tblGrid>
        <w:gridCol w:w="720"/>
        <w:gridCol w:w="1334"/>
        <w:gridCol w:w="2233"/>
        <w:gridCol w:w="1333"/>
        <w:gridCol w:w="1300"/>
        <w:gridCol w:w="1300"/>
        <w:gridCol w:w="1300"/>
      </w:tblGrid>
      <w:tr>
        <w:tblPrEx>
          <w:tblCellMar>
            <w:top w:w="0" w:type="dxa"/>
            <w:left w:w="108" w:type="dxa"/>
            <w:bottom w:w="0" w:type="dxa"/>
            <w:right w:w="108" w:type="dxa"/>
          </w:tblCellMar>
        </w:tblPrEx>
        <w:trPr>
          <w:trHeight w:val="499" w:hRule="atLeast"/>
        </w:trPr>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序号</w:t>
            </w:r>
          </w:p>
        </w:tc>
        <w:tc>
          <w:tcPr>
            <w:tcW w:w="133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图片</w:t>
            </w:r>
          </w:p>
        </w:tc>
        <w:tc>
          <w:tcPr>
            <w:tcW w:w="2233"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名称</w:t>
            </w:r>
          </w:p>
        </w:tc>
        <w:tc>
          <w:tcPr>
            <w:tcW w:w="1333"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规格</w:t>
            </w:r>
          </w:p>
        </w:tc>
        <w:tc>
          <w:tcPr>
            <w:tcW w:w="130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xml:space="preserve"> </w:t>
            </w:r>
            <w:r>
              <w:rPr>
                <w:rFonts w:hint="eastAsia" w:ascii="宋体" w:hAnsi="宋体" w:cs="宋体"/>
                <w:color w:val="000000" w:themeColor="text1"/>
                <w:kern w:val="0"/>
                <w:sz w:val="22"/>
                <w:lang w:val="en-US" w:eastAsia="zh-CN"/>
                <w14:textFill>
                  <w14:solidFill>
                    <w14:schemeClr w14:val="tx1"/>
                  </w14:solidFill>
                </w14:textFill>
              </w:rPr>
              <w:t xml:space="preserve">   数量</w:t>
            </w:r>
          </w:p>
        </w:tc>
        <w:tc>
          <w:tcPr>
            <w:tcW w:w="130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单价</w:t>
            </w:r>
          </w:p>
        </w:tc>
        <w:tc>
          <w:tcPr>
            <w:tcW w:w="130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小计</w:t>
            </w:r>
          </w:p>
        </w:tc>
      </w:tr>
      <w:tr>
        <w:tblPrEx>
          <w:tblCellMar>
            <w:top w:w="0" w:type="dxa"/>
            <w:left w:w="108" w:type="dxa"/>
            <w:bottom w:w="0" w:type="dxa"/>
            <w:right w:w="108" w:type="dxa"/>
          </w:tblCellMar>
        </w:tblPrEx>
        <w:trPr>
          <w:trHeight w:val="822"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drawing>
                <wp:inline distT="0" distB="0" distL="114300" distR="114300">
                  <wp:extent cx="507365" cy="666750"/>
                  <wp:effectExtent l="0" t="0" r="635"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8"/>
                          <a:stretch>
                            <a:fillRect/>
                          </a:stretch>
                        </pic:blipFill>
                        <pic:spPr>
                          <a:xfrm>
                            <a:off x="0" y="0"/>
                            <a:ext cx="507365" cy="666750"/>
                          </a:xfrm>
                          <a:prstGeom prst="rect">
                            <a:avLst/>
                          </a:prstGeom>
                          <a:noFill/>
                          <a:ln w="9525">
                            <a:noFill/>
                          </a:ln>
                        </pic:spPr>
                      </pic:pic>
                    </a:graphicData>
                  </a:graphic>
                </wp:inline>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highlight w:val="none"/>
                <w:lang w:val="en-US" w:eastAsia="zh-CN"/>
                <w14:textFill>
                  <w14:solidFill>
                    <w14:schemeClr w14:val="tx1"/>
                  </w14:solidFill>
                </w14:textFill>
              </w:rPr>
            </w:pPr>
            <w:r>
              <w:rPr>
                <w:rFonts w:hint="eastAsia" w:ascii="宋体" w:hAnsi="宋体" w:cs="宋体"/>
                <w:color w:val="000000" w:themeColor="text1"/>
                <w:kern w:val="0"/>
                <w:sz w:val="22"/>
                <w:highlight w:val="none"/>
                <w:lang w:val="en-US" w:eastAsia="zh-CN"/>
                <w14:textFill>
                  <w14:solidFill>
                    <w14:schemeClr w14:val="tx1"/>
                  </w14:solidFill>
                </w14:textFill>
              </w:rPr>
              <w:t>速溶氯片</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50KG/桶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834"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0288" behindDoc="0" locked="0" layoutInCell="1" allowOverlap="1">
                  <wp:simplePos x="0" y="0"/>
                  <wp:positionH relativeFrom="column">
                    <wp:posOffset>142875</wp:posOffset>
                  </wp:positionH>
                  <wp:positionV relativeFrom="paragraph">
                    <wp:posOffset>40005</wp:posOffset>
                  </wp:positionV>
                  <wp:extent cx="443865" cy="418465"/>
                  <wp:effectExtent l="0" t="0" r="635" b="635"/>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stretch>
                            <a:fillRect/>
                          </a:stretch>
                        </pic:blipFill>
                        <pic:spPr>
                          <a:xfrm>
                            <a:off x="0" y="0"/>
                            <a:ext cx="443865" cy="418465"/>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highlight w:val="none"/>
                <w14:textFill>
                  <w14:solidFill>
                    <w14:schemeClr w14:val="tx1"/>
                  </w14:solidFill>
                </w14:textFill>
              </w:rPr>
            </w:pPr>
            <w:r>
              <w:rPr>
                <w:rFonts w:hint="eastAsia" w:ascii="宋体" w:hAnsi="宋体" w:cs="宋体"/>
                <w:color w:val="000000" w:themeColor="text1"/>
                <w:kern w:val="0"/>
                <w:sz w:val="22"/>
                <w:highlight w:val="none"/>
                <w14:textFill>
                  <w14:solidFill>
                    <w14:schemeClr w14:val="tx1"/>
                  </w14:solidFill>
                </w14:textFill>
              </w:rPr>
              <w:t>次氯酸钠--液体</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25KG/桶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1400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764"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宋体" w:hAnsi="宋体" w:cs="宋体" w:eastAsiaTheme="minorEastAsia"/>
                <w:color w:val="000000" w:themeColor="text1"/>
                <w:kern w:val="0"/>
                <w:sz w:val="22"/>
                <w:lang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3</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1312" behindDoc="0" locked="0" layoutInCell="1" allowOverlap="1">
                  <wp:simplePos x="0" y="0"/>
                  <wp:positionH relativeFrom="column">
                    <wp:posOffset>91440</wp:posOffset>
                  </wp:positionH>
                  <wp:positionV relativeFrom="paragraph">
                    <wp:posOffset>65405</wp:posOffset>
                  </wp:positionV>
                  <wp:extent cx="495300" cy="367030"/>
                  <wp:effectExtent l="0" t="0" r="0" b="127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0"/>
                          <a:stretch>
                            <a:fillRect/>
                          </a:stretch>
                        </pic:blipFill>
                        <pic:spPr>
                          <a:xfrm>
                            <a:off x="0" y="0"/>
                            <a:ext cx="495300" cy="367030"/>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highlight w:val="none"/>
                <w14:textFill>
                  <w14:solidFill>
                    <w14:schemeClr w14:val="tx1"/>
                  </w14:solidFill>
                </w14:textFill>
              </w:rPr>
            </w:pPr>
            <w:r>
              <w:rPr>
                <w:rFonts w:hint="eastAsia" w:ascii="宋体" w:hAnsi="宋体" w:cs="宋体"/>
                <w:color w:val="000000" w:themeColor="text1"/>
                <w:kern w:val="0"/>
                <w:sz w:val="22"/>
                <w:highlight w:val="none"/>
                <w14:textFill>
                  <w14:solidFill>
                    <w14:schemeClr w14:val="tx1"/>
                  </w14:solidFill>
                </w14:textFill>
              </w:rPr>
              <w:t>PH降低剂（酸性）</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25KG/桶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120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866"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宋体" w:hAnsi="宋体" w:cs="宋体" w:eastAsiaTheme="minorEastAsia"/>
                <w:color w:val="000000" w:themeColor="text1"/>
                <w:kern w:val="0"/>
                <w:sz w:val="22"/>
                <w:lang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4</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4384" behindDoc="0" locked="0" layoutInCell="1" allowOverlap="1">
                  <wp:simplePos x="0" y="0"/>
                  <wp:positionH relativeFrom="column">
                    <wp:posOffset>26035</wp:posOffset>
                  </wp:positionH>
                  <wp:positionV relativeFrom="paragraph">
                    <wp:posOffset>144780</wp:posOffset>
                  </wp:positionV>
                  <wp:extent cx="611505" cy="367030"/>
                  <wp:effectExtent l="0" t="0" r="10795" b="1270"/>
                  <wp:wrapNone/>
                  <wp:docPr id="3" name="图片 3" descr="臭氧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臭氧粉.jpg"/>
                          <pic:cNvPicPr>
                            <a:picLocks noChangeAspect="1"/>
                          </pic:cNvPicPr>
                        </pic:nvPicPr>
                        <pic:blipFill>
                          <a:blip r:embed="rId11"/>
                          <a:stretch>
                            <a:fillRect/>
                          </a:stretch>
                        </pic:blipFill>
                        <pic:spPr>
                          <a:xfrm>
                            <a:off x="0" y="0"/>
                            <a:ext cx="611505" cy="367030"/>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highlight w:val="none"/>
                <w14:textFill>
                  <w14:solidFill>
                    <w14:schemeClr w14:val="tx1"/>
                  </w14:solidFill>
                </w14:textFill>
              </w:rPr>
            </w:pPr>
            <w:r>
              <w:rPr>
                <w:rFonts w:hint="eastAsia" w:ascii="宋体" w:hAnsi="宋体" w:cs="宋体"/>
                <w:color w:val="000000" w:themeColor="text1"/>
                <w:kern w:val="0"/>
                <w:sz w:val="22"/>
                <w:highlight w:val="none"/>
                <w14:textFill>
                  <w14:solidFill>
                    <w14:schemeClr w14:val="tx1"/>
                  </w14:solidFill>
                </w14:textFill>
              </w:rPr>
              <w:t>臭氧粉</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20KG/桶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688"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宋体" w:hAnsi="宋体" w:cs="宋体" w:eastAsiaTheme="minorEastAsia"/>
                <w:color w:val="000000" w:themeColor="text1"/>
                <w:kern w:val="0"/>
                <w:sz w:val="22"/>
                <w:lang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5</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2336" behindDoc="0" locked="0" layoutInCell="1" allowOverlap="1">
                  <wp:simplePos x="0" y="0"/>
                  <wp:positionH relativeFrom="column">
                    <wp:posOffset>-36195</wp:posOffset>
                  </wp:positionH>
                  <wp:positionV relativeFrom="paragraph">
                    <wp:posOffset>70485</wp:posOffset>
                  </wp:positionV>
                  <wp:extent cx="641985" cy="353695"/>
                  <wp:effectExtent l="0" t="0" r="5715" b="1905"/>
                  <wp:wrapNone/>
                  <wp:docPr id="4" name="图片 4" descr="超级浓缩澄清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超级浓缩澄清剂.jpg"/>
                          <pic:cNvPicPr>
                            <a:picLocks noChangeAspect="1"/>
                          </pic:cNvPicPr>
                        </pic:nvPicPr>
                        <pic:blipFill>
                          <a:blip r:embed="rId12"/>
                          <a:stretch>
                            <a:fillRect/>
                          </a:stretch>
                        </pic:blipFill>
                        <pic:spPr>
                          <a:xfrm>
                            <a:off x="0" y="0"/>
                            <a:ext cx="641985" cy="353695"/>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highlight w:val="none"/>
                <w14:textFill>
                  <w14:solidFill>
                    <w14:schemeClr w14:val="tx1"/>
                  </w14:solidFill>
                </w14:textFill>
              </w:rPr>
            </w:pPr>
            <w:r>
              <w:rPr>
                <w:rFonts w:hint="eastAsia" w:ascii="宋体" w:hAnsi="宋体" w:cs="宋体"/>
                <w:color w:val="000000" w:themeColor="text1"/>
                <w:kern w:val="0"/>
                <w:sz w:val="22"/>
                <w:highlight w:val="none"/>
                <w14:textFill>
                  <w14:solidFill>
                    <w14:schemeClr w14:val="tx1"/>
                  </w14:solidFill>
                </w14:textFill>
              </w:rPr>
              <w:t>超级浓缩澄清剂</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1KG/瓶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350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698"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宋体" w:hAnsi="宋体" w:cs="宋体" w:eastAsiaTheme="minorEastAsia"/>
                <w:color w:val="000000" w:themeColor="text1"/>
                <w:kern w:val="0"/>
                <w:sz w:val="22"/>
                <w:lang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6</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3360" behindDoc="0" locked="0" layoutInCell="1" allowOverlap="1">
                  <wp:simplePos x="0" y="0"/>
                  <wp:positionH relativeFrom="column">
                    <wp:posOffset>-5715</wp:posOffset>
                  </wp:positionH>
                  <wp:positionV relativeFrom="paragraph">
                    <wp:posOffset>63500</wp:posOffset>
                  </wp:positionV>
                  <wp:extent cx="591185" cy="373380"/>
                  <wp:effectExtent l="0" t="0" r="5715" b="7620"/>
                  <wp:wrapNone/>
                  <wp:docPr id="2" name="图片 2" descr="C:\Documents and Settings\admin\Application Data\Tencent\Users\971476026\QQ\WinTemp\RichOle\LCQ}U937BR{2LD%AC~[2N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Documents and Settings\admin\Application Data\Tencent\Users\971476026\QQ\WinTemp\RichOle\LCQ}U937BR{2LD%AC~[2N69.jpg"/>
                          <pic:cNvPicPr>
                            <a:picLocks noChangeAspect="1"/>
                          </pic:cNvPicPr>
                        </pic:nvPicPr>
                        <pic:blipFill>
                          <a:blip r:embed="rId13"/>
                          <a:stretch>
                            <a:fillRect/>
                          </a:stretch>
                        </pic:blipFill>
                        <pic:spPr>
                          <a:xfrm>
                            <a:off x="0" y="0"/>
                            <a:ext cx="591185" cy="373380"/>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highlight w:val="none"/>
                <w14:textFill>
                  <w14:solidFill>
                    <w14:schemeClr w14:val="tx1"/>
                  </w14:solidFill>
                </w14:textFill>
              </w:rPr>
            </w:pPr>
            <w:r>
              <w:rPr>
                <w:rFonts w:hint="eastAsia" w:ascii="宋体" w:hAnsi="宋体" w:cs="宋体"/>
                <w:color w:val="000000" w:themeColor="text1"/>
                <w:kern w:val="0"/>
                <w:sz w:val="22"/>
                <w:highlight w:val="none"/>
                <w14:textFill>
                  <w14:solidFill>
                    <w14:schemeClr w14:val="tx1"/>
                  </w14:solidFill>
                </w14:textFill>
              </w:rPr>
              <w:t>氯中和剂</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1KG/瓶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75</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708"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宋体" w:hAnsi="宋体" w:cs="宋体" w:eastAsiaTheme="minorEastAsia"/>
                <w:color w:val="000000" w:themeColor="text1"/>
                <w:kern w:val="0"/>
                <w:sz w:val="22"/>
                <w:lang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7</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5408" behindDoc="0" locked="0" layoutInCell="1" allowOverlap="1">
                  <wp:simplePos x="0" y="0"/>
                  <wp:positionH relativeFrom="column">
                    <wp:posOffset>97155</wp:posOffset>
                  </wp:positionH>
                  <wp:positionV relativeFrom="paragraph">
                    <wp:posOffset>13970</wp:posOffset>
                  </wp:positionV>
                  <wp:extent cx="466725" cy="443865"/>
                  <wp:effectExtent l="0" t="0" r="3175" b="635"/>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a:stretch>
                            <a:fillRect/>
                          </a:stretch>
                        </pic:blipFill>
                        <pic:spPr>
                          <a:xfrm>
                            <a:off x="0" y="0"/>
                            <a:ext cx="466725" cy="443865"/>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highlight w:val="none"/>
                <w14:textFill>
                  <w14:solidFill>
                    <w14:schemeClr w14:val="tx1"/>
                  </w14:solidFill>
                </w14:textFill>
              </w:rPr>
            </w:pPr>
            <w:r>
              <w:rPr>
                <w:rFonts w:hint="eastAsia" w:ascii="宋体" w:hAnsi="宋体" w:cs="宋体"/>
                <w:color w:val="000000" w:themeColor="text1"/>
                <w:kern w:val="0"/>
                <w:sz w:val="22"/>
                <w:highlight w:val="none"/>
                <w14:textFill>
                  <w14:solidFill>
                    <w14:schemeClr w14:val="tx1"/>
                  </w14:solidFill>
                </w14:textFill>
              </w:rPr>
              <w:t>除藻剂</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1KG/瓶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100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705"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宋体" w:hAnsi="宋体" w:cs="宋体" w:eastAsiaTheme="minorEastAsia"/>
                <w:color w:val="000000" w:themeColor="text1"/>
                <w:kern w:val="0"/>
                <w:sz w:val="22"/>
                <w:lang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8</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6432" behindDoc="0" locked="0" layoutInCell="1" allowOverlap="1">
                  <wp:simplePos x="0" y="0"/>
                  <wp:positionH relativeFrom="column">
                    <wp:posOffset>98425</wp:posOffset>
                  </wp:positionH>
                  <wp:positionV relativeFrom="paragraph">
                    <wp:posOffset>26035</wp:posOffset>
                  </wp:positionV>
                  <wp:extent cx="384810" cy="418465"/>
                  <wp:effectExtent l="0" t="0" r="8890" b="635"/>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5"/>
                          <a:stretch>
                            <a:fillRect/>
                          </a:stretch>
                        </pic:blipFill>
                        <pic:spPr>
                          <a:xfrm>
                            <a:off x="0" y="0"/>
                            <a:ext cx="384810" cy="418465"/>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highlight w:val="none"/>
                <w14:textFill>
                  <w14:solidFill>
                    <w14:schemeClr w14:val="tx1"/>
                  </w14:solidFill>
                </w14:textFill>
              </w:rPr>
            </w:pPr>
            <w:r>
              <w:rPr>
                <w:rFonts w:hint="eastAsia" w:ascii="宋体" w:hAnsi="宋体" w:cs="宋体"/>
                <w:color w:val="000000" w:themeColor="text1"/>
                <w:kern w:val="0"/>
                <w:sz w:val="22"/>
                <w:highlight w:val="none"/>
                <w14:textFill>
                  <w14:solidFill>
                    <w14:schemeClr w14:val="tx1"/>
                  </w14:solidFill>
                </w14:textFill>
              </w:rPr>
              <w:t>尿素去除剂</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1KG/瓶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100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804"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宋体" w:hAnsi="宋体" w:cs="宋体" w:eastAsiaTheme="minorEastAsia"/>
                <w:color w:val="000000" w:themeColor="text1"/>
                <w:kern w:val="0"/>
                <w:sz w:val="22"/>
                <w:lang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9</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7456" behindDoc="0" locked="0" layoutInCell="1" allowOverlap="1">
                  <wp:simplePos x="0" y="0"/>
                  <wp:positionH relativeFrom="column">
                    <wp:posOffset>100965</wp:posOffset>
                  </wp:positionH>
                  <wp:positionV relativeFrom="paragraph">
                    <wp:posOffset>100965</wp:posOffset>
                  </wp:positionV>
                  <wp:extent cx="494665" cy="353695"/>
                  <wp:effectExtent l="0" t="0" r="635" b="1905"/>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a:stretch>
                            <a:fillRect/>
                          </a:stretch>
                        </pic:blipFill>
                        <pic:spPr>
                          <a:xfrm>
                            <a:off x="0" y="0"/>
                            <a:ext cx="494665" cy="353695"/>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highlight w:val="none"/>
                <w14:textFill>
                  <w14:solidFill>
                    <w14:schemeClr w14:val="tx1"/>
                  </w14:solidFill>
                </w14:textFill>
              </w:rPr>
            </w:pPr>
            <w:r>
              <w:rPr>
                <w:rFonts w:hint="eastAsia" w:ascii="宋体" w:hAnsi="宋体" w:cs="宋体"/>
                <w:color w:val="000000" w:themeColor="text1"/>
                <w:kern w:val="0"/>
                <w:sz w:val="22"/>
                <w:highlight w:val="none"/>
                <w14:textFill>
                  <w14:solidFill>
                    <w14:schemeClr w14:val="tx1"/>
                  </w14:solidFill>
                </w14:textFill>
              </w:rPr>
              <w:t>百灵达测试药片</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250片/盒</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15</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713"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宋体" w:hAnsi="宋体" w:cs="宋体" w:eastAsiaTheme="minorEastAsia"/>
                <w:color w:val="000000" w:themeColor="text1"/>
                <w:kern w:val="0"/>
                <w:sz w:val="22"/>
                <w:lang w:eastAsia="zh-CN"/>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w:t>
            </w:r>
            <w:r>
              <w:rPr>
                <w:rFonts w:hint="eastAsia" w:ascii="宋体" w:hAnsi="宋体" w:cs="宋体"/>
                <w:color w:val="000000" w:themeColor="text1"/>
                <w:kern w:val="0"/>
                <w:sz w:val="22"/>
                <w:lang w:val="en-US" w:eastAsia="zh-CN"/>
                <w14:textFill>
                  <w14:solidFill>
                    <w14:schemeClr w14:val="tx1"/>
                  </w14:solidFill>
                </w14:textFill>
              </w:rPr>
              <w:t>0</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8480" behindDoc="0" locked="0" layoutInCell="1" allowOverlap="1">
                  <wp:simplePos x="0" y="0"/>
                  <wp:positionH relativeFrom="column">
                    <wp:posOffset>50165</wp:posOffset>
                  </wp:positionH>
                  <wp:positionV relativeFrom="paragraph">
                    <wp:posOffset>48260</wp:posOffset>
                  </wp:positionV>
                  <wp:extent cx="598805" cy="392430"/>
                  <wp:effectExtent l="0" t="0" r="10795" b="127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a:stretch>
                            <a:fillRect/>
                          </a:stretch>
                        </pic:blipFill>
                        <pic:spPr>
                          <a:xfrm>
                            <a:off x="0" y="0"/>
                            <a:ext cx="598805" cy="392430"/>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highlight w:val="none"/>
                <w14:textFill>
                  <w14:solidFill>
                    <w14:schemeClr w14:val="tx1"/>
                  </w14:solidFill>
                </w14:textFill>
              </w:rPr>
            </w:pPr>
            <w:r>
              <w:rPr>
                <w:rFonts w:hint="eastAsia" w:ascii="宋体" w:hAnsi="宋体" w:cs="宋体"/>
                <w:color w:val="000000" w:themeColor="text1"/>
                <w:kern w:val="0"/>
                <w:sz w:val="22"/>
                <w:highlight w:val="none"/>
                <w14:textFill>
                  <w14:solidFill>
                    <w14:schemeClr w14:val="tx1"/>
                  </w14:solidFill>
                </w14:textFill>
              </w:rPr>
              <w:t>彩虹二合一测试盒</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余氯、PH值</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768" w:hRule="atLeast"/>
        </w:trPr>
        <w:tc>
          <w:tcPr>
            <w:tcW w:w="720" w:type="dxa"/>
            <w:tcBorders>
              <w:top w:val="nil"/>
              <w:left w:val="single" w:color="auto" w:sz="4" w:space="0"/>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宋体" w:hAnsi="宋体" w:cs="宋体" w:eastAsiaTheme="minorEastAsia"/>
                <w:color w:val="000000" w:themeColor="text1"/>
                <w:kern w:val="0"/>
                <w:sz w:val="22"/>
                <w:lang w:eastAsia="zh-CN"/>
                <w14:textFill>
                  <w14:solidFill>
                    <w14:schemeClr w14:val="tx1"/>
                  </w14:solidFill>
                </w14:textFill>
              </w:rPr>
            </w:pPr>
            <w:r>
              <w:rPr>
                <w:rFonts w:ascii="宋体" w:hAnsi="宋体" w:cs="宋体"/>
                <w:color w:val="000000" w:themeColor="text1"/>
                <w:kern w:val="0"/>
                <w:sz w:val="22"/>
                <w14:textFill>
                  <w14:solidFill>
                    <w14:schemeClr w14:val="tx1"/>
                  </w14:solidFill>
                </w14:textFill>
              </w:rPr>
              <w:t>1</w:t>
            </w:r>
            <w:r>
              <w:rPr>
                <w:rFonts w:hint="eastAsia" w:ascii="宋体" w:hAnsi="宋体" w:cs="宋体"/>
                <w:color w:val="000000" w:themeColor="text1"/>
                <w:kern w:val="0"/>
                <w:sz w:val="22"/>
                <w:lang w:val="en-US" w:eastAsia="zh-CN"/>
                <w14:textFill>
                  <w14:solidFill>
                    <w14:schemeClr w14:val="tx1"/>
                  </w14:solidFill>
                </w14:textFill>
              </w:rPr>
              <w:t>1</w:t>
            </w:r>
          </w:p>
        </w:tc>
        <w:tc>
          <w:tcPr>
            <w:tcW w:w="1334"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70528" behindDoc="0" locked="0" layoutInCell="1" allowOverlap="1">
                  <wp:simplePos x="0" y="0"/>
                  <wp:positionH relativeFrom="column">
                    <wp:posOffset>431800</wp:posOffset>
                  </wp:positionH>
                  <wp:positionV relativeFrom="paragraph">
                    <wp:posOffset>125730</wp:posOffset>
                  </wp:positionV>
                  <wp:extent cx="276860" cy="353695"/>
                  <wp:effectExtent l="0" t="0" r="2540" b="1905"/>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8"/>
                          <a:stretch>
                            <a:fillRect/>
                          </a:stretch>
                        </pic:blipFill>
                        <pic:spPr>
                          <a:xfrm>
                            <a:off x="0" y="0"/>
                            <a:ext cx="276860" cy="353695"/>
                          </a:xfrm>
                          <a:prstGeom prst="rect">
                            <a:avLst/>
                          </a:prstGeom>
                          <a:noFill/>
                          <a:ln w="9525">
                            <a:noFill/>
                          </a:ln>
                        </pic:spPr>
                      </pic:pic>
                    </a:graphicData>
                  </a:graphic>
                </wp:anchor>
              </w:drawing>
            </w:r>
            <w:r>
              <w:rPr>
                <w:rFonts w:ascii="宋体" w:hAnsi="宋体" w:cs="宋体"/>
                <w:color w:val="000000" w:themeColor="text1"/>
                <w:kern w:val="0"/>
                <w:sz w:val="22"/>
                <w14:textFill>
                  <w14:solidFill>
                    <w14:schemeClr w14:val="tx1"/>
                  </w14:solidFill>
                </w14:textFill>
              </w:rPr>
              <w:drawing>
                <wp:anchor distT="0" distB="0" distL="114300" distR="114300" simplePos="0" relativeHeight="251669504" behindDoc="0" locked="0" layoutInCell="1" allowOverlap="1">
                  <wp:simplePos x="0" y="0"/>
                  <wp:positionH relativeFrom="column">
                    <wp:posOffset>3810</wp:posOffset>
                  </wp:positionH>
                  <wp:positionV relativeFrom="paragraph">
                    <wp:posOffset>118110</wp:posOffset>
                  </wp:positionV>
                  <wp:extent cx="328295" cy="353695"/>
                  <wp:effectExtent l="0" t="0" r="1905" b="1905"/>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9"/>
                          <a:stretch>
                            <a:fillRect/>
                          </a:stretch>
                        </pic:blipFill>
                        <pic:spPr>
                          <a:xfrm>
                            <a:off x="0" y="0"/>
                            <a:ext cx="328295" cy="353695"/>
                          </a:xfrm>
                          <a:prstGeom prst="rect">
                            <a:avLst/>
                          </a:prstGeom>
                          <a:noFill/>
                          <a:ln w="9525">
                            <a:noFill/>
                          </a:ln>
                        </pic:spPr>
                      </pic:pic>
                    </a:graphicData>
                  </a:graphic>
                </wp:anchor>
              </w:drawing>
            </w:r>
          </w:p>
        </w:tc>
        <w:tc>
          <w:tcPr>
            <w:tcW w:w="2233"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二合一测试盒补充液</w:t>
            </w:r>
          </w:p>
        </w:tc>
        <w:tc>
          <w:tcPr>
            <w:tcW w:w="1333"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250ML/瓶</w:t>
            </w:r>
          </w:p>
        </w:tc>
        <w:tc>
          <w:tcPr>
            <w:tcW w:w="1300"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24</w:t>
            </w:r>
          </w:p>
        </w:tc>
        <w:tc>
          <w:tcPr>
            <w:tcW w:w="1300"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705" w:hRule="atLeast"/>
        </w:trPr>
        <w:tc>
          <w:tcPr>
            <w:tcW w:w="720" w:type="dxa"/>
            <w:tcBorders>
              <w:top w:val="nil"/>
              <w:left w:val="single" w:color="auto" w:sz="4" w:space="0"/>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12</w:t>
            </w:r>
          </w:p>
        </w:tc>
        <w:tc>
          <w:tcPr>
            <w:tcW w:w="1334"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drawing>
                <wp:inline distT="0" distB="0" distL="114300" distR="114300">
                  <wp:extent cx="709295" cy="742950"/>
                  <wp:effectExtent l="0" t="0" r="1905" b="635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20"/>
                          <a:stretch>
                            <a:fillRect/>
                          </a:stretch>
                        </pic:blipFill>
                        <pic:spPr>
                          <a:xfrm>
                            <a:off x="0" y="0"/>
                            <a:ext cx="709295" cy="742950"/>
                          </a:xfrm>
                          <a:prstGeom prst="rect">
                            <a:avLst/>
                          </a:prstGeom>
                          <a:noFill/>
                          <a:ln>
                            <a:noFill/>
                          </a:ln>
                        </pic:spPr>
                      </pic:pic>
                    </a:graphicData>
                  </a:graphic>
                </wp:inline>
              </w:drawing>
            </w:r>
          </w:p>
        </w:tc>
        <w:tc>
          <w:tcPr>
            <w:tcW w:w="2233"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百灵达三参数</w:t>
            </w:r>
          </w:p>
        </w:tc>
        <w:tc>
          <w:tcPr>
            <w:tcW w:w="1333"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余氯、氰尿酸、PH值等</w:t>
            </w:r>
          </w:p>
        </w:tc>
        <w:tc>
          <w:tcPr>
            <w:tcW w:w="1300"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w:t>
            </w:r>
          </w:p>
        </w:tc>
        <w:tc>
          <w:tcPr>
            <w:tcW w:w="1300"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705" w:hRule="atLeast"/>
        </w:trPr>
        <w:tc>
          <w:tcPr>
            <w:tcW w:w="8220" w:type="dxa"/>
            <w:gridSpan w:val="6"/>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合计</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bl>
    <w:p>
      <w:pPr>
        <w:spacing w:line="360" w:lineRule="auto"/>
        <w:ind w:firstLine="482" w:firstLineChars="200"/>
        <w:rPr>
          <w:rFonts w:ascii="宋体" w:hAnsi="宋体"/>
          <w:b/>
          <w:color w:val="000000" w:themeColor="text1"/>
          <w:kern w:val="0"/>
          <w:sz w:val="24"/>
          <w:szCs w:val="24"/>
          <w14:textFill>
            <w14:solidFill>
              <w14:schemeClr w14:val="tx1"/>
            </w14:solidFill>
          </w14:textFill>
        </w:rPr>
      </w:pPr>
    </w:p>
    <w:p>
      <w:pPr>
        <w:spacing w:line="360" w:lineRule="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注：中标人须免费将所有货物送至招标人指定地点</w:t>
      </w:r>
    </w:p>
    <w:p>
      <w:pPr>
        <w:spacing w:line="360" w:lineRule="auto"/>
        <w:ind w:firstLine="482" w:firstLineChars="200"/>
        <w:rPr>
          <w:rFonts w:hint="eastAsia" w:ascii="宋体" w:hAnsi="宋体"/>
          <w:b/>
          <w:color w:val="000000" w:themeColor="text1"/>
          <w:sz w:val="24"/>
          <w:szCs w:val="28"/>
          <w14:textFill>
            <w14:solidFill>
              <w14:schemeClr w14:val="tx1"/>
            </w14:solidFill>
          </w14:textFill>
        </w:rPr>
      </w:pPr>
    </w:p>
    <w:p>
      <w:pPr>
        <w:spacing w:line="360" w:lineRule="auto"/>
        <w:ind w:firstLine="482" w:firstLineChars="200"/>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四、</w:t>
      </w:r>
      <w:r>
        <w:rPr>
          <w:rFonts w:hint="eastAsia" w:ascii="宋体" w:hAnsi="宋体"/>
          <w:b/>
          <w:color w:val="000000" w:themeColor="text1"/>
          <w:sz w:val="24"/>
          <w:szCs w:val="24"/>
          <w14:textFill>
            <w14:solidFill>
              <w14:schemeClr w14:val="tx1"/>
            </w14:solidFill>
          </w14:textFill>
        </w:rPr>
        <w:t>报价要求</w:t>
      </w:r>
    </w:p>
    <w:p>
      <w:pPr>
        <w:spacing w:line="360" w:lineRule="auto"/>
        <w:ind w:firstLine="481"/>
        <w:rPr>
          <w:rFonts w:ascii="宋体" w:hAnsi="宋体"/>
          <w:color w:val="000000" w:themeColor="text1"/>
          <w:sz w:val="24"/>
          <w:szCs w:val="28"/>
          <w14:textFill>
            <w14:solidFill>
              <w14:schemeClr w14:val="tx1"/>
            </w14:solidFill>
          </w14:textFill>
        </w:rPr>
      </w:pPr>
      <w:r>
        <w:rPr>
          <w:rFonts w:hint="eastAsia" w:ascii="宋体" w:hAnsi="宋体"/>
          <w:color w:val="auto"/>
          <w:sz w:val="24"/>
          <w:szCs w:val="28"/>
        </w:rPr>
        <w:t>投标人须报全年药剂的投标总价</w:t>
      </w:r>
      <w:r>
        <w:rPr>
          <w:rFonts w:hint="eastAsia" w:ascii="宋体" w:hAnsi="宋体"/>
          <w:color w:val="auto"/>
          <w:sz w:val="24"/>
          <w:szCs w:val="28"/>
          <w:lang w:val="en-US" w:eastAsia="zh-CN"/>
        </w:rPr>
        <w:t>及药剂单价</w:t>
      </w:r>
      <w:r>
        <w:rPr>
          <w:rFonts w:hint="eastAsia" w:ascii="宋体" w:hAnsi="宋体"/>
          <w:color w:val="auto"/>
          <w:sz w:val="24"/>
          <w:szCs w:val="28"/>
        </w:rPr>
        <w:t>，投标总价作为定标的依据。投标总价</w:t>
      </w:r>
      <w:r>
        <w:rPr>
          <w:rFonts w:hint="eastAsia" w:ascii="宋体" w:hAnsi="宋体"/>
          <w:color w:val="000000" w:themeColor="text1"/>
          <w:sz w:val="24"/>
          <w:szCs w:val="28"/>
          <w14:textFill>
            <w14:solidFill>
              <w14:schemeClr w14:val="tx1"/>
            </w14:solidFill>
          </w14:textFill>
        </w:rPr>
        <w:t>包括但不限于全年药剂产品（主要及辅助材料）的购买费、包装费、人工费、运输、装卸、加工（含加工过程中的主要及辅助材料损耗）、验收、维保、培训、利润、税金</w:t>
      </w:r>
      <w:r>
        <w:rPr>
          <w:rFonts w:hint="eastAsia" w:ascii="宋体" w:hAnsi="宋体"/>
          <w:color w:val="000000" w:themeColor="text1"/>
          <w:sz w:val="24"/>
          <w:szCs w:val="28"/>
          <w:lang w:eastAsia="zh-CN"/>
          <w14:textFill>
            <w14:solidFill>
              <w14:schemeClr w14:val="tx1"/>
            </w14:solidFill>
          </w14:textFill>
        </w:rPr>
        <w:t>、</w:t>
      </w:r>
      <w:r>
        <w:rPr>
          <w:rFonts w:hint="eastAsia" w:ascii="宋体" w:hAnsi="宋体"/>
          <w:color w:val="000000" w:themeColor="text1"/>
          <w:sz w:val="24"/>
          <w:szCs w:val="28"/>
          <w:lang w:val="en-US" w:eastAsia="zh-CN"/>
          <w14:textFill>
            <w14:solidFill>
              <w14:schemeClr w14:val="tx1"/>
            </w14:solidFill>
          </w14:textFill>
        </w:rPr>
        <w:t>水质养护及投药设备维护</w:t>
      </w:r>
      <w:r>
        <w:rPr>
          <w:rFonts w:hint="eastAsia" w:ascii="宋体" w:hAnsi="宋体"/>
          <w:color w:val="000000" w:themeColor="text1"/>
          <w:sz w:val="24"/>
          <w:szCs w:val="28"/>
          <w14:textFill>
            <w14:solidFill>
              <w14:schemeClr w14:val="tx1"/>
            </w14:solidFill>
          </w14:textFill>
        </w:rPr>
        <w:t>等完成招标需求全部</w:t>
      </w:r>
      <w:r>
        <w:rPr>
          <w:rFonts w:hint="eastAsia" w:ascii="宋体" w:hAnsi="宋体"/>
          <w:bCs/>
          <w:color w:val="000000" w:themeColor="text1"/>
          <w:sz w:val="24"/>
          <w14:textFill>
            <w14:solidFill>
              <w14:schemeClr w14:val="tx1"/>
            </w14:solidFill>
          </w14:textFill>
        </w:rPr>
        <w:t>内容</w:t>
      </w:r>
      <w:r>
        <w:rPr>
          <w:rFonts w:hint="eastAsia" w:ascii="宋体" w:hAnsi="宋体"/>
          <w:color w:val="000000" w:themeColor="text1"/>
          <w:sz w:val="24"/>
          <w:szCs w:val="28"/>
          <w:lang w:val="en-US" w:eastAsia="zh-CN"/>
          <w14:textFill>
            <w14:solidFill>
              <w14:schemeClr w14:val="tx1"/>
            </w14:solidFill>
          </w14:textFill>
        </w:rPr>
        <w:t>及</w:t>
      </w:r>
      <w:r>
        <w:rPr>
          <w:rFonts w:hint="eastAsia" w:ascii="宋体" w:hAnsi="宋体"/>
          <w:color w:val="000000" w:themeColor="text1"/>
          <w:sz w:val="24"/>
          <w:szCs w:val="28"/>
          <w14:textFill>
            <w14:solidFill>
              <w14:schemeClr w14:val="tx1"/>
            </w14:solidFill>
          </w14:textFill>
        </w:rPr>
        <w:t>费用</w:t>
      </w:r>
      <w:r>
        <w:rPr>
          <w:rFonts w:hint="eastAsia" w:ascii="宋体" w:hAnsi="宋体"/>
          <w:color w:val="000000" w:themeColor="text1"/>
          <w:sz w:val="24"/>
          <w:szCs w:val="28"/>
          <w:lang w:eastAsia="zh-CN"/>
          <w14:textFill>
            <w14:solidFill>
              <w14:schemeClr w14:val="tx1"/>
            </w14:solidFill>
          </w14:textFill>
        </w:rPr>
        <w:t>，</w:t>
      </w:r>
      <w:r>
        <w:rPr>
          <w:rFonts w:hint="eastAsia" w:ascii="宋体" w:hAnsi="宋体"/>
          <w:color w:val="000000" w:themeColor="text1"/>
          <w:sz w:val="24"/>
          <w:szCs w:val="28"/>
          <w14:textFill>
            <w14:solidFill>
              <w14:schemeClr w14:val="tx1"/>
            </w14:solidFill>
          </w14:textFill>
        </w:rPr>
        <w:t>投标报价总价不得高于项目概算。</w:t>
      </w:r>
    </w:p>
    <w:p>
      <w:pPr>
        <w:spacing w:line="360" w:lineRule="auto"/>
        <w:ind w:firstLine="481"/>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五、服务要求</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w:t>
      </w:r>
      <w:r>
        <w:rPr>
          <w:rFonts w:hint="eastAsia" w:ascii="宋体" w:hAnsi="宋体"/>
          <w:bCs/>
          <w:color w:val="000000" w:themeColor="text1"/>
          <w:sz w:val="24"/>
          <w:lang w:val="en-US" w:eastAsia="zh-CN"/>
          <w14:textFill>
            <w14:solidFill>
              <w14:schemeClr w14:val="tx1"/>
            </w14:solidFill>
          </w14:textFill>
        </w:rPr>
        <w:t>对</w:t>
      </w:r>
      <w:r>
        <w:rPr>
          <w:rFonts w:hint="eastAsia" w:ascii="宋体" w:hAnsi="宋体"/>
          <w:bCs/>
          <w:color w:val="000000" w:themeColor="text1"/>
          <w:sz w:val="24"/>
          <w14:textFill>
            <w14:solidFill>
              <w14:schemeClr w14:val="tx1"/>
            </w14:solidFill>
          </w14:textFill>
        </w:rPr>
        <w:t>泳池药剂在线水质监测设备及自动投药系统</w:t>
      </w:r>
      <w:r>
        <w:rPr>
          <w:rFonts w:hint="eastAsia" w:ascii="宋体" w:hAnsi="宋体"/>
          <w:bCs/>
          <w:color w:val="000000" w:themeColor="text1"/>
          <w:sz w:val="24"/>
          <w:lang w:val="en-US" w:eastAsia="zh-CN"/>
          <w14:textFill>
            <w14:solidFill>
              <w14:schemeClr w14:val="tx1"/>
            </w14:solidFill>
          </w14:textFill>
        </w:rPr>
        <w:t>进行定期维护</w:t>
      </w:r>
      <w:r>
        <w:rPr>
          <w:rFonts w:hint="eastAsia" w:ascii="宋体" w:hAnsi="宋体"/>
          <w:bCs/>
          <w:color w:val="000000" w:themeColor="text1"/>
          <w:sz w:val="24"/>
          <w14:textFill>
            <w14:solidFill>
              <w14:schemeClr w14:val="tx1"/>
            </w14:solidFill>
          </w14:textFill>
        </w:rPr>
        <w:t>，确保泳池药剂为自动投加，自动检测（水处理药剂主要</w:t>
      </w:r>
      <w:r>
        <w:rPr>
          <w:rFonts w:hint="eastAsia" w:ascii="宋体" w:hAnsi="宋体" w:eastAsia="宋体" w:cs="宋体"/>
          <w:color w:val="000000" w:themeColor="text1"/>
          <w:kern w:val="2"/>
          <w:sz w:val="24"/>
          <w:szCs w:val="24"/>
          <w:lang w:val="en-US" w:eastAsia="zh-CN" w:bidi="ar-SA"/>
          <w14:textFill>
            <w14:solidFill>
              <w14:schemeClr w14:val="tx1"/>
            </w14:solidFill>
          </w14:textFill>
        </w:rPr>
        <w:t>包括不限于</w:t>
      </w:r>
      <w:r>
        <w:rPr>
          <w:rFonts w:hint="eastAsia" w:ascii="宋体" w:hAnsi="宋体"/>
          <w:bCs/>
          <w:color w:val="000000" w:themeColor="text1"/>
          <w:sz w:val="24"/>
          <w:lang w:val="en-US" w:eastAsia="zh-CN"/>
          <w14:textFill>
            <w14:solidFill>
              <w14:schemeClr w14:val="tx1"/>
            </w14:solidFill>
          </w14:textFill>
        </w:rPr>
        <w:t>次氯酸钠</w:t>
      </w:r>
      <w:r>
        <w:rPr>
          <w:rFonts w:hint="eastAsia" w:ascii="宋体" w:hAnsi="宋体" w:eastAsia="宋体" w:cs="宋体"/>
          <w:color w:val="000000" w:themeColor="text1"/>
          <w:kern w:val="2"/>
          <w:sz w:val="24"/>
          <w:szCs w:val="24"/>
          <w:lang w:val="en-US" w:eastAsia="zh-CN" w:bidi="ar-SA"/>
          <w14:textFill>
            <w14:solidFill>
              <w14:schemeClr w14:val="tx1"/>
            </w14:solidFill>
          </w14:textFill>
        </w:rPr>
        <w:t>、杀菌剂、</w:t>
      </w:r>
      <w:r>
        <w:rPr>
          <w:rFonts w:hint="eastAsia" w:ascii="宋体" w:hAnsi="宋体" w:cs="宋体"/>
          <w:color w:val="000000" w:themeColor="text1"/>
          <w:kern w:val="2"/>
          <w:sz w:val="24"/>
          <w:szCs w:val="24"/>
          <w:lang w:val="en-US" w:eastAsia="zh-CN" w:bidi="ar-SA"/>
          <w14:textFill>
            <w14:solidFill>
              <w14:schemeClr w14:val="tx1"/>
            </w14:solidFill>
          </w14:textFill>
        </w:rPr>
        <w:t>超级浓缩</w:t>
      </w:r>
      <w:r>
        <w:rPr>
          <w:rFonts w:hint="eastAsia" w:ascii="宋体" w:hAnsi="宋体" w:eastAsia="宋体" w:cs="宋体"/>
          <w:color w:val="000000" w:themeColor="text1"/>
          <w:kern w:val="2"/>
          <w:sz w:val="24"/>
          <w:szCs w:val="24"/>
          <w:lang w:val="en-US" w:eastAsia="zh-CN" w:bidi="ar-SA"/>
          <w14:textFill>
            <w14:solidFill>
              <w14:schemeClr w14:val="tx1"/>
            </w14:solidFill>
          </w14:textFill>
        </w:rPr>
        <w:t>澄清剂、除藻剂、</w:t>
      </w:r>
      <w:r>
        <w:rPr>
          <w:rFonts w:hint="eastAsia" w:ascii="宋体" w:hAnsi="宋体" w:cs="宋体"/>
          <w:color w:val="000000" w:themeColor="text1"/>
          <w:kern w:val="2"/>
          <w:sz w:val="24"/>
          <w:szCs w:val="24"/>
          <w:lang w:val="en-US" w:eastAsia="zh-CN" w:bidi="ar-SA"/>
          <w14:textFill>
            <w14:solidFill>
              <w14:schemeClr w14:val="tx1"/>
            </w14:solidFill>
          </w14:textFill>
        </w:rPr>
        <w:t>氯</w:t>
      </w:r>
      <w:r>
        <w:rPr>
          <w:rFonts w:hint="eastAsia" w:ascii="宋体" w:hAnsi="宋体" w:eastAsia="宋体" w:cs="宋体"/>
          <w:color w:val="000000" w:themeColor="text1"/>
          <w:kern w:val="2"/>
          <w:sz w:val="24"/>
          <w:szCs w:val="24"/>
          <w:lang w:val="en-US" w:eastAsia="zh-CN" w:bidi="ar-SA"/>
          <w14:textFill>
            <w14:solidFill>
              <w14:schemeClr w14:val="tx1"/>
            </w14:solidFill>
          </w14:textFill>
        </w:rPr>
        <w:t>中和剂、PH降低剂、速溶</w:t>
      </w:r>
      <w:r>
        <w:rPr>
          <w:rFonts w:hint="eastAsia" w:ascii="宋体" w:hAnsi="宋体" w:cs="宋体"/>
          <w:color w:val="000000" w:themeColor="text1"/>
          <w:kern w:val="2"/>
          <w:sz w:val="24"/>
          <w:szCs w:val="24"/>
          <w:lang w:val="en-US" w:eastAsia="zh-CN" w:bidi="ar-SA"/>
          <w14:textFill>
            <w14:solidFill>
              <w14:schemeClr w14:val="tx1"/>
            </w14:solidFill>
          </w14:textFill>
        </w:rPr>
        <w:t>氯</w:t>
      </w:r>
      <w:r>
        <w:rPr>
          <w:rFonts w:hint="eastAsia" w:ascii="宋体" w:hAnsi="宋体" w:eastAsia="宋体" w:cs="宋体"/>
          <w:color w:val="000000" w:themeColor="text1"/>
          <w:kern w:val="2"/>
          <w:sz w:val="24"/>
          <w:szCs w:val="24"/>
          <w:lang w:val="en-US" w:eastAsia="zh-CN" w:bidi="ar-SA"/>
          <w14:textFill>
            <w14:solidFill>
              <w14:schemeClr w14:val="tx1"/>
            </w14:solidFill>
          </w14:textFill>
        </w:rPr>
        <w:t>片等</w:t>
      </w:r>
      <w:r>
        <w:rPr>
          <w:rFonts w:hint="eastAsia" w:ascii="宋体" w:hAnsi="宋体"/>
          <w:bCs/>
          <w:color w:val="000000" w:themeColor="text1"/>
          <w:sz w:val="24"/>
          <w14:textFill>
            <w14:solidFill>
              <w14:schemeClr w14:val="tx1"/>
            </w14:solidFill>
          </w14:textFill>
        </w:rPr>
        <w:t>）</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正常运行</w:t>
      </w:r>
      <w:r>
        <w:rPr>
          <w:rFonts w:hint="eastAsia" w:ascii="宋体" w:hAnsi="宋体"/>
          <w:bCs/>
          <w:color w:val="000000" w:themeColor="text1"/>
          <w:sz w:val="24"/>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w:t>
      </w:r>
      <w:r>
        <w:rPr>
          <w:rFonts w:hint="eastAsia" w:ascii="宋体" w:hAnsi="宋体" w:cs="宋体"/>
          <w:color w:val="000000" w:themeColor="text1"/>
          <w:kern w:val="2"/>
          <w:sz w:val="24"/>
          <w:szCs w:val="24"/>
          <w:lang w:val="en-US" w:eastAsia="zh-CN" w:bidi="ar-SA"/>
          <w14:textFill>
            <w14:solidFill>
              <w14:schemeClr w14:val="tx1"/>
            </w14:solidFill>
          </w14:textFill>
        </w:rPr>
        <w:t>每次药剂送货上门</w:t>
      </w:r>
      <w:r>
        <w:rPr>
          <w:rFonts w:hint="eastAsia" w:ascii="宋体" w:hAnsi="宋体" w:eastAsia="宋体" w:cs="宋体"/>
          <w:color w:val="000000" w:themeColor="text1"/>
          <w:kern w:val="2"/>
          <w:sz w:val="24"/>
          <w:szCs w:val="24"/>
          <w:lang w:val="en-US" w:eastAsia="zh-CN" w:bidi="ar-SA"/>
          <w14:textFill>
            <w14:solidFill>
              <w14:schemeClr w14:val="tx1"/>
            </w14:solidFill>
          </w14:textFill>
        </w:rPr>
        <w:t>提供供货清单，</w:t>
      </w:r>
      <w:r>
        <w:rPr>
          <w:rFonts w:hint="eastAsia" w:ascii="宋体" w:hAnsi="宋体" w:cs="宋体"/>
          <w:color w:val="000000" w:themeColor="text1"/>
          <w:kern w:val="2"/>
          <w:sz w:val="24"/>
          <w:szCs w:val="24"/>
          <w:lang w:val="en-US" w:eastAsia="zh-CN" w:bidi="ar-SA"/>
          <w14:textFill>
            <w14:solidFill>
              <w14:schemeClr w14:val="tx1"/>
            </w14:solidFill>
          </w14:textFill>
        </w:rPr>
        <w:t>产品合格证，检验报告等，</w:t>
      </w:r>
      <w:r>
        <w:rPr>
          <w:rFonts w:hint="eastAsia" w:ascii="宋体" w:hAnsi="宋体" w:eastAsia="宋体" w:cs="宋体"/>
          <w:color w:val="000000" w:themeColor="text1"/>
          <w:kern w:val="2"/>
          <w:sz w:val="24"/>
          <w:szCs w:val="24"/>
          <w:lang w:val="en-US" w:eastAsia="zh-CN" w:bidi="ar-SA"/>
          <w14:textFill>
            <w14:solidFill>
              <w14:schemeClr w14:val="tx1"/>
            </w14:solidFill>
          </w14:textFill>
        </w:rPr>
        <w:t>并由专人签字确认保管</w:t>
      </w:r>
      <w:r>
        <w:rPr>
          <w:rFonts w:hint="eastAsia" w:ascii="宋体" w:hAnsi="宋体"/>
          <w:bCs/>
          <w:color w:val="000000" w:themeColor="text1"/>
          <w:sz w:val="24"/>
          <w14:textFill>
            <w14:solidFill>
              <w14:schemeClr w14:val="tx1"/>
            </w14:solidFill>
          </w14:textFill>
        </w:rPr>
        <w:t>；</w:t>
      </w:r>
    </w:p>
    <w:p>
      <w:pPr>
        <w:spacing w:line="360" w:lineRule="auto"/>
        <w:ind w:firstLine="481"/>
        <w:rPr>
          <w:rFonts w:ascii="宋体" w:hAnsi="宋体"/>
          <w:bCs/>
          <w:color w:val="auto"/>
          <w:sz w:val="24"/>
        </w:rPr>
      </w:pPr>
      <w:r>
        <w:rPr>
          <w:rFonts w:hint="eastAsia" w:ascii="宋体" w:hAnsi="宋体"/>
          <w:bCs/>
          <w:color w:val="000000" w:themeColor="text1"/>
          <w:sz w:val="24"/>
          <w14:textFill>
            <w14:solidFill>
              <w14:schemeClr w14:val="tx1"/>
            </w14:solidFill>
          </w14:textFill>
        </w:rPr>
        <w:t>3．</w:t>
      </w:r>
      <w:r>
        <w:rPr>
          <w:rFonts w:hint="eastAsia" w:ascii="宋体" w:hAnsi="宋体" w:eastAsia="宋体" w:cs="宋体"/>
          <w:color w:val="000000" w:themeColor="text1"/>
          <w:kern w:val="2"/>
          <w:sz w:val="24"/>
          <w:szCs w:val="24"/>
          <w:lang w:val="en-US" w:eastAsia="zh-CN" w:bidi="ar-SA"/>
          <w14:textFill>
            <w14:solidFill>
              <w14:schemeClr w14:val="tx1"/>
            </w14:solidFill>
          </w14:textFill>
        </w:rPr>
        <w:t>专人</w:t>
      </w:r>
      <w:r>
        <w:rPr>
          <w:rFonts w:hint="eastAsia" w:ascii="宋体" w:hAnsi="宋体" w:cs="宋体"/>
          <w:color w:val="000000" w:themeColor="text1"/>
          <w:kern w:val="2"/>
          <w:sz w:val="24"/>
          <w:szCs w:val="24"/>
          <w:lang w:val="en-US" w:eastAsia="zh-CN" w:bidi="ar-SA"/>
          <w14:textFill>
            <w14:solidFill>
              <w14:schemeClr w14:val="tx1"/>
            </w14:solidFill>
          </w14:textFill>
        </w:rPr>
        <w:t>定期</w:t>
      </w:r>
      <w:r>
        <w:rPr>
          <w:rFonts w:hint="eastAsia" w:ascii="宋体" w:hAnsi="宋体" w:eastAsia="宋体" w:cs="宋体"/>
          <w:color w:val="000000" w:themeColor="text1"/>
          <w:kern w:val="2"/>
          <w:sz w:val="24"/>
          <w:szCs w:val="24"/>
          <w:lang w:val="en-US" w:eastAsia="zh-CN" w:bidi="ar-SA"/>
          <w14:textFill>
            <w14:solidFill>
              <w14:schemeClr w14:val="tx1"/>
            </w14:solidFill>
          </w14:textFill>
        </w:rPr>
        <w:t>服务，定期提供游泳馆水质检测</w:t>
      </w:r>
      <w:r>
        <w:rPr>
          <w:rFonts w:hint="eastAsia" w:ascii="宋体" w:hAnsi="宋体" w:cs="宋体"/>
          <w:color w:val="000000" w:themeColor="text1"/>
          <w:kern w:val="2"/>
          <w:sz w:val="24"/>
          <w:szCs w:val="24"/>
          <w:lang w:val="en-US" w:eastAsia="zh-CN" w:bidi="ar-SA"/>
          <w14:textFill>
            <w14:solidFill>
              <w14:schemeClr w14:val="tx1"/>
            </w14:solidFill>
          </w14:textFill>
        </w:rPr>
        <w:t>并出具</w:t>
      </w:r>
      <w:r>
        <w:rPr>
          <w:rFonts w:hint="eastAsia" w:ascii="宋体" w:hAnsi="宋体" w:eastAsia="宋体" w:cs="宋体"/>
          <w:color w:val="000000" w:themeColor="text1"/>
          <w:kern w:val="2"/>
          <w:sz w:val="24"/>
          <w:szCs w:val="24"/>
          <w:lang w:val="en-US" w:eastAsia="zh-CN" w:bidi="ar-SA"/>
          <w14:textFill>
            <w14:solidFill>
              <w14:schemeClr w14:val="tx1"/>
            </w14:solidFill>
          </w14:textFill>
        </w:rPr>
        <w:t>分析工作报告（一周一次）</w:t>
      </w:r>
      <w:r>
        <w:rPr>
          <w:rFonts w:hint="eastAsia" w:ascii="宋体" w:hAnsi="宋体"/>
          <w:bCs/>
          <w:color w:val="auto"/>
          <w:sz w:val="24"/>
        </w:rPr>
        <w:t>；</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4．协助水质相关问题的处理工作，提供有效处理方案；</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5．负责对游泳馆水质管理员进专业技术培训，及日常对接、配合工作；</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6．协助卫生主管部门水质检查</w:t>
      </w:r>
      <w:r>
        <w:rPr>
          <w:rFonts w:hint="eastAsia" w:ascii="宋体" w:hAnsi="宋体"/>
          <w:bCs/>
          <w:color w:val="000000" w:themeColor="text1"/>
          <w:sz w:val="24"/>
          <w:lang w:val="en-US" w:eastAsia="zh-CN"/>
          <w14:textFill>
            <w14:solidFill>
              <w14:schemeClr w14:val="tx1"/>
            </w14:solidFill>
          </w14:textFill>
        </w:rPr>
        <w:t>等相关</w:t>
      </w:r>
      <w:r>
        <w:rPr>
          <w:rFonts w:hint="eastAsia" w:ascii="宋体" w:hAnsi="宋体"/>
          <w:bCs/>
          <w:color w:val="000000" w:themeColor="text1"/>
          <w:sz w:val="24"/>
          <w14:textFill>
            <w14:solidFill>
              <w14:schemeClr w14:val="tx1"/>
            </w14:solidFill>
          </w14:textFill>
        </w:rPr>
        <w:t>工作；</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7．配合参与其他与游泳馆水质相关的工作。</w:t>
      </w:r>
    </w:p>
    <w:p>
      <w:pPr>
        <w:tabs>
          <w:tab w:val="left" w:pos="0"/>
        </w:tabs>
        <w:spacing w:before="120" w:beforeLines="50" w:line="360" w:lineRule="auto"/>
        <w:ind w:left="-718" w:leftChars="-342" w:right="-82" w:rightChars="-39" w:firstLine="1323" w:firstLineChars="549"/>
        <w:rPr>
          <w:rFonts w:ascii="仿宋_GB2312" w:hAnsi="仿宋_GB2312" w:eastAsia="仿宋_GB2312" w:cs="仿宋_GB2312"/>
          <w:color w:val="000000" w:themeColor="text1"/>
          <w:sz w:val="32"/>
          <w:szCs w:val="32"/>
          <w14:textFill>
            <w14:solidFill>
              <w14:schemeClr w14:val="tx1"/>
            </w14:solidFill>
          </w14:textFill>
        </w:rPr>
      </w:pPr>
      <w:r>
        <w:rPr>
          <w:rFonts w:hint="eastAsia" w:ascii="宋体" w:hAnsi="宋体"/>
          <w:b/>
          <w:bCs/>
          <w:color w:val="000000" w:themeColor="text1"/>
          <w:sz w:val="24"/>
          <w14:textFill>
            <w14:solidFill>
              <w14:schemeClr w14:val="tx1"/>
            </w14:solidFill>
          </w14:textFill>
        </w:rPr>
        <w:t>六、产品的质量及验收标准</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1．中标人向委托人供应的产品,其品种、规格、质量符合国家相关质量标准规范要求。</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2．中标人供应的产品范围内,国家相关质量监督管理等部门或顾客如对中标人所供的产品存有疑义的,中标人负有证明该产品符合国家标准并配合委托人澄清事实妥善处理的义务。</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3．中标人向委托人提供游泳池水质处理所需的所有药剂为合格正品。</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4．中标人承包合肥市体育中心游泳馆训练池、跳水池、</w:t>
      </w:r>
      <w:r>
        <w:rPr>
          <w:rFonts w:hint="eastAsia" w:ascii="宋体" w:hAnsi="宋体"/>
          <w:bCs/>
          <w:color w:val="000000" w:themeColor="text1"/>
          <w:sz w:val="24"/>
          <w:lang w:val="en-US" w:eastAsia="zh-CN"/>
          <w14:textFill>
            <w14:solidFill>
              <w14:schemeClr w14:val="tx1"/>
            </w14:solidFill>
          </w14:textFill>
        </w:rPr>
        <w:t>竞赛</w:t>
      </w:r>
      <w:r>
        <w:rPr>
          <w:rFonts w:hint="eastAsia" w:ascii="宋体" w:hAnsi="宋体"/>
          <w:bCs/>
          <w:color w:val="000000" w:themeColor="text1"/>
          <w:sz w:val="24"/>
          <w14:textFill>
            <w14:solidFill>
              <w14:schemeClr w14:val="tx1"/>
            </w14:solidFill>
          </w14:textFill>
        </w:rPr>
        <w:t>池三个泳池</w:t>
      </w:r>
      <w:r>
        <w:rPr>
          <w:rFonts w:hint="eastAsia" w:ascii="宋体" w:hAnsi="宋体"/>
          <w:bCs/>
          <w:color w:val="000000" w:themeColor="text1"/>
          <w:sz w:val="24"/>
          <w:lang w:val="en-US" w:eastAsia="zh-CN"/>
          <w14:textFill>
            <w14:solidFill>
              <w14:schemeClr w14:val="tx1"/>
            </w14:solidFill>
          </w14:textFill>
        </w:rPr>
        <w:t>及天湖全民健身中心泳池</w:t>
      </w:r>
      <w:r>
        <w:rPr>
          <w:rFonts w:hint="eastAsia" w:ascii="宋体" w:hAnsi="宋体"/>
          <w:bCs/>
          <w:color w:val="000000" w:themeColor="text1"/>
          <w:sz w:val="24"/>
          <w14:textFill>
            <w14:solidFill>
              <w14:schemeClr w14:val="tx1"/>
            </w14:solidFill>
          </w14:textFill>
        </w:rPr>
        <w:t>合作期间水质</w:t>
      </w:r>
      <w:r>
        <w:rPr>
          <w:rFonts w:hint="eastAsia" w:ascii="宋体" w:hAnsi="宋体"/>
          <w:bCs/>
          <w:color w:val="000000" w:themeColor="text1"/>
          <w:sz w:val="24"/>
          <w:lang w:val="en-US" w:eastAsia="zh-CN"/>
          <w14:textFill>
            <w14:solidFill>
              <w14:schemeClr w14:val="tx1"/>
            </w14:solidFill>
          </w14:textFill>
        </w:rPr>
        <w:t>检测</w:t>
      </w:r>
      <w:r>
        <w:rPr>
          <w:rFonts w:hint="eastAsia" w:ascii="宋体" w:hAnsi="宋体"/>
          <w:bCs/>
          <w:color w:val="000000" w:themeColor="text1"/>
          <w:sz w:val="24"/>
          <w14:textFill>
            <w14:solidFill>
              <w14:schemeClr w14:val="tx1"/>
            </w14:solidFill>
          </w14:textFill>
        </w:rPr>
        <w:t>养护</w:t>
      </w:r>
      <w:r>
        <w:rPr>
          <w:rFonts w:hint="eastAsia" w:ascii="宋体" w:hAnsi="宋体"/>
          <w:bCs/>
          <w:color w:val="000000" w:themeColor="text1"/>
          <w:sz w:val="24"/>
          <w:lang w:val="en-US" w:eastAsia="zh-CN"/>
          <w14:textFill>
            <w14:solidFill>
              <w14:schemeClr w14:val="tx1"/>
            </w14:solidFill>
          </w14:textFill>
        </w:rPr>
        <w:t>及药剂使用</w:t>
      </w:r>
      <w:r>
        <w:rPr>
          <w:rFonts w:hint="eastAsia" w:ascii="宋体" w:hAnsi="宋体"/>
          <w:bCs/>
          <w:color w:val="000000" w:themeColor="text1"/>
          <w:sz w:val="24"/>
          <w14:textFill>
            <w14:solidFill>
              <w14:schemeClr w14:val="tx1"/>
            </w14:solidFill>
          </w14:textFill>
        </w:rPr>
        <w:t>费用，不得超过中标价，超出部分由中标人自行承担。</w:t>
      </w:r>
    </w:p>
    <w:p>
      <w:pPr>
        <w:spacing w:line="360" w:lineRule="auto"/>
        <w:ind w:firstLine="481"/>
        <w:rPr>
          <w:rFonts w:hint="default" w:ascii="宋体" w:hAnsi="宋体" w:eastAsia="宋体"/>
          <w:bCs/>
          <w:color w:val="000000" w:themeColor="text1"/>
          <w:sz w:val="24"/>
          <w:lang w:val="en-US" w:eastAsia="zh-CN"/>
          <w14:textFill>
            <w14:solidFill>
              <w14:schemeClr w14:val="tx1"/>
            </w14:solidFill>
          </w14:textFill>
        </w:rPr>
      </w:pPr>
    </w:p>
    <w:p>
      <w:pPr>
        <w:spacing w:line="360" w:lineRule="auto"/>
        <w:rPr>
          <w:rFonts w:ascii="宋体" w:hAnsi="宋体"/>
          <w:bCs/>
          <w:color w:val="000000" w:themeColor="text1"/>
          <w:sz w:val="24"/>
          <w14:textFill>
            <w14:solidFill>
              <w14:schemeClr w14:val="tx1"/>
            </w14:solidFill>
          </w14:textFill>
        </w:rPr>
      </w:pPr>
    </w:p>
    <w:p>
      <w:pPr>
        <w:pStyle w:val="5"/>
        <w:spacing w:line="500" w:lineRule="exact"/>
        <w:jc w:val="center"/>
        <w:rPr>
          <w:rFonts w:ascii="宋体" w:hAnsi="宋体"/>
          <w:color w:val="000000" w:themeColor="text1"/>
          <w14:textFill>
            <w14:solidFill>
              <w14:schemeClr w14:val="tx1"/>
            </w14:solidFill>
          </w14:textFill>
        </w:rPr>
      </w:pPr>
      <w:bookmarkStart w:id="64" w:name="_Toc9997"/>
      <w:bookmarkStart w:id="65" w:name="_Toc7187430"/>
      <w:r>
        <w:rPr>
          <w:rFonts w:hint="eastAsia" w:ascii="宋体" w:hAnsi="宋体"/>
          <w:color w:val="000000" w:themeColor="text1"/>
          <w14:textFill>
            <w14:solidFill>
              <w14:schemeClr w14:val="tx1"/>
            </w14:solidFill>
          </w14:textFill>
        </w:rPr>
        <w:t>第五章 评标办法</w:t>
      </w:r>
      <w:bookmarkEnd w:id="24"/>
      <w:bookmarkEnd w:id="64"/>
      <w:bookmarkEnd w:id="65"/>
    </w:p>
    <w:p>
      <w:pPr>
        <w:adjustRightInd w:val="0"/>
        <w:snapToGrid w:val="0"/>
        <w:spacing w:line="360" w:lineRule="auto"/>
        <w:ind w:left="420" w:leftChars="200" w:right="-10"/>
        <w:rPr>
          <w:rFonts w:ascii="宋体" w:hAnsi="宋体"/>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为做好合肥体育中心游泳馆及天鹅湖全民健身中心游泳馆</w:t>
      </w:r>
      <w:r>
        <w:rPr>
          <w:rFonts w:hint="eastAsia" w:ascii="宋体" w:hAnsi="宋体"/>
          <w:color w:val="000000" w:themeColor="text1"/>
          <w:sz w:val="24"/>
          <w:lang w:eastAsia="zh-CN"/>
          <w14:textFill>
            <w14:solidFill>
              <w14:schemeClr w14:val="tx1"/>
            </w14:solidFill>
          </w14:textFill>
        </w:rPr>
        <w:t>202</w:t>
      </w:r>
      <w:r>
        <w:rPr>
          <w:rFonts w:hint="eastAsia" w:ascii="宋体" w:hAnsi="宋体"/>
          <w:color w:val="000000" w:themeColor="text1"/>
          <w:sz w:val="24"/>
          <w:lang w:val="en-US" w:eastAsia="zh-CN"/>
          <w14:textFill>
            <w14:solidFill>
              <w14:schemeClr w14:val="tx1"/>
            </w14:solidFill>
          </w14:textFill>
        </w:rPr>
        <w:t>4</w:t>
      </w:r>
      <w:r>
        <w:rPr>
          <w:rFonts w:hint="eastAsia" w:ascii="宋体" w:hAnsi="宋体"/>
          <w:color w:val="000000" w:themeColor="text1"/>
          <w:sz w:val="24"/>
          <w14:textFill>
            <w14:solidFill>
              <w14:schemeClr w14:val="tx1"/>
            </w14:solidFill>
          </w14:textFill>
        </w:rPr>
        <w:t>年度水处理药剂及水质养护服务项目招标（项目编号：</w:t>
      </w:r>
      <w:r>
        <w:rPr>
          <w:rFonts w:hint="eastAsia" w:ascii="宋体" w:hAnsi="宋体"/>
          <w:color w:val="000000" w:themeColor="text1"/>
          <w:sz w:val="24"/>
          <w:lang w:eastAsia="zh-CN"/>
          <w14:textFill>
            <w14:solidFill>
              <w14:schemeClr w14:val="tx1"/>
            </w14:solidFill>
          </w14:textFill>
        </w:rPr>
        <w:t>2024TYGSCG02</w:t>
      </w:r>
      <w:r>
        <w:rPr>
          <w:rFonts w:hint="eastAsia" w:ascii="宋体" w:hAnsi="宋体"/>
          <w:color w:val="000000" w:themeColor="text1"/>
          <w:sz w:val="24"/>
          <w14:textFill>
            <w14:solidFill>
              <w14:schemeClr w14:val="tx1"/>
            </w14:solidFill>
          </w14:textFill>
        </w:rPr>
        <w:t>）的招标评标工作，保证项目评审工作的正常有序进行，维护招标人、投标人的合法权益，依据《中华人民共和国招标投标法》、《中华人民共和国招标投标法实施条例》及其它相关法律法规，本着公开、公平、公正的原则，制定评标办法。</w:t>
      </w:r>
    </w:p>
    <w:p>
      <w:pPr>
        <w:adjustRightInd w:val="0"/>
        <w:snapToGrid w:val="0"/>
        <w:spacing w:line="360" w:lineRule="auto"/>
        <w:ind w:right="-10" w:firstLine="422" w:firstLineChars="175"/>
        <w:rPr>
          <w:rFonts w:ascii="宋体" w:hAnsi="宋体"/>
          <w:color w:val="auto"/>
          <w:sz w:val="24"/>
          <w:szCs w:val="24"/>
        </w:rPr>
      </w:pPr>
      <w:bookmarkStart w:id="66" w:name="_Toc220232391"/>
      <w:r>
        <w:rPr>
          <w:rFonts w:hint="eastAsia" w:ascii="宋体" w:hAnsi="宋体"/>
          <w:b/>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本次项目评标采用</w:t>
      </w:r>
      <w:r>
        <w:rPr>
          <w:rFonts w:hint="eastAsia" w:ascii="宋体" w:hAnsi="宋体"/>
          <w:color w:val="000000" w:themeColor="text1"/>
          <w:sz w:val="24"/>
          <w:u w:val="single"/>
          <w14:textFill>
            <w14:solidFill>
              <w14:schemeClr w14:val="tx1"/>
            </w14:solidFill>
          </w14:textFill>
        </w:rPr>
        <w:t>有效最低价法</w:t>
      </w:r>
      <w:r>
        <w:rPr>
          <w:rFonts w:hint="eastAsia" w:ascii="宋体" w:hAnsi="宋体"/>
          <w:color w:val="000000" w:themeColor="text1"/>
          <w:sz w:val="24"/>
          <w:szCs w:val="24"/>
          <w14:textFill>
            <w14:solidFill>
              <w14:schemeClr w14:val="tx1"/>
            </w14:solidFill>
          </w14:textFill>
        </w:rPr>
        <w:t>作为对投标人标书的比较方法。</w:t>
      </w:r>
    </w:p>
    <w:p>
      <w:pPr>
        <w:adjustRightInd w:val="0"/>
        <w:snapToGrid w:val="0"/>
        <w:spacing w:line="360" w:lineRule="auto"/>
        <w:ind w:left="-61" w:leftChars="-29"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本项目将依法组建不少于</w:t>
      </w:r>
      <w:r>
        <w:rPr>
          <w:rFonts w:hint="eastAsia" w:ascii="宋体" w:hAnsi="宋体"/>
          <w:b/>
          <w:color w:val="000000" w:themeColor="text1"/>
          <w:sz w:val="24"/>
          <w:szCs w:val="24"/>
          <w:u w:val="single"/>
          <w:lang w:val="en-US" w:eastAsia="zh-CN"/>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人的评标委员会，负责本项目的评标工作。</w:t>
      </w:r>
    </w:p>
    <w:p>
      <w:pPr>
        <w:adjustRightInd w:val="0"/>
        <w:snapToGrid w:val="0"/>
        <w:spacing w:line="360" w:lineRule="auto"/>
        <w:ind w:left="-61" w:leftChars="-29"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评标委员会按照“客观公正，实事求是”的原则，评价参加本次招标的投标人所提供的产品或服务价格、性能、质量、服务及对招标文件的符合性及响应性。</w:t>
      </w:r>
    </w:p>
    <w:p>
      <w:pPr>
        <w:adjustRightInd w:val="0"/>
        <w:snapToGrid w:val="0"/>
        <w:spacing w:line="360" w:lineRule="auto"/>
        <w:ind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有效投标应符合以下原则：</w:t>
      </w:r>
    </w:p>
    <w:p>
      <w:pPr>
        <w:spacing w:line="360" w:lineRule="auto"/>
        <w:ind w:left="480" w:right="-1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5.1满足招标文件的实质性要求；</w:t>
      </w:r>
    </w:p>
    <w:p>
      <w:pPr>
        <w:spacing w:line="360" w:lineRule="auto"/>
        <w:ind w:left="480" w:right="-1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5.2无重大偏离、保留或招标人不能接受的附加条件；</w:t>
      </w:r>
    </w:p>
    <w:p>
      <w:pPr>
        <w:spacing w:line="360" w:lineRule="auto"/>
        <w:ind w:left="480" w:right="-1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5.3通过初审；</w:t>
      </w:r>
    </w:p>
    <w:p>
      <w:pPr>
        <w:adjustRightInd w:val="0"/>
        <w:snapToGrid w:val="0"/>
        <w:spacing w:line="360" w:lineRule="auto"/>
        <w:ind w:right="-1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5.4评标委员会依据招标文件认定的其他原则。</w:t>
      </w:r>
    </w:p>
    <w:p>
      <w:pPr>
        <w:adjustRightInd w:val="0"/>
        <w:snapToGrid w:val="0"/>
        <w:spacing w:line="360" w:lineRule="auto"/>
        <w:ind w:right="-10" w:firstLine="482" w:firstLineChars="200"/>
        <w:rPr>
          <w:rFonts w:ascii="宋体" w:hAnsi="宋体" w:cs="宋体-18030"/>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6.</w:t>
      </w:r>
      <w:r>
        <w:rPr>
          <w:rFonts w:hint="eastAsia" w:ascii="宋体" w:hAnsi="宋体" w:cs="宋体-18030"/>
          <w:color w:val="000000" w:themeColor="text1"/>
          <w:sz w:val="24"/>
          <w:szCs w:val="24"/>
          <w14:textFill>
            <w14:solidFill>
              <w14:schemeClr w14:val="tx1"/>
            </w14:solidFill>
          </w14:textFill>
        </w:rPr>
        <w:t>评标委员会遵循公开、公平、公正和科学诚信的原则，对所有投标文件均采用相同程序和标准，进行评定。</w:t>
      </w:r>
    </w:p>
    <w:p>
      <w:pPr>
        <w:adjustRightInd w:val="0"/>
        <w:snapToGrid w:val="0"/>
        <w:spacing w:line="360" w:lineRule="auto"/>
        <w:ind w:right="-10" w:firstLine="422" w:firstLineChars="175"/>
        <w:rPr>
          <w:rFonts w:ascii="宋体" w:hAnsi="宋体"/>
          <w:color w:val="000000" w:themeColor="text1"/>
          <w:sz w:val="24"/>
          <w:szCs w:val="24"/>
          <w14:textFill>
            <w14:solidFill>
              <w14:schemeClr w14:val="tx1"/>
            </w14:solidFill>
          </w14:textFill>
        </w:rPr>
      </w:pPr>
      <w:r>
        <w:rPr>
          <w:rFonts w:hint="eastAsia" w:ascii="宋体" w:hAnsi="宋体" w:cs="宋体-18030"/>
          <w:b/>
          <w:color w:val="000000" w:themeColor="text1"/>
          <w:sz w:val="24"/>
          <w:szCs w:val="24"/>
          <w14:textFill>
            <w14:solidFill>
              <w14:schemeClr w14:val="tx1"/>
            </w14:solidFill>
          </w14:textFill>
        </w:rPr>
        <w:t>7.</w:t>
      </w:r>
      <w:r>
        <w:rPr>
          <w:rFonts w:hint="eastAsia" w:ascii="宋体" w:hAnsi="宋体"/>
          <w:color w:val="000000" w:themeColor="text1"/>
          <w:sz w:val="24"/>
          <w:szCs w:val="24"/>
          <w14:textFill>
            <w14:solidFill>
              <w14:schemeClr w14:val="tx1"/>
            </w14:solidFill>
          </w14:textFill>
        </w:rPr>
        <w:t xml:space="preserve"> 评标委员会发现投标人的投标文件中对同类问题表述不一致、前后矛盾、有明显文字和计算错误的内容、有可能不符合招标文件规定等情况需要澄清时，评标委员会将以询标的方式告知并要求投标人以书面方式进行必要的澄清、说明或补正。</w:t>
      </w:r>
    </w:p>
    <w:p>
      <w:pPr>
        <w:adjustRightInd w:val="0"/>
        <w:snapToGrid w:val="0"/>
        <w:spacing w:line="360" w:lineRule="auto"/>
        <w:ind w:right="-10" w:firstLine="420" w:firstLineChars="175"/>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对于询标后判定的结论（如通过或不通过），评标委员会应提出充足的理由，根据招标文件给定的评审指标进行判定，并予以书面记录。</w:t>
      </w:r>
    </w:p>
    <w:p>
      <w:pPr>
        <w:adjustRightInd w:val="0"/>
        <w:snapToGrid w:val="0"/>
        <w:spacing w:line="360" w:lineRule="auto"/>
        <w:ind w:right="-10" w:firstLine="480" w:firstLineChars="200"/>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评标委员会独立评审后，对投标人某项评审指标如有不同意见，按照少数服从多数的原则，确定该项评审指标的最终结论。</w:t>
      </w:r>
    </w:p>
    <w:p>
      <w:pPr>
        <w:adjustRightInd w:val="0"/>
        <w:snapToGrid w:val="0"/>
        <w:spacing w:line="500" w:lineRule="exact"/>
        <w:ind w:right="-1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 评标委员会按下表内容进行投标有效性评审。</w:t>
      </w: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ind w:left="0" w:leftChars="0" w:firstLine="0" w:firstLineChars="0"/>
        <w:rPr>
          <w:color w:val="000000" w:themeColor="text1"/>
          <w14:textFill>
            <w14:solidFill>
              <w14:schemeClr w14:val="tx1"/>
            </w14:solidFill>
          </w14:textFill>
        </w:rPr>
      </w:pPr>
    </w:p>
    <w:p>
      <w:pPr>
        <w:pStyle w:val="58"/>
        <w:rPr>
          <w:color w:val="000000" w:themeColor="text1"/>
          <w14:textFill>
            <w14:solidFill>
              <w14:schemeClr w14:val="tx1"/>
            </w14:solidFill>
          </w14:textFill>
        </w:rPr>
      </w:pPr>
    </w:p>
    <w:tbl>
      <w:tblPr>
        <w:tblStyle w:val="50"/>
        <w:tblW w:w="1049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7"/>
        <w:gridCol w:w="2835"/>
        <w:gridCol w:w="1275"/>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10490" w:type="dxa"/>
            <w:gridSpan w:val="5"/>
            <w:vAlign w:val="center"/>
          </w:tcPr>
          <w:p>
            <w:pPr>
              <w:pStyle w:val="66"/>
              <w:pBdr>
                <w:bottom w:val="none" w:color="auto" w:sz="0" w:space="0"/>
              </w:pBdr>
              <w:tabs>
                <w:tab w:val="clear" w:pos="4153"/>
                <w:tab w:val="clear" w:pos="8306"/>
              </w:tabs>
              <w:snapToGrid w:val="0"/>
              <w:spacing w:line="360" w:lineRule="auto"/>
              <w:ind w:right="-10"/>
              <w:jc w:val="center"/>
              <w:textAlignment w:val="auto"/>
              <w:rPr>
                <w:rFonts w:ascii="宋体" w:hAnsi="宋体"/>
                <w:color w:val="000000" w:themeColor="text1"/>
                <w:kern w:val="2"/>
                <w:szCs w:val="24"/>
                <w14:textFill>
                  <w14:solidFill>
                    <w14:schemeClr w14:val="tx1"/>
                  </w14:solidFill>
                </w14:textFill>
              </w:rPr>
            </w:pPr>
            <w:r>
              <w:rPr>
                <w:rFonts w:hint="eastAsia" w:ascii="宋体" w:hAnsi="宋体"/>
                <w:b/>
                <w:color w:val="000000" w:themeColor="text1"/>
                <w14:textFill>
                  <w14:solidFill>
                    <w14:schemeClr w14:val="tx1"/>
                  </w14:solidFill>
                </w14:textFill>
              </w:rPr>
              <w:t>评审表（废标指标一览表）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709"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序号</w:t>
            </w:r>
          </w:p>
        </w:tc>
        <w:tc>
          <w:tcPr>
            <w:tcW w:w="2127" w:type="dxa"/>
            <w:tcBorders>
              <w:bottom w:val="single" w:color="auto" w:sz="4" w:space="0"/>
            </w:tcBorders>
            <w:vAlign w:val="center"/>
          </w:tcPr>
          <w:p>
            <w:pPr>
              <w:pStyle w:val="66"/>
              <w:pBdr>
                <w:bottom w:val="none" w:color="auto" w:sz="0" w:space="0"/>
              </w:pBdr>
              <w:tabs>
                <w:tab w:val="clear" w:pos="4153"/>
                <w:tab w:val="clear" w:pos="8306"/>
              </w:tabs>
              <w:snapToGrid w:val="0"/>
              <w:spacing w:line="360" w:lineRule="auto"/>
              <w:ind w:right="-10"/>
              <w:jc w:val="center"/>
              <w:textAlignment w:val="auto"/>
              <w:rPr>
                <w:rFonts w:ascii="宋体" w:hAnsi="宋体"/>
                <w:b/>
                <w:color w:val="000000" w:themeColor="text1"/>
                <w:kern w:val="2"/>
                <w:szCs w:val="24"/>
                <w14:textFill>
                  <w14:solidFill>
                    <w14:schemeClr w14:val="tx1"/>
                  </w14:solidFill>
                </w14:textFill>
              </w:rPr>
            </w:pPr>
            <w:r>
              <w:rPr>
                <w:rFonts w:hint="eastAsia" w:ascii="宋体" w:hAnsi="宋体"/>
                <w:b/>
                <w:color w:val="000000" w:themeColor="text1"/>
                <w:kern w:val="2"/>
                <w:szCs w:val="24"/>
                <w14:textFill>
                  <w14:solidFill>
                    <w14:schemeClr w14:val="tx1"/>
                  </w14:solidFill>
                </w14:textFill>
              </w:rPr>
              <w:t>实质性指标名称</w:t>
            </w:r>
          </w:p>
        </w:tc>
        <w:tc>
          <w:tcPr>
            <w:tcW w:w="2835"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指标要求</w:t>
            </w:r>
          </w:p>
        </w:tc>
        <w:tc>
          <w:tcPr>
            <w:tcW w:w="1275"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是否通过</w:t>
            </w:r>
          </w:p>
        </w:tc>
        <w:tc>
          <w:tcPr>
            <w:tcW w:w="3544"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响应文件格式及提交资料要求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709"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w:t>
            </w:r>
          </w:p>
        </w:tc>
        <w:tc>
          <w:tcPr>
            <w:tcW w:w="2127" w:type="dxa"/>
            <w:tcBorders>
              <w:bottom w:val="single" w:color="auto" w:sz="4" w:space="0"/>
            </w:tcBorders>
            <w:vAlign w:val="center"/>
          </w:tcPr>
          <w:p>
            <w:pPr>
              <w:pStyle w:val="113"/>
              <w:spacing w:line="360" w:lineRule="auto"/>
              <w:jc w:val="center"/>
              <w:rPr>
                <w:rFonts w:ascii="宋体" w:hAnsi="宋体" w:eastAsia="宋体"/>
                <w:color w:val="000000" w:themeColor="text1"/>
                <w:kern w:val="2"/>
                <w14:textFill>
                  <w14:solidFill>
                    <w14:schemeClr w14:val="tx1"/>
                  </w14:solidFill>
                </w14:textFill>
              </w:rPr>
            </w:pPr>
            <w:r>
              <w:rPr>
                <w:rFonts w:ascii="宋体" w:hAnsi="宋体" w:eastAsia="宋体"/>
                <w:color w:val="000000" w:themeColor="text1"/>
                <w:kern w:val="2"/>
                <w14:textFill>
                  <w14:solidFill>
                    <w14:schemeClr w14:val="tx1"/>
                  </w14:solidFill>
                </w14:textFill>
              </w:rPr>
              <w:t>投标人名称</w:t>
            </w:r>
          </w:p>
        </w:tc>
        <w:tc>
          <w:tcPr>
            <w:tcW w:w="2835" w:type="dxa"/>
            <w:tcBorders>
              <w:bottom w:val="single" w:color="auto" w:sz="4" w:space="0"/>
            </w:tcBorders>
            <w:vAlign w:val="center"/>
          </w:tcPr>
          <w:p>
            <w:pPr>
              <w:pStyle w:val="113"/>
              <w:spacing w:line="360" w:lineRule="auto"/>
              <w:jc w:val="center"/>
              <w:rPr>
                <w:rFonts w:ascii="宋体" w:hAnsi="宋体" w:eastAsia="宋体"/>
                <w:color w:val="000000" w:themeColor="text1"/>
                <w:kern w:val="2"/>
                <w14:textFill>
                  <w14:solidFill>
                    <w14:schemeClr w14:val="tx1"/>
                  </w14:solidFill>
                </w14:textFill>
              </w:rPr>
            </w:pPr>
            <w:r>
              <w:rPr>
                <w:rFonts w:ascii="宋体" w:hAnsi="宋体" w:eastAsia="宋体"/>
                <w:color w:val="000000" w:themeColor="text1"/>
                <w:kern w:val="2"/>
                <w14:textFill>
                  <w14:solidFill>
                    <w14:schemeClr w14:val="tx1"/>
                  </w14:solidFill>
                </w14:textFill>
              </w:rPr>
              <w:t>与营业执照一致</w:t>
            </w:r>
          </w:p>
        </w:tc>
        <w:tc>
          <w:tcPr>
            <w:tcW w:w="1275"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p>
        </w:tc>
        <w:tc>
          <w:tcPr>
            <w:tcW w:w="3544"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709" w:type="dxa"/>
            <w:tcBorders>
              <w:bottom w:val="single" w:color="auto" w:sz="4" w:space="0"/>
            </w:tcBorders>
            <w:vAlign w:val="center"/>
          </w:tcPr>
          <w:p>
            <w:pPr>
              <w:adjustRightInd w:val="0"/>
              <w:snapToGrid w:val="0"/>
              <w:spacing w:line="360" w:lineRule="auto"/>
              <w:ind w:right="-1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p>
        </w:tc>
        <w:tc>
          <w:tcPr>
            <w:tcW w:w="2127" w:type="dxa"/>
            <w:tcBorders>
              <w:bottom w:val="single" w:color="auto" w:sz="4" w:space="0"/>
            </w:tcBorders>
            <w:vAlign w:val="center"/>
          </w:tcPr>
          <w:p>
            <w:pPr>
              <w:spacing w:line="420" w:lineRule="exact"/>
              <w:ind w:right="-11"/>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营业执照或事业单位法人证书</w:t>
            </w:r>
          </w:p>
        </w:tc>
        <w:tc>
          <w:tcPr>
            <w:tcW w:w="2835" w:type="dxa"/>
            <w:tcBorders>
              <w:bottom w:val="single" w:color="auto" w:sz="4" w:space="0"/>
            </w:tcBorders>
            <w:vAlign w:val="center"/>
          </w:tcPr>
          <w:p>
            <w:pPr>
              <w:spacing w:line="420" w:lineRule="exact"/>
              <w:ind w:right="-11"/>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合法有效</w:t>
            </w:r>
          </w:p>
        </w:tc>
        <w:tc>
          <w:tcPr>
            <w:tcW w:w="1275" w:type="dxa"/>
            <w:tcBorders>
              <w:bottom w:val="single" w:color="auto" w:sz="4" w:space="0"/>
            </w:tcBorders>
            <w:vAlign w:val="center"/>
          </w:tcPr>
          <w:p>
            <w:pPr>
              <w:adjustRightInd w:val="0"/>
              <w:snapToGrid w:val="0"/>
              <w:spacing w:line="420" w:lineRule="exact"/>
              <w:ind w:right="-11"/>
              <w:jc w:val="center"/>
              <w:rPr>
                <w:rFonts w:ascii="宋体" w:hAnsi="宋体"/>
                <w:color w:val="000000" w:themeColor="text1"/>
                <w:sz w:val="24"/>
                <w:szCs w:val="24"/>
                <w14:textFill>
                  <w14:solidFill>
                    <w14:schemeClr w14:val="tx1"/>
                  </w14:solidFill>
                </w14:textFill>
              </w:rPr>
            </w:pPr>
          </w:p>
        </w:tc>
        <w:tc>
          <w:tcPr>
            <w:tcW w:w="3544" w:type="dxa"/>
            <w:tcBorders>
              <w:bottom w:val="single" w:color="auto" w:sz="4" w:space="0"/>
            </w:tcBorders>
            <w:vAlign w:val="center"/>
          </w:tcPr>
          <w:p>
            <w:pPr>
              <w:adjustRightInd w:val="0"/>
              <w:snapToGrid w:val="0"/>
              <w:spacing w:line="420" w:lineRule="exact"/>
              <w:ind w:right="-11"/>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提供有效的营业执照（或事业单位法人证书）的扫描件</w:t>
            </w:r>
            <w:r>
              <w:rPr>
                <w:rFonts w:hint="eastAsia" w:ascii="宋体" w:hAnsi="宋体"/>
                <w:b/>
                <w:bCs/>
                <w:color w:val="000000" w:themeColor="text1"/>
                <w:sz w:val="24"/>
                <w:szCs w:val="24"/>
                <w14:textFill>
                  <w14:solidFill>
                    <w14:schemeClr w14:val="tx1"/>
                  </w14:solidFill>
                </w14:textFill>
              </w:rPr>
              <w:t>，应完整的体现出营业执照</w:t>
            </w:r>
            <w:r>
              <w:rPr>
                <w:rFonts w:hint="eastAsia" w:ascii="宋体" w:hAnsi="宋体"/>
                <w:b/>
                <w:color w:val="000000" w:themeColor="text1"/>
                <w:sz w:val="24"/>
                <w:szCs w:val="24"/>
                <w14:textFill>
                  <w14:solidFill>
                    <w14:schemeClr w14:val="tx1"/>
                  </w14:solidFill>
                </w14:textFill>
              </w:rPr>
              <w:t>（或事业单位法人证书）</w:t>
            </w:r>
            <w:r>
              <w:rPr>
                <w:rFonts w:hint="eastAsia" w:ascii="宋体" w:hAnsi="宋体"/>
                <w:b/>
                <w:bCs/>
                <w:color w:val="000000" w:themeColor="text1"/>
                <w:sz w:val="24"/>
                <w:szCs w:val="24"/>
                <w14:textFill>
                  <w14:solidFill>
                    <w14:schemeClr w14:val="tx1"/>
                  </w14:solidFill>
                </w14:textFill>
              </w:rPr>
              <w:t>的全部内容。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p>
        </w:tc>
        <w:tc>
          <w:tcPr>
            <w:tcW w:w="2127"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投标函</w:t>
            </w:r>
          </w:p>
        </w:tc>
        <w:tc>
          <w:tcPr>
            <w:tcW w:w="2835"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投标函中的授权代表须与投标授权书中保持一致，否则投标无效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w:t>
            </w:r>
          </w:p>
        </w:tc>
        <w:tc>
          <w:tcPr>
            <w:tcW w:w="2127"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投标授权书</w:t>
            </w:r>
          </w:p>
        </w:tc>
        <w:tc>
          <w:tcPr>
            <w:tcW w:w="2835"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详见第七章响应文件格式“投标授权书”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w:t>
            </w:r>
          </w:p>
        </w:tc>
        <w:tc>
          <w:tcPr>
            <w:tcW w:w="2127" w:type="dxa"/>
            <w:vAlign w:val="center"/>
          </w:tcPr>
          <w:p>
            <w:pPr>
              <w:spacing w:after="50" w:line="360" w:lineRule="auto"/>
              <w:ind w:right="-1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投标人信用记录证明材料</w:t>
            </w:r>
          </w:p>
        </w:tc>
        <w:tc>
          <w:tcPr>
            <w:tcW w:w="2835" w:type="dxa"/>
            <w:vAlign w:val="center"/>
          </w:tcPr>
          <w:p>
            <w:pPr>
              <w:spacing w:after="50" w:line="360" w:lineRule="auto"/>
              <w:ind w:right="-1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szCs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14:textFill>
                  <w14:solidFill>
                    <w14:schemeClr w14:val="tx1"/>
                  </w14:solidFill>
                </w14:textFill>
              </w:rPr>
              <w:t>提供信用记录证明材料扫描件，</w:t>
            </w:r>
            <w:r>
              <w:rPr>
                <w:rFonts w:hint="eastAsia" w:ascii="宋体" w:hAnsi="宋体"/>
                <w:color w:val="000000" w:themeColor="text1"/>
                <w:sz w:val="24"/>
                <w:szCs w:val="24"/>
                <w14:textFill>
                  <w14:solidFill>
                    <w14:schemeClr w14:val="tx1"/>
                  </w14:solidFill>
                </w14:textFill>
              </w:rPr>
              <w:t>详见第七章响应文件格式</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投标人信用承诺</w:t>
            </w:r>
            <w:r>
              <w:rPr>
                <w:rFonts w:hint="eastAsia" w:ascii="宋体" w:hAnsi="宋体"/>
                <w:color w:val="000000" w:themeColor="text1"/>
                <w:sz w:val="24"/>
                <w14:textFill>
                  <w14:solidFill>
                    <w14:schemeClr w14:val="tx1"/>
                  </w14:solidFill>
                </w14:textFill>
              </w:rPr>
              <w:t>”</w:t>
            </w:r>
            <w:r>
              <w:rPr>
                <w:rFonts w:hint="eastAsia" w:ascii="宋体" w:hAnsi="宋体"/>
                <w:bCs/>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w:t>
            </w:r>
          </w:p>
        </w:tc>
        <w:tc>
          <w:tcPr>
            <w:tcW w:w="2127" w:type="dxa"/>
            <w:vAlign w:val="center"/>
          </w:tcPr>
          <w:p>
            <w:pPr>
              <w:spacing w:after="50"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开标一览表</w:t>
            </w:r>
          </w:p>
        </w:tc>
        <w:tc>
          <w:tcPr>
            <w:tcW w:w="2835" w:type="dxa"/>
            <w:vAlign w:val="center"/>
          </w:tcPr>
          <w:p>
            <w:pPr>
              <w:spacing w:after="50"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第七章投标文件格式一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w:t>
            </w:r>
          </w:p>
        </w:tc>
        <w:tc>
          <w:tcPr>
            <w:tcW w:w="2127"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投标报价</w:t>
            </w:r>
          </w:p>
        </w:tc>
        <w:tc>
          <w:tcPr>
            <w:tcW w:w="2835" w:type="dxa"/>
            <w:vAlign w:val="center"/>
          </w:tcPr>
          <w:p>
            <w:pPr>
              <w:spacing w:after="50" w:line="360" w:lineRule="auto"/>
              <w:ind w:right="-10"/>
              <w:jc w:val="center"/>
              <w:rPr>
                <w:rFonts w:ascii="宋体" w:hAnsi="宋体"/>
                <w:bCs/>
                <w:color w:val="000000" w:themeColor="text1"/>
                <w:sz w:val="24"/>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w:t>
            </w:r>
          </w:p>
        </w:tc>
        <w:tc>
          <w:tcPr>
            <w:tcW w:w="2127" w:type="dxa"/>
            <w:vAlign w:val="center"/>
          </w:tcPr>
          <w:p>
            <w:pPr>
              <w:autoSpaceDE w:val="0"/>
              <w:autoSpaceDN w:val="0"/>
              <w:adjustRightInd w:val="0"/>
              <w:spacing w:line="430" w:lineRule="exact"/>
              <w:ind w:firstLine="2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投标人资格</w:t>
            </w:r>
          </w:p>
        </w:tc>
        <w:tc>
          <w:tcPr>
            <w:tcW w:w="2835" w:type="dxa"/>
            <w:vAlign w:val="center"/>
          </w:tcPr>
          <w:p>
            <w:pPr>
              <w:spacing w:line="420" w:lineRule="exact"/>
              <w:ind w:right="-11"/>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详见第一章投标邀请</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投标人资格</w:t>
            </w:r>
            <w:r>
              <w:rPr>
                <w:rFonts w:hint="eastAsia" w:ascii="宋体" w:hAnsi="宋体"/>
                <w:color w:val="000000" w:themeColor="text1"/>
                <w:sz w:val="24"/>
                <w14:textFill>
                  <w14:solidFill>
                    <w14:schemeClr w14:val="tx1"/>
                  </w14:solidFill>
                </w14:textFill>
              </w:rPr>
              <w:t>”</w:t>
            </w:r>
            <w:r>
              <w:rPr>
                <w:rFonts w:hint="eastAsia" w:ascii="宋体" w:hAnsi="宋体"/>
                <w:bCs/>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Align w:val="center"/>
          </w:tcPr>
          <w:p>
            <w:pPr>
              <w:adjustRightInd w:val="0"/>
              <w:snapToGrid w:val="0"/>
              <w:spacing w:line="360" w:lineRule="auto"/>
              <w:ind w:right="-10"/>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9</w:t>
            </w:r>
          </w:p>
        </w:tc>
        <w:tc>
          <w:tcPr>
            <w:tcW w:w="2127"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标书响应情况</w:t>
            </w:r>
          </w:p>
        </w:tc>
        <w:tc>
          <w:tcPr>
            <w:tcW w:w="2835"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付款响应、完工期响应、质保期响应等</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8" w:hRule="atLeast"/>
        </w:trPr>
        <w:tc>
          <w:tcPr>
            <w:tcW w:w="709" w:type="dxa"/>
            <w:vAlign w:val="center"/>
          </w:tcPr>
          <w:p>
            <w:pPr>
              <w:adjustRightInd w:val="0"/>
              <w:snapToGrid w:val="0"/>
              <w:spacing w:line="360" w:lineRule="auto"/>
              <w:ind w:right="-10"/>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0</w:t>
            </w:r>
          </w:p>
        </w:tc>
        <w:tc>
          <w:tcPr>
            <w:tcW w:w="2127" w:type="dxa"/>
            <w:vAlign w:val="center"/>
          </w:tcPr>
          <w:p>
            <w:pPr>
              <w:spacing w:after="50"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标书规范性</w:t>
            </w:r>
          </w:p>
        </w:tc>
        <w:tc>
          <w:tcPr>
            <w:tcW w:w="2835" w:type="dxa"/>
            <w:vAlign w:val="center"/>
          </w:tcPr>
          <w:p>
            <w:pPr>
              <w:pStyle w:val="66"/>
              <w:pBdr>
                <w:bottom w:val="none" w:color="auto" w:sz="0" w:space="0"/>
              </w:pBdr>
              <w:tabs>
                <w:tab w:val="clear" w:pos="4153"/>
                <w:tab w:val="clear" w:pos="8306"/>
              </w:tabs>
              <w:adjustRightInd/>
              <w:spacing w:after="50" w:line="360" w:lineRule="auto"/>
              <w:ind w:right="-10"/>
              <w:jc w:val="center"/>
              <w:textAlignment w:val="auto"/>
              <w:rPr>
                <w:rFonts w:ascii="宋体" w:hAnsi="宋体"/>
                <w:color w:val="000000" w:themeColor="text1"/>
                <w:kern w:val="2"/>
                <w14:textFill>
                  <w14:solidFill>
                    <w14:schemeClr w14:val="tx1"/>
                  </w14:solidFill>
                </w14:textFill>
              </w:rPr>
            </w:pPr>
            <w:r>
              <w:rPr>
                <w:rFonts w:hint="eastAsia" w:ascii="宋体" w:hAnsi="宋体"/>
                <w:color w:val="000000" w:themeColor="text1"/>
                <w14:textFill>
                  <w14:solidFill>
                    <w14:schemeClr w14:val="tx1"/>
                  </w14:solidFill>
                </w14:textFill>
              </w:rPr>
              <w:t>无严重的编排混乱、内容不全或字迹模糊辨认不清、前后矛盾情况，对评标无实质性影响的</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1" w:hRule="atLeast"/>
        </w:trPr>
        <w:tc>
          <w:tcPr>
            <w:tcW w:w="709" w:type="dxa"/>
            <w:vAlign w:val="center"/>
          </w:tcPr>
          <w:p>
            <w:pPr>
              <w:adjustRightInd w:val="0"/>
              <w:snapToGrid w:val="0"/>
              <w:spacing w:line="360" w:lineRule="auto"/>
              <w:ind w:right="-10"/>
              <w:jc w:val="center"/>
              <w:rPr>
                <w:rFonts w:hint="eastAsia" w:ascii="宋体" w:hAnsi="宋体" w:eastAsia="宋体"/>
                <w:color w:val="000000" w:themeColor="text1"/>
                <w:sz w:val="24"/>
                <w:lang w:val="en-US" w:eastAsia="zh-CN"/>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1</w:t>
            </w:r>
          </w:p>
        </w:tc>
        <w:tc>
          <w:tcPr>
            <w:tcW w:w="2127"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其他要求</w:t>
            </w:r>
          </w:p>
        </w:tc>
        <w:tc>
          <w:tcPr>
            <w:tcW w:w="2835"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上述指标中未列出，但国家相关法律法规或谈判文件有明确规定的</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490" w:type="dxa"/>
            <w:gridSpan w:val="5"/>
            <w:vAlign w:val="center"/>
          </w:tcPr>
          <w:p>
            <w:pPr>
              <w:spacing w:before="139" w:line="360" w:lineRule="auto"/>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（1）资格审查采用定性方法，符合性评审，所有评审选项必须全部通过方为合格。</w:t>
            </w:r>
          </w:p>
          <w:p>
            <w:pPr>
              <w:adjustRightInd w:val="0"/>
              <w:snapToGrid w:val="0"/>
              <w:spacing w:line="360" w:lineRule="auto"/>
              <w:ind w:right="-10"/>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评标委员会根据表中所列各项指标对投标人是否为有效标进行评审，未列入上表中的指标不得作为废标依据。符合评审指标通过标准的，为有效投标。未通过评审的投标人将不参与技术标、商务标评审。</w:t>
            </w:r>
          </w:p>
          <w:p>
            <w:pPr>
              <w:adjustRightInd w:val="0"/>
              <w:snapToGrid w:val="0"/>
              <w:spacing w:line="360" w:lineRule="auto"/>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（2）投标人提供的资料不全、不清楚、超出有效期等情况，将由评审委员会按照对投标人不利的解释去理解，由此产生的一切后果由投标人自行承担。</w:t>
            </w:r>
          </w:p>
          <w:p>
            <w:pPr>
              <w:spacing w:line="360" w:lineRule="auto"/>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3）投标人提供的与投标有关的各类证书、证明、文件、资料等的真实性、合法性由投标人负全责。如发现投标人有弄虚作假或提供不实信息以骗取中标的行为，无论在投标有效期内还是在工程实施过程中，一经发现，将被取消其中标资格或终止合同，视为企业不诚信行为。</w:t>
            </w:r>
          </w:p>
        </w:tc>
      </w:tr>
    </w:tbl>
    <w:p>
      <w:pPr>
        <w:adjustRightInd w:val="0"/>
        <w:snapToGrid w:val="0"/>
        <w:spacing w:line="360" w:lineRule="auto"/>
        <w:ind w:right="-10"/>
        <w:rPr>
          <w:rFonts w:ascii="宋体" w:hAnsi="宋体"/>
          <w:bCs/>
          <w:color w:val="000000" w:themeColor="text1"/>
          <w:sz w:val="24"/>
          <w:szCs w:val="24"/>
          <w14:textFill>
            <w14:solidFill>
              <w14:schemeClr w14:val="tx1"/>
            </w14:solidFill>
          </w14:textFill>
        </w:rPr>
      </w:pPr>
    </w:p>
    <w:p>
      <w:pPr>
        <w:spacing w:line="500" w:lineRule="exact"/>
        <w:ind w:left="143" w:leftChars="68" w:firstLine="361" w:firstLineChars="150"/>
        <w:rPr>
          <w:rFonts w:ascii="宋体" w:hAnsi="宋体"/>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9.</w:t>
      </w:r>
      <w:r>
        <w:rPr>
          <w:rFonts w:hint="eastAsia" w:ascii="宋体" w:hAnsi="宋体"/>
          <w:bCs/>
          <w:color w:val="000000" w:themeColor="text1"/>
          <w:sz w:val="24"/>
          <w14:textFill>
            <w14:solidFill>
              <w14:schemeClr w14:val="tx1"/>
            </w14:solidFill>
          </w14:textFill>
        </w:rPr>
        <w:t>价格评审:</w:t>
      </w:r>
      <w:r>
        <w:rPr>
          <w:rFonts w:hint="eastAsia" w:ascii="宋体" w:hAnsi="宋体"/>
          <w:color w:val="000000" w:themeColor="text1"/>
          <w:sz w:val="24"/>
          <w14:textFill>
            <w14:solidFill>
              <w14:schemeClr w14:val="tx1"/>
            </w14:solidFill>
          </w14:textFill>
        </w:rPr>
        <w:t xml:space="preserve"> </w:t>
      </w:r>
      <w:r>
        <w:rPr>
          <w:rFonts w:hint="eastAsia" w:ascii="宋体" w:hAnsi="宋体"/>
          <w:bCs/>
          <w:color w:val="000000" w:themeColor="text1"/>
          <w:sz w:val="24"/>
          <w14:textFill>
            <w14:solidFill>
              <w14:schemeClr w14:val="tx1"/>
            </w14:solidFill>
          </w14:textFill>
        </w:rPr>
        <w:t>对通过</w:t>
      </w:r>
      <w:r>
        <w:rPr>
          <w:rFonts w:hint="eastAsia" w:ascii="宋体" w:hAnsi="宋体"/>
          <w:color w:val="000000" w:themeColor="text1"/>
          <w:sz w:val="24"/>
          <w14:textFill>
            <w14:solidFill>
              <w14:schemeClr w14:val="tx1"/>
            </w14:solidFill>
          </w14:textFill>
        </w:rPr>
        <w:t>有效性评审</w:t>
      </w:r>
      <w:r>
        <w:rPr>
          <w:rFonts w:hint="eastAsia" w:ascii="宋体" w:hAnsi="宋体"/>
          <w:bCs/>
          <w:color w:val="000000" w:themeColor="text1"/>
          <w:sz w:val="24"/>
          <w14:textFill>
            <w14:solidFill>
              <w14:schemeClr w14:val="tx1"/>
            </w14:solidFill>
          </w14:textFill>
        </w:rPr>
        <w:t>的有效投标人，按其最终报价（评标价）由低到高的顺序选出中标候选人。</w:t>
      </w:r>
    </w:p>
    <w:p>
      <w:pPr>
        <w:spacing w:line="360" w:lineRule="auto"/>
        <w:ind w:right="-10" w:firstLine="482"/>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10.</w:t>
      </w:r>
      <w:r>
        <w:rPr>
          <w:rFonts w:hint="eastAsia" w:ascii="宋体" w:hAnsi="宋体"/>
          <w:color w:val="000000" w:themeColor="text1"/>
          <w:sz w:val="24"/>
          <w:szCs w:val="24"/>
          <w14:textFill>
            <w14:solidFill>
              <w14:schemeClr w14:val="tx1"/>
            </w14:solidFill>
          </w14:textFill>
        </w:rPr>
        <w:t>如果有效投标报价出现两家或两家以上相同者，则采取评标委员会抽签方式确定其前后次序。</w:t>
      </w:r>
    </w:p>
    <w:p>
      <w:pPr>
        <w:adjustRightInd w:val="0"/>
        <w:snapToGrid w:val="0"/>
        <w:spacing w:line="360" w:lineRule="auto"/>
        <w:ind w:right="-10" w:firstLine="482" w:firstLineChars="200"/>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11.</w:t>
      </w:r>
      <w:r>
        <w:rPr>
          <w:rFonts w:hint="eastAsia" w:ascii="宋体" w:hAnsi="宋体"/>
          <w:color w:val="000000" w:themeColor="text1"/>
          <w:sz w:val="24"/>
          <w:szCs w:val="24"/>
          <w14:textFill>
            <w14:solidFill>
              <w14:schemeClr w14:val="tx1"/>
            </w14:solidFill>
          </w14:textFill>
        </w:rPr>
        <w:t>评标委员会在评标过程中发现的问题，应当及时作出处理或者向招标人提出处理建议，并作书面记录。</w:t>
      </w:r>
    </w:p>
    <w:p>
      <w:pPr>
        <w:adjustRightInd w:val="0"/>
        <w:snapToGrid w:val="0"/>
        <w:spacing w:line="360" w:lineRule="auto"/>
        <w:ind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12.</w:t>
      </w:r>
      <w:r>
        <w:rPr>
          <w:rFonts w:hint="eastAsia" w:ascii="宋体" w:hAnsi="宋体"/>
          <w:color w:val="000000" w:themeColor="text1"/>
          <w:sz w:val="24"/>
          <w:szCs w:val="24"/>
          <w14:textFill>
            <w14:solidFill>
              <w14:schemeClr w14:val="tx1"/>
            </w14:solidFill>
          </w14:textFill>
        </w:rPr>
        <w:t>在评审过程中，评标委员会发现投标人的报价或者某些分项报价可能低于成本或者高于招标文件设定的最高投标限价的，评标委员会将以询标的方式告知并要求投标人以书面方式进行必要的说明或补正，经评标委员会认定其报价低于成本或者高于招标文件设定的最高投标限价的，将否决其投标。对于询标后判定为不符合招标文件的报价，评委要提出充足的否定理由，并予以书面记录。最终对投标人的评审结论分为通过和未通过。</w:t>
      </w:r>
    </w:p>
    <w:p>
      <w:pPr>
        <w:adjustRightInd w:val="0"/>
        <w:snapToGrid w:val="0"/>
        <w:spacing w:line="360" w:lineRule="auto"/>
        <w:ind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13.</w:t>
      </w:r>
      <w:r>
        <w:rPr>
          <w:rFonts w:hint="eastAsia" w:ascii="宋体" w:hAnsi="宋体"/>
          <w:color w:val="000000" w:themeColor="text1"/>
          <w:sz w:val="24"/>
          <w:szCs w:val="24"/>
          <w14:textFill>
            <w14:solidFill>
              <w14:schemeClr w14:val="tx1"/>
            </w14:solidFill>
          </w14:textFill>
        </w:rPr>
        <w:t>投标人投标报价与公布的预算价（或控制价)相比降幅过小，或投标人投标报价明显缺乏竞争性的，评标委员会可以否决所有投标。</w:t>
      </w:r>
    </w:p>
    <w:p>
      <w:pPr>
        <w:adjustRightInd w:val="0"/>
        <w:snapToGrid w:val="0"/>
        <w:spacing w:line="360" w:lineRule="auto"/>
        <w:ind w:right="-10" w:firstLine="472" w:firstLineChars="196"/>
        <w:rPr>
          <w:rFonts w:ascii="宋体" w:hAnsi="宋体"/>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14.</w:t>
      </w:r>
      <w:r>
        <w:rPr>
          <w:rFonts w:hint="eastAsia" w:ascii="宋体" w:hAnsi="宋体"/>
          <w:bCs/>
          <w:color w:val="000000" w:themeColor="text1"/>
          <w:sz w:val="24"/>
          <w:szCs w:val="24"/>
          <w14:textFill>
            <w14:solidFill>
              <w14:schemeClr w14:val="tx1"/>
            </w14:solidFill>
          </w14:textFill>
        </w:rPr>
        <w:t>评标后，评标委员会应写出评标报告并签字。评标报告是评标委员会根据全体评标成员签字的原始评标记录和评标结果编写的报告，评标委员会全体成员及监督员均须在评标报告上签字。评标报告应如实记录本次评标的主要过程，全面反映评标过程中的各种不同的意见，以及其他澄清、说明、补正事项。</w:t>
      </w:r>
    </w:p>
    <w:p>
      <w:pPr>
        <w:adjustRightInd w:val="0"/>
        <w:snapToGrid w:val="0"/>
        <w:spacing w:line="360" w:lineRule="auto"/>
        <w:ind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15.</w:t>
      </w:r>
      <w:r>
        <w:rPr>
          <w:rFonts w:hint="eastAsia" w:ascii="宋体" w:hAnsi="宋体"/>
          <w:color w:val="000000" w:themeColor="text1"/>
          <w:sz w:val="24"/>
          <w:szCs w:val="24"/>
          <w14:textFill>
            <w14:solidFill>
              <w14:schemeClr w14:val="tx1"/>
            </w14:solidFill>
          </w14:textFill>
        </w:rPr>
        <w:t xml:space="preserve"> 评标委员会和评标工作人员应严格遵守国家的法律、法规和规章制度；严格按照本次招标文件进行评标；公正廉洁、不徇私情，不得损害国家利益；保护招、投标人的合法权益。</w:t>
      </w:r>
    </w:p>
    <w:p>
      <w:pPr>
        <w:spacing w:line="360" w:lineRule="auto"/>
        <w:ind w:firstLine="482" w:firstLineChars="200"/>
        <w:rPr>
          <w:rFonts w:ascii="宋体" w:hAnsi="宋体"/>
          <w:i/>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16.</w:t>
      </w:r>
      <w:r>
        <w:rPr>
          <w:rFonts w:hint="eastAsia" w:ascii="宋体" w:hAnsi="宋体"/>
          <w:bCs/>
          <w:color w:val="000000" w:themeColor="text1"/>
          <w:sz w:val="24"/>
          <w:szCs w:val="24"/>
          <w14:textFill>
            <w14:solidFill>
              <w14:schemeClr w14:val="tx1"/>
            </w14:solidFill>
          </w14:textFill>
        </w:rPr>
        <w:t>在评标过程中，评委及其他评标工作人员必须对评标情况严格保密，任何人不得将评标情况透露给与投标人有关的单位和个人。</w:t>
      </w:r>
    </w:p>
    <w:p>
      <w:pPr>
        <w:pStyle w:val="21"/>
        <w:spacing w:line="360" w:lineRule="auto"/>
        <w:rPr>
          <w:rFonts w:cs="黑体" w:asciiTheme="minorEastAsia" w:hAnsiTheme="minorEastAsia" w:eastAsiaTheme="minorEastAsia"/>
          <w:b/>
          <w:color w:val="000000" w:themeColor="text1"/>
          <w:sz w:val="24"/>
          <w:szCs w:val="24"/>
          <w14:textFill>
            <w14:solidFill>
              <w14:schemeClr w14:val="tx1"/>
            </w14:solidFill>
          </w14:textFill>
        </w:rPr>
      </w:pPr>
      <w:r>
        <w:rPr>
          <w:rFonts w:hint="eastAsia" w:cs="黑体" w:asciiTheme="minorEastAsia" w:hAnsiTheme="minorEastAsia" w:eastAsiaTheme="minorEastAsia"/>
          <w:b/>
          <w:color w:val="000000" w:themeColor="text1"/>
          <w:sz w:val="24"/>
          <w:szCs w:val="24"/>
          <w14:textFill>
            <w14:solidFill>
              <w14:schemeClr w14:val="tx1"/>
            </w14:solidFill>
          </w14:textFill>
        </w:rPr>
        <w:t>17. 其他</w:t>
      </w:r>
    </w:p>
    <w:p>
      <w:pPr>
        <w:pStyle w:val="83"/>
        <w:spacing w:line="360" w:lineRule="auto"/>
        <w:ind w:firstLine="482" w:firstLineChars="200"/>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bCs/>
          <w:color w:val="000000" w:themeColor="text1"/>
          <w:kern w:val="0"/>
          <w:sz w:val="24"/>
          <w14:textFill>
            <w14:solidFill>
              <w14:schemeClr w14:val="tx1"/>
            </w14:solidFill>
          </w14:textFill>
        </w:rPr>
        <w:t>投标人提供的与投标有关的各类证书、证明、文件、资料等的真实性、合法性由投标人负全责。如发现投标人有弄虚作假或提供不实信息的行为，无论在投标有效期内还是在工程实施过程中，一经发现，将被取消其中标资格或终止合同，视为企业不诚信行为。</w:t>
      </w:r>
      <w:r>
        <w:rPr>
          <w:rFonts w:hint="eastAsia" w:asciiTheme="minorEastAsia" w:hAnsiTheme="minorEastAsia" w:eastAsiaTheme="minorEastAsia"/>
          <w:b/>
          <w:bCs/>
          <w:color w:val="auto"/>
          <w:kern w:val="0"/>
          <w:sz w:val="24"/>
          <w:highlight w:val="none"/>
        </w:rPr>
        <w:t>合肥</w:t>
      </w:r>
      <w:r>
        <w:rPr>
          <w:rFonts w:hint="eastAsia" w:asciiTheme="minorEastAsia" w:hAnsiTheme="minorEastAsia" w:eastAsiaTheme="minorEastAsia"/>
          <w:b/>
          <w:bCs/>
          <w:color w:val="auto"/>
          <w:kern w:val="0"/>
          <w:sz w:val="24"/>
          <w:highlight w:val="none"/>
          <w:lang w:val="en-US" w:eastAsia="zh-CN"/>
        </w:rPr>
        <w:t>体育产业投资有限公司</w:t>
      </w:r>
      <w:r>
        <w:rPr>
          <w:rFonts w:hint="eastAsia" w:asciiTheme="minorEastAsia" w:hAnsiTheme="minorEastAsia" w:eastAsiaTheme="minorEastAsia"/>
          <w:b/>
          <w:bCs/>
          <w:color w:val="000000" w:themeColor="text1"/>
          <w:kern w:val="0"/>
          <w:sz w:val="24"/>
          <w14:textFill>
            <w14:solidFill>
              <w14:schemeClr w14:val="tx1"/>
            </w14:solidFill>
          </w14:textFill>
        </w:rPr>
        <w:t>将按相关规定予以处罚并记入不良行为记录，予以披露</w:t>
      </w:r>
      <w:r>
        <w:rPr>
          <w:rFonts w:hint="eastAsia" w:asciiTheme="minorEastAsia" w:hAnsiTheme="minorEastAsia" w:eastAsiaTheme="minorEastAsia"/>
          <w:b/>
          <w:color w:val="000000" w:themeColor="text1"/>
          <w:sz w:val="24"/>
          <w14:textFill>
            <w14:solidFill>
              <w14:schemeClr w14:val="tx1"/>
            </w14:solidFill>
          </w14:textFill>
        </w:rPr>
        <w:t>。</w:t>
      </w:r>
    </w:p>
    <w:p>
      <w:pPr>
        <w:spacing w:line="360" w:lineRule="auto"/>
        <w:ind w:firstLine="480" w:firstLineChars="200"/>
        <w:rPr>
          <w:rFonts w:ascii="宋体" w:hAnsi="宋体"/>
          <w:bCs/>
          <w:color w:val="000000" w:themeColor="text1"/>
          <w:sz w:val="24"/>
          <w:szCs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pStyle w:val="58"/>
        <w:rPr>
          <w:rFonts w:ascii="宋体" w:hAnsi="宋体"/>
          <w:bCs/>
          <w:color w:val="000000" w:themeColor="text1"/>
          <w:sz w:val="24"/>
          <w14:textFill>
            <w14:solidFill>
              <w14:schemeClr w14:val="tx1"/>
            </w14:solidFill>
          </w14:textFill>
        </w:rPr>
      </w:pPr>
    </w:p>
    <w:bookmarkEnd w:id="66"/>
    <w:p>
      <w:pPr>
        <w:pStyle w:val="2"/>
        <w:ind w:left="0" w:leftChars="0" w:firstLine="0" w:firstLineChars="0"/>
        <w:rPr>
          <w:rFonts w:ascii="宋体" w:hAnsi="宋体"/>
          <w:color w:val="000000" w:themeColor="text1"/>
          <w14:textFill>
            <w14:solidFill>
              <w14:schemeClr w14:val="tx1"/>
            </w14:solidFill>
          </w14:textFill>
        </w:rPr>
      </w:pPr>
    </w:p>
    <w:p>
      <w:pPr>
        <w:pStyle w:val="2"/>
        <w:ind w:left="0" w:leftChars="0" w:firstLine="0" w:firstLineChars="0"/>
        <w:rPr>
          <w:rFonts w:ascii="宋体" w:hAnsi="宋体"/>
          <w:color w:val="000000" w:themeColor="text1"/>
          <w14:textFill>
            <w14:solidFill>
              <w14:schemeClr w14:val="tx1"/>
            </w14:solidFill>
          </w14:textFill>
        </w:rPr>
      </w:pPr>
    </w:p>
    <w:p>
      <w:pPr>
        <w:pStyle w:val="2"/>
        <w:ind w:left="0" w:leftChars="0" w:firstLine="0" w:firstLineChars="0"/>
        <w:rPr>
          <w:rFonts w:ascii="宋体" w:hAnsi="宋体"/>
          <w:color w:val="000000" w:themeColor="text1"/>
          <w14:textFill>
            <w14:solidFill>
              <w14:schemeClr w14:val="tx1"/>
            </w14:solidFill>
          </w14:textFill>
        </w:rPr>
      </w:pPr>
    </w:p>
    <w:p>
      <w:pPr>
        <w:pStyle w:val="2"/>
        <w:ind w:left="0" w:leftChars="0" w:firstLine="0" w:firstLineChars="0"/>
        <w:rPr>
          <w:rFonts w:ascii="宋体" w:hAnsi="宋体"/>
          <w:color w:val="000000" w:themeColor="text1"/>
          <w14:textFill>
            <w14:solidFill>
              <w14:schemeClr w14:val="tx1"/>
            </w14:solidFill>
          </w14:textFill>
        </w:rPr>
      </w:pPr>
    </w:p>
    <w:p>
      <w:pPr>
        <w:pStyle w:val="2"/>
        <w:ind w:left="0" w:leftChars="0" w:firstLine="0" w:firstLineChars="0"/>
        <w:rPr>
          <w:rFonts w:ascii="宋体" w:hAnsi="宋体"/>
          <w:color w:val="000000" w:themeColor="text1"/>
          <w14:textFill>
            <w14:solidFill>
              <w14:schemeClr w14:val="tx1"/>
            </w14:solidFill>
          </w14:textFill>
        </w:rPr>
      </w:pPr>
    </w:p>
    <w:p>
      <w:pPr>
        <w:pStyle w:val="5"/>
        <w:numPr>
          <w:ilvl w:val="0"/>
          <w:numId w:val="8"/>
        </w:numPr>
        <w:spacing w:line="500" w:lineRule="exact"/>
        <w:jc w:val="center"/>
        <w:rPr>
          <w:rFonts w:ascii="宋体" w:hAnsi="宋体"/>
          <w:color w:val="000000" w:themeColor="text1"/>
          <w14:textFill>
            <w14:solidFill>
              <w14:schemeClr w14:val="tx1"/>
            </w14:solidFill>
          </w14:textFill>
        </w:rPr>
      </w:pPr>
      <w:bookmarkStart w:id="67" w:name="_Toc220232392"/>
      <w:bookmarkStart w:id="68" w:name="_Toc5990"/>
      <w:r>
        <w:rPr>
          <w:rFonts w:ascii="宋体" w:hAnsi="宋体"/>
          <w:color w:val="000000" w:themeColor="text1"/>
          <w14:textFill>
            <w14:solidFill>
              <w14:schemeClr w14:val="tx1"/>
            </w14:solidFill>
          </w14:textFill>
        </w:rPr>
        <w:t>合同</w:t>
      </w:r>
      <w:bookmarkEnd w:id="67"/>
      <w:bookmarkEnd w:id="68"/>
    </w:p>
    <w:p>
      <w:pPr>
        <w:rPr>
          <w:color w:val="000000" w:themeColor="text1"/>
          <w14:textFill>
            <w14:solidFill>
              <w14:schemeClr w14:val="tx1"/>
            </w14:solidFill>
          </w14:textFill>
        </w:rPr>
      </w:pPr>
    </w:p>
    <w:p>
      <w:pPr>
        <w:spacing w:line="490" w:lineRule="exact"/>
        <w:ind w:firstLine="480" w:firstLineChars="200"/>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游泳池</w:t>
      </w:r>
      <w:r>
        <w:rPr>
          <w:rFonts w:hint="eastAsia" w:ascii="宋体" w:hAnsi="宋体"/>
          <w:bCs/>
          <w:color w:val="000000" w:themeColor="text1"/>
          <w:sz w:val="24"/>
          <w:lang w:val="en-US" w:eastAsia="zh-CN"/>
          <w14:textFill>
            <w14:solidFill>
              <w14:schemeClr w14:val="tx1"/>
            </w14:solidFill>
          </w14:textFill>
        </w:rPr>
        <w:t>水处理</w:t>
      </w:r>
      <w:r>
        <w:rPr>
          <w:rFonts w:hint="eastAsia" w:ascii="宋体" w:hAnsi="宋体"/>
          <w:bCs/>
          <w:color w:val="000000" w:themeColor="text1"/>
          <w:sz w:val="24"/>
          <w14:textFill>
            <w14:solidFill>
              <w14:schemeClr w14:val="tx1"/>
            </w14:solidFill>
          </w14:textFill>
        </w:rPr>
        <w:t>药剂</w:t>
      </w:r>
      <w:r>
        <w:rPr>
          <w:rFonts w:hint="eastAsia" w:ascii="宋体" w:hAnsi="宋体"/>
          <w:bCs/>
          <w:color w:val="000000" w:themeColor="text1"/>
          <w:sz w:val="24"/>
          <w:lang w:val="en-US" w:eastAsia="zh-CN"/>
          <w14:textFill>
            <w14:solidFill>
              <w14:schemeClr w14:val="tx1"/>
            </w14:solidFill>
          </w14:textFill>
        </w:rPr>
        <w:t>及水质检测养护</w:t>
      </w:r>
      <w:r>
        <w:rPr>
          <w:rFonts w:hint="eastAsia" w:ascii="宋体" w:hAnsi="宋体"/>
          <w:bCs/>
          <w:color w:val="000000" w:themeColor="text1"/>
          <w:sz w:val="24"/>
          <w14:textFill>
            <w14:solidFill>
              <w14:schemeClr w14:val="tx1"/>
            </w14:solidFill>
          </w14:textFill>
        </w:rPr>
        <w:t>承包合同</w:t>
      </w:r>
    </w:p>
    <w:p>
      <w:pPr>
        <w:spacing w:line="490" w:lineRule="exact"/>
        <w:ind w:firstLine="480" w:firstLineChars="200"/>
        <w:jc w:val="righ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合同编号：HFTYCY--****-**</w:t>
      </w:r>
    </w:p>
    <w:p>
      <w:pPr>
        <w:spacing w:line="490" w:lineRule="exact"/>
        <w:ind w:firstLine="480" w:firstLineChars="200"/>
        <w:rPr>
          <w:rFonts w:ascii="宋体" w:hAnsi="宋体"/>
          <w:bCs/>
          <w:color w:val="000000" w:themeColor="text1"/>
          <w:sz w:val="24"/>
          <w14:textFill>
            <w14:solidFill>
              <w14:schemeClr w14:val="tx1"/>
            </w14:solidFill>
          </w14:textFill>
        </w:rPr>
      </w:pP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甲方：                         （以下简称甲方）   </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乙方：                         （以下简称乙方）</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根据《中华人民共和国</w:t>
      </w:r>
      <w:r>
        <w:rPr>
          <w:rFonts w:hint="eastAsia" w:ascii="宋体" w:hAnsi="宋体"/>
          <w:bCs/>
          <w:color w:val="000000" w:themeColor="text1"/>
          <w:sz w:val="24"/>
          <w:lang w:val="en-US" w:eastAsia="zh-CN"/>
          <w14:textFill>
            <w14:solidFill>
              <w14:schemeClr w14:val="tx1"/>
            </w14:solidFill>
          </w14:textFill>
        </w:rPr>
        <w:t>民法典</w:t>
      </w:r>
      <w:r>
        <w:rPr>
          <w:rFonts w:hint="eastAsia" w:ascii="宋体" w:hAnsi="宋体"/>
          <w:bCs/>
          <w:color w:val="000000" w:themeColor="text1"/>
          <w:sz w:val="24"/>
          <w14:textFill>
            <w14:solidFill>
              <w14:schemeClr w14:val="tx1"/>
            </w14:solidFill>
          </w14:textFill>
        </w:rPr>
        <w:t>》及其他有关法律、行政法规，遵循平等、自愿、公平和诚实信用的原则，双方经协商，就【合肥体育中心和天鹅湖全民健身中心游泳池药剂</w:t>
      </w:r>
      <w:r>
        <w:rPr>
          <w:rFonts w:hint="eastAsia" w:ascii="宋体" w:hAnsi="宋体"/>
          <w:bCs/>
          <w:color w:val="000000" w:themeColor="text1"/>
          <w:sz w:val="24"/>
          <w:lang w:val="en-US" w:eastAsia="zh-CN"/>
          <w14:textFill>
            <w14:solidFill>
              <w14:schemeClr w14:val="tx1"/>
            </w14:solidFill>
          </w14:textFill>
        </w:rPr>
        <w:t>及水质检测养护</w:t>
      </w:r>
      <w:r>
        <w:rPr>
          <w:rFonts w:hint="eastAsia" w:ascii="宋体" w:hAnsi="宋体"/>
          <w:bCs/>
          <w:color w:val="000000" w:themeColor="text1"/>
          <w:sz w:val="24"/>
          <w14:textFill>
            <w14:solidFill>
              <w14:schemeClr w14:val="tx1"/>
            </w14:solidFill>
          </w14:textFill>
        </w:rPr>
        <w:t>】采购事项协商一致，订立本合同。</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一、服务内容：</w:t>
      </w:r>
    </w:p>
    <w:p>
      <w:pPr>
        <w:pStyle w:val="58"/>
        <w:keepNext w:val="0"/>
        <w:keepLines w:val="0"/>
        <w:pageBreakBefore w:val="0"/>
        <w:numPr>
          <w:ilvl w:val="0"/>
          <w:numId w:val="0"/>
        </w:numPr>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提供对合肥体育中心游泳馆【训练池1650m³、竞赛池3750m³、跳水池3</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50m³（泳池实际容量以现场勘测为准，其中竞赛池或跳水池每年开放时间一般不超过3个月）】和天鹅湖全民健身中心游泳馆（训练池、戏水池）202</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4</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年度的水处理药剂、水质</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检测、养护</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服务、自动投药设备的维护</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等</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（水处理药剂主要包括不限于</w:t>
      </w:r>
      <w:r>
        <w:rPr>
          <w:rFonts w:hint="eastAsia" w:ascii="宋体" w:hAnsi="宋体"/>
          <w:bCs/>
          <w:color w:val="000000" w:themeColor="text1"/>
          <w:sz w:val="24"/>
          <w:highlight w:val="none"/>
          <w:lang w:val="en-US" w:eastAsia="zh-CN"/>
          <w14:textFill>
            <w14:solidFill>
              <w14:schemeClr w14:val="tx1"/>
            </w14:solidFill>
          </w14:textFill>
        </w:rPr>
        <w:t>次氯酸钠</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、杀菌剂、</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超级浓缩</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澄清剂、除藻剂、</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氯</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中和剂、PH降低剂、速溶</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氯</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片等）。</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每次药剂送货上门</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提供供货清单，</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产品合格证，检验报告等，</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并由专人签字确认保管。</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3、专人</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定期</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服务，定期提供游泳馆水质检测</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并出具</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分析工作报告（一周一次），对水质不合格情况</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立即进行</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整改；</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4、负责游泳馆自动投药设备维护、维修及水质相关问题的处理工作，提供有效处理方案；</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5、协助卫生主管部门对游泳馆水质检查准备工作，并承担因水质处理不达标的行政处罚责任；</w:t>
      </w:r>
    </w:p>
    <w:p>
      <w:pPr>
        <w:pStyle w:val="2"/>
        <w:ind w:left="0" w:leftChars="0"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6、负责对游泳馆水质管理员进行专业技术培训，及日常工作对接、配合；</w:t>
      </w:r>
    </w:p>
    <w:p>
      <w:pPr>
        <w:pStyle w:val="58"/>
        <w:keepNext w:val="0"/>
        <w:keepLines w:val="0"/>
        <w:pageBreakBefore w:val="0"/>
        <w:numPr>
          <w:ilvl w:val="0"/>
          <w:numId w:val="0"/>
        </w:numPr>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7</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、配合参与其它与游泳馆水质</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检测养护等</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相关工作。</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二、合同价款：</w:t>
      </w:r>
      <w:r>
        <w:rPr>
          <w:rFonts w:hint="eastAsia" w:ascii="宋体" w:hAnsi="宋体"/>
          <w:bCs/>
          <w:color w:val="000000" w:themeColor="text1"/>
          <w:sz w:val="24"/>
          <w:lang w:val="en-US" w:eastAsia="zh-CN"/>
          <w14:textFill>
            <w14:solidFill>
              <w14:schemeClr w14:val="tx1"/>
            </w14:solidFill>
          </w14:textFill>
        </w:rPr>
        <w:t>体育中心及天鹅湖全民健身中心泳池水处理药剂及水质检测养护费用</w:t>
      </w:r>
      <w:r>
        <w:rPr>
          <w:rFonts w:hint="eastAsia" w:ascii="宋体" w:hAnsi="宋体"/>
          <w:bCs/>
          <w:color w:val="000000" w:themeColor="text1"/>
          <w:sz w:val="24"/>
          <w14:textFill>
            <w14:solidFill>
              <w14:schemeClr w14:val="tx1"/>
            </w14:solidFill>
          </w14:textFill>
        </w:rPr>
        <w:t>为不超过人民币：大写（           ）小写（          ）元(其中训练池为常年开放，跳水池、</w:t>
      </w:r>
      <w:r>
        <w:rPr>
          <w:rFonts w:hint="eastAsia" w:ascii="宋体" w:hAnsi="宋体"/>
          <w:bCs/>
          <w:color w:val="000000" w:themeColor="text1"/>
          <w:sz w:val="24"/>
          <w:lang w:val="en-US" w:eastAsia="zh-CN"/>
          <w14:textFill>
            <w14:solidFill>
              <w14:schemeClr w14:val="tx1"/>
            </w14:solidFill>
          </w14:textFill>
        </w:rPr>
        <w:t>竞赛</w:t>
      </w:r>
      <w:r>
        <w:rPr>
          <w:rFonts w:hint="eastAsia" w:ascii="宋体" w:hAnsi="宋体"/>
          <w:bCs/>
          <w:color w:val="000000" w:themeColor="text1"/>
          <w:sz w:val="24"/>
          <w14:textFill>
            <w14:solidFill>
              <w14:schemeClr w14:val="tx1"/>
            </w14:solidFill>
          </w14:textFill>
        </w:rPr>
        <w:t>池</w:t>
      </w:r>
      <w:r>
        <w:rPr>
          <w:rFonts w:hint="eastAsia" w:ascii="宋体" w:hAnsi="宋体"/>
          <w:bCs/>
          <w:color w:val="000000" w:themeColor="text1"/>
          <w:sz w:val="24"/>
          <w:highlight w:val="none"/>
          <w14:textFill>
            <w14:solidFill>
              <w14:schemeClr w14:val="tx1"/>
            </w14:solidFill>
          </w14:textFill>
        </w:rPr>
        <w:t>仅夏季开放，闭馆后无需对水质养护达到可游泳的标准）。本合同价一次性包死，固定不变，</w:t>
      </w:r>
      <w:r>
        <w:rPr>
          <w:rFonts w:hint="eastAsia" w:ascii="宋体" w:hAnsi="宋体"/>
          <w:bCs/>
          <w:color w:val="000000" w:themeColor="text1"/>
          <w:sz w:val="24"/>
          <w14:textFill>
            <w14:solidFill>
              <w14:schemeClr w14:val="tx1"/>
            </w14:solidFill>
          </w14:textFill>
        </w:rPr>
        <w:t>不因包括市场价格涨落、履行期调整等任何因素而调整。合同单价为乙方按照合同约定履行自身全部义务的费用，包括但不限于材料费、人工费、运费、包装费、安装调试费、利润、税费等乙方为履行本合同项下全部义务所需的所有费用。除此之外，甲方无需就本合同项下服务向乙方或第三方支付任何其他费用，若因客观原因导致甲方药剂需求量减少，乙应当根据自身用药量的减少所对应的有关费用，核减甲方应当支付的费用。</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二、服务期限：</w:t>
      </w:r>
    </w:p>
    <w:p>
      <w:pPr>
        <w:spacing w:line="490" w:lineRule="exact"/>
        <w:ind w:firstLine="480" w:firstLineChars="200"/>
        <w:rPr>
          <w:rFonts w:ascii="宋体" w:hAnsi="宋体"/>
          <w:bCs/>
          <w:color w:val="auto"/>
          <w:sz w:val="24"/>
          <w:highlight w:val="none"/>
        </w:rPr>
      </w:pPr>
      <w:r>
        <w:rPr>
          <w:rFonts w:hint="eastAsia" w:ascii="宋体" w:hAnsi="宋体"/>
          <w:bCs/>
          <w:color w:val="auto"/>
          <w:sz w:val="24"/>
          <w:highlight w:val="none"/>
        </w:rPr>
        <w:t>本合同有效期为 12个月；自</w:t>
      </w:r>
      <w:r>
        <w:rPr>
          <w:rFonts w:hint="eastAsia" w:ascii="宋体" w:hAnsi="宋体"/>
          <w:bCs/>
          <w:color w:val="auto"/>
          <w:sz w:val="24"/>
          <w:highlight w:val="none"/>
          <w:lang w:val="en-US" w:eastAsia="zh-CN"/>
        </w:rPr>
        <w:t>实际合同签订之日</w:t>
      </w:r>
      <w:r>
        <w:rPr>
          <w:rFonts w:hint="eastAsia" w:ascii="宋体" w:hAnsi="宋体"/>
          <w:bCs/>
          <w:color w:val="auto"/>
          <w:sz w:val="24"/>
          <w:highlight w:val="none"/>
        </w:rPr>
        <w:t>起。</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三、付款方式：</w:t>
      </w:r>
    </w:p>
    <w:p>
      <w:pPr>
        <w:spacing w:line="490" w:lineRule="exact"/>
        <w:ind w:firstLine="480" w:firstLineChars="200"/>
        <w:rPr>
          <w:rFonts w:hint="eastAsia" w:ascii="宋体" w:hAnsi="宋体"/>
          <w:bCs/>
          <w:color w:val="auto"/>
          <w:sz w:val="24"/>
        </w:rPr>
      </w:pPr>
      <w:r>
        <w:rPr>
          <w:rFonts w:hint="eastAsia" w:ascii="宋体" w:hAnsi="宋体"/>
          <w:bCs/>
          <w:color w:val="auto"/>
          <w:sz w:val="24"/>
          <w:lang w:val="en-US" w:eastAsia="zh-CN"/>
        </w:rPr>
        <w:t>1、根据中标人实际送货量据实结算，按季度支付，全年费用不得超出中标总价（超出部分中标人自行承担）。</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2</w:t>
      </w:r>
      <w:r>
        <w:rPr>
          <w:rFonts w:hint="eastAsia" w:ascii="宋体" w:hAnsi="宋体"/>
          <w:bCs/>
          <w:color w:val="000000" w:themeColor="text1"/>
          <w:sz w:val="24"/>
          <w14:textFill>
            <w14:solidFill>
              <w14:schemeClr w14:val="tx1"/>
            </w14:solidFill>
          </w14:textFill>
        </w:rPr>
        <w:t>、甲方支付方式:乙方应在每次要求付款前向甲方开具符合税务要求的足额合法的增值税专用发票，税率</w:t>
      </w:r>
      <w:r>
        <w:rPr>
          <w:rFonts w:hint="eastAsia" w:ascii="宋体" w:hAnsi="宋体"/>
          <w:bCs/>
          <w:color w:val="000000" w:themeColor="text1"/>
          <w:sz w:val="24"/>
          <w:lang w:val="en-US" w:eastAsia="zh-CN"/>
          <w14:textFill>
            <w14:solidFill>
              <w14:schemeClr w14:val="tx1"/>
            </w14:solidFill>
          </w14:textFill>
        </w:rPr>
        <w:t>13%</w:t>
      </w:r>
      <w:r>
        <w:rPr>
          <w:rFonts w:hint="eastAsia" w:ascii="宋体" w:hAnsi="宋体"/>
          <w:bCs/>
          <w:color w:val="000000" w:themeColor="text1"/>
          <w:sz w:val="24"/>
          <w14:textFill>
            <w14:solidFill>
              <w14:schemeClr w14:val="tx1"/>
            </w14:solidFill>
          </w14:textFill>
        </w:rPr>
        <w:t>。否则，视为乙方违约，甲方有权拒绝付款，且不承担违约责任。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乙方指定收款账户为：</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公司全称：</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开户行：</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账号：乙方保证提供的账户信息准确无误，乙方账户信息如有变更，应在合同规定的付款时间基础上至少提前7日以书面方式通知甲方。如乙方未按时通知或通知有误而导致甲方延期付款或无法转账的，甲方不承担任何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四、交货地点：甲方指定地点（合肥体育中心游泳馆或天鹅湖全民健身中心游泳馆)。</w:t>
      </w:r>
    </w:p>
    <w:p>
      <w:pPr>
        <w:spacing w:line="490" w:lineRule="exac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五、供货方式：</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自合同生效日，乙方根据游泳馆戏水池、培训池、竞赛池、跳水池实际水质养护所需药品一次性提供满足10个工作日用量，补给药品将由甲方电话通知或以QQ/邮件通知时间为准,甲方告知乙方所需补给药剂品种;乙方在接到甲方通知送货需求后5个工作日内将甲方所需药品送到甲方指定地点，甲方派专人负责签收。</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2、自合同生效日第5个工作日内，乙方须</w:t>
      </w:r>
      <w:r>
        <w:rPr>
          <w:rFonts w:hint="eastAsia" w:ascii="宋体" w:hAnsi="宋体"/>
          <w:bCs/>
          <w:color w:val="000000" w:themeColor="text1"/>
          <w:sz w:val="24"/>
          <w:lang w:val="en-US" w:eastAsia="zh-CN"/>
          <w14:textFill>
            <w14:solidFill>
              <w14:schemeClr w14:val="tx1"/>
            </w14:solidFill>
          </w14:textFill>
        </w:rPr>
        <w:t>指派专业技术人员对甲方相关人员进行自动投药设备的培训直至运行</w:t>
      </w:r>
      <w:r>
        <w:rPr>
          <w:rFonts w:hint="eastAsia" w:ascii="宋体" w:hAnsi="宋体"/>
          <w:bCs/>
          <w:color w:val="000000" w:themeColor="text1"/>
          <w:sz w:val="24"/>
          <w14:textFill>
            <w14:solidFill>
              <w14:schemeClr w14:val="tx1"/>
            </w14:solidFill>
          </w14:textFill>
        </w:rPr>
        <w:t>使用，自动投药设备产权归属</w:t>
      </w:r>
      <w:r>
        <w:rPr>
          <w:rFonts w:hint="eastAsia" w:ascii="宋体" w:hAnsi="宋体"/>
          <w:bCs/>
          <w:color w:val="000000" w:themeColor="text1"/>
          <w:sz w:val="24"/>
          <w:lang w:val="en-US" w:eastAsia="zh-CN"/>
          <w14:textFill>
            <w14:solidFill>
              <w14:schemeClr w14:val="tx1"/>
            </w14:solidFill>
          </w14:textFill>
        </w:rPr>
        <w:t>甲</w:t>
      </w:r>
      <w:r>
        <w:rPr>
          <w:rFonts w:hint="eastAsia" w:ascii="宋体" w:hAnsi="宋体"/>
          <w:bCs/>
          <w:color w:val="000000" w:themeColor="text1"/>
          <w:sz w:val="24"/>
          <w14:textFill>
            <w14:solidFill>
              <w14:schemeClr w14:val="tx1"/>
            </w14:solidFill>
          </w14:textFill>
        </w:rPr>
        <w:t>方所有，自动投药设备维护维修责任以及所产生的一切费用均由乙方自行承担。</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六、产品的质量及验收标准：</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1、乙方向甲方供应的产品,其品种、规格、质量符合国家相关质量标准规范要求。</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2、在乙方供应的产品范围内,国家相关质量监督管理等部门或顾客如对乙方所供的产品存有疑义的,乙方负有证明该产品符合国家标准并配合甲方澄清事实妥善处理的义务</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3、乙方向甲方提供游泳池水质处理所需的所有药剂为合格正品。</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4、乙方承包合肥市体育中心、天鹅湖全民健身中心游泳馆训练池、跳水池、比赛池三个泳池合作期间水质养护用药费用，不得超过中标价，超出部分由乙方自行承担。</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5、因乙方产品质量，造成任何人身损害或客户要求赔偿等损失的，甲方有权要求乙方赔偿实际损失并按照合同总额30%承担违约责任。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七、甲、乙双方责任：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甲方责任：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1、甲方负责</w:t>
      </w:r>
      <w:r>
        <w:rPr>
          <w:rFonts w:hint="eastAsia" w:ascii="宋体" w:hAnsi="宋体"/>
          <w:bCs/>
          <w:color w:val="000000" w:themeColor="text1"/>
          <w:sz w:val="24"/>
          <w:lang w:val="en-US" w:eastAsia="zh-CN"/>
          <w14:textFill>
            <w14:solidFill>
              <w14:schemeClr w14:val="tx1"/>
            </w14:solidFill>
          </w14:textFill>
        </w:rPr>
        <w:t>提</w:t>
      </w:r>
      <w:r>
        <w:rPr>
          <w:rFonts w:hint="eastAsia" w:ascii="宋体" w:hAnsi="宋体"/>
          <w:bCs/>
          <w:color w:val="000000" w:themeColor="text1"/>
          <w:sz w:val="24"/>
          <w14:textFill>
            <w14:solidFill>
              <w14:schemeClr w14:val="tx1"/>
            </w14:solidFill>
          </w14:textFill>
        </w:rPr>
        <w:t>供在线水质监测仪及自动投药计量泵</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14:textFill>
            <w14:solidFill>
              <w14:schemeClr w14:val="tx1"/>
            </w14:solidFill>
          </w14:textFill>
        </w:rPr>
        <w:t>游泳池循环设备正常运行工作。（循环水泵切换、过滤设备的覆膜、反冲洗、补水、泳池吸污），确保投加药剂的水质达到国家游泳池水质标准。</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2、甲方负责按时支付乙方合同款项。</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甲方负责所有国家有关单位对游泳场所的水质检测费用。若因药剂质量问题导致检测水质不合格，检测费用由乙方承担，且乙方需重新对场所的水质进行养护以达到合格标准。若因此给甲方造成损失的，乙方应承担赔偿责任。</w:t>
      </w:r>
    </w:p>
    <w:p>
      <w:pPr>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14:textFill>
            <w14:solidFill>
              <w14:schemeClr w14:val="tx1"/>
            </w14:solidFill>
          </w14:textFill>
        </w:rPr>
        <w:t>4</w:t>
      </w:r>
      <w:r>
        <w:rPr>
          <w:rFonts w:hint="eastAsia" w:ascii="宋体" w:hAnsi="宋体"/>
          <w:bCs/>
          <w:color w:val="000000" w:themeColor="text1"/>
          <w:sz w:val="24"/>
          <w:highlight w:val="none"/>
          <w14:textFill>
            <w14:solidFill>
              <w14:schemeClr w14:val="tx1"/>
            </w14:solidFill>
          </w14:textFill>
        </w:rPr>
        <w:t>、甲方应积极配合乙方货物进行验收,如甲方无故延迟验收的,责任由甲方承担。</w:t>
      </w:r>
    </w:p>
    <w:p>
      <w:pPr>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5、在合同正常履行的有效期内，保证乙方为甲方游泳池药剂唯一供货商。</w:t>
      </w:r>
    </w:p>
    <w:p>
      <w:pPr>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乙方责任：</w:t>
      </w:r>
    </w:p>
    <w:p>
      <w:pPr>
        <w:numPr>
          <w:ilvl w:val="0"/>
          <w:numId w:val="9"/>
        </w:numPr>
        <w:spacing w:line="490" w:lineRule="exact"/>
        <w:ind w:firstLine="480" w:firstLineChars="200"/>
        <w:rPr>
          <w:rFonts w:hint="eastAsia" w:ascii="宋体" w:hAnsi="宋体"/>
          <w:bCs/>
          <w:color w:val="000000" w:themeColor="text1"/>
          <w:sz w:val="24"/>
          <w:highlight w:val="none"/>
          <w:lang w:val="en-US" w:eastAsia="zh-CN"/>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乙方应保证实际供货药剂名称与投标清单药剂名称及招标清单需求药剂名称一致，按需足量供货。</w:t>
      </w:r>
    </w:p>
    <w:p>
      <w:pPr>
        <w:numPr>
          <w:ilvl w:val="0"/>
          <w:numId w:val="9"/>
        </w:num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为保证甲方投加药剂的科学性，在合同期限内</w:t>
      </w:r>
      <w:r>
        <w:rPr>
          <w:rFonts w:hint="eastAsia" w:ascii="宋体" w:hAnsi="宋体"/>
          <w:bCs/>
          <w:color w:val="000000" w:themeColor="text1"/>
          <w:sz w:val="24"/>
          <w:lang w:val="en-US" w:eastAsia="zh-CN"/>
          <w14:textFill>
            <w14:solidFill>
              <w14:schemeClr w14:val="tx1"/>
            </w14:solidFill>
          </w14:textFill>
        </w:rPr>
        <w:t>对甲方自动投药系统进行定期维护，确保监测仪的数据准确</w:t>
      </w:r>
      <w:r>
        <w:rPr>
          <w:rFonts w:hint="eastAsia" w:ascii="宋体" w:hAnsi="宋体"/>
          <w:bCs/>
          <w:color w:val="000000" w:themeColor="text1"/>
          <w:sz w:val="24"/>
          <w14:textFill>
            <w14:solidFill>
              <w14:schemeClr w14:val="tx1"/>
            </w14:solidFill>
          </w14:textFill>
        </w:rPr>
        <w:t>。</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3</w:t>
      </w:r>
      <w:r>
        <w:rPr>
          <w:rFonts w:hint="eastAsia" w:ascii="宋体" w:hAnsi="宋体"/>
          <w:bCs/>
          <w:color w:val="000000" w:themeColor="text1"/>
          <w:sz w:val="24"/>
          <w14:textFill>
            <w14:solidFill>
              <w14:schemeClr w14:val="tx1"/>
            </w14:solidFill>
          </w14:textFill>
        </w:rPr>
        <w:t>、乙方负责为甲方每月做不少于4次水质平衡检测（检测内容包括：自由余氯、化合性余氯、总氯、水的混浊度、PH值），并提供书面的水质检测报告。</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4</w:t>
      </w:r>
      <w:r>
        <w:rPr>
          <w:rFonts w:hint="eastAsia" w:ascii="宋体" w:hAnsi="宋体"/>
          <w:bCs/>
          <w:color w:val="000000" w:themeColor="text1"/>
          <w:sz w:val="24"/>
          <w14:textFill>
            <w14:solidFill>
              <w14:schemeClr w14:val="tx1"/>
            </w14:solidFill>
          </w14:textFill>
        </w:rPr>
        <w:t>、乙方在合同期限内免费对甲方工作人员进行游泳池水处理投药流程进行培训。</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5</w:t>
      </w:r>
      <w:r>
        <w:rPr>
          <w:rFonts w:hint="eastAsia" w:ascii="宋体" w:hAnsi="宋体"/>
          <w:bCs/>
          <w:color w:val="000000" w:themeColor="text1"/>
          <w:sz w:val="24"/>
          <w14:textFill>
            <w14:solidFill>
              <w14:schemeClr w14:val="tx1"/>
            </w14:solidFill>
          </w14:textFill>
        </w:rPr>
        <w:t>、乙方依本合同所规定的交货时间,将货物按时送至甲方指定地点。</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6</w:t>
      </w:r>
      <w:r>
        <w:rPr>
          <w:rFonts w:hint="eastAsia" w:ascii="宋体" w:hAnsi="宋体"/>
          <w:bCs/>
          <w:color w:val="000000" w:themeColor="text1"/>
          <w:sz w:val="24"/>
          <w14:textFill>
            <w14:solidFill>
              <w14:schemeClr w14:val="tx1"/>
            </w14:solidFill>
          </w14:textFill>
        </w:rPr>
        <w:t>、为确保水质，合理控制成本，乙方可向甲方提供新产品，同时做好甲方水处理人员药剂投加的培训工作。</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八、违约责任：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因乙方原因延迟交货的，每逾期一天，则按合同总额的1‰支付逾期违约金。逾期超过2周的，甲方有权解除合同，由此给甲方造成的损失由乙方承担。若因乙方逾期交货造成甲方无药可用时，甲方可以直接解除合同向第三方采购药剂，并有权要求乙方承担合同总价款30%的违约金。</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在乙方完全履行本合同项下义务的情况下，甲方逾期付款且乙方发出书面催款通知后7日仍未付款的，每逾期一日，应按全国银行间同业拆借中心公布的贷款市场报价利率支付应付未付款的违约金，除此之外不承担其他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3、因乙方产品质量问题或其他违约行为，造成甲方或第三方任何人身损害或客户要求赔偿等财产损失的，所有赔偿责任由乙方承担。</w:t>
      </w:r>
      <w:r>
        <w:rPr>
          <w:rFonts w:hint="eastAsia" w:ascii="宋体" w:hAnsi="宋体" w:cs="宋体"/>
          <w:bCs/>
          <w:color w:val="000000" w:themeColor="text1"/>
          <w:sz w:val="24"/>
          <w:szCs w:val="24"/>
          <w:lang w:val="en-US" w:eastAsia="zh-CN"/>
          <w14:textFill>
            <w14:solidFill>
              <w14:schemeClr w14:val="tx1"/>
            </w14:solidFill>
          </w14:textFill>
        </w:rPr>
        <w:t>给甲方造成损失的，还应对甲方承担赔偿责任。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4、因乙方违约或过错致使提起诉讼索赔而给甲方所造成的一切经济损失均由乙方承担，包括但不限于诉讼费、律师费、差旅费、文印费、担保费、诉讼保全保险费等一切合理必要支出。</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5、因甲方自身原因未按规定作业流程合理投加药剂，造成甲方水质受损的，由此产生的一切后果，由甲方承担。</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九、合同终止：</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1、本协议双方签字之日起生效，除不可抗拒或法定解约的情况外，甲乙双方任何一方不可单方终止本合同。</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2、如遇特殊情况，甲方可提前一个月以书面形式通知乙方解除合同并注明原因，甲方在据实结清乙方合同解除前的所有款项后，互不承担违约责任。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十、其它：</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合作期间内，甲乙双方本着诚信负责的态度，在保证水质、科学投药、合理控制成本的前提下，若经双方人员共同努力，依然导致药剂实际使用费用超出本合同预算金额，及给双方协商一致，甲方可根据实际发生额与乙方结算相应的费用（游泳池药品价格详见附件一，附件与本合同具有同等法律效力）。</w:t>
      </w:r>
    </w:p>
    <w:p>
      <w:pPr>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十一、履约保证金：</w:t>
      </w:r>
    </w:p>
    <w:p>
      <w:pPr>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1.本项目履约保证金为中标价的5% 。</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2.如乙方未能履行其合同规定的任何义务，甲方有权从履约保证金和应付乙方的货款中直接扣除相应的赔偿金、违约金等。</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3.履约保证金在本合同期限届满后，如乙方不存在任何违约行为，甲方在收到乙方申请后7个工作日内无息返还。</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十二、双方如有未尽事宜，通过友好协商解决。协商不成的，双方有权将争议提交甲方所在地人民法院。</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十三、此合同一式肆份，甲方持叁份，乙方持壹份，均具有同等法律效力。</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十四、双方同意，合同载明的地址、工商登记地址均为双方约定的法律文书送达地址，寄往该地址的各类法律文书，自交邮之日起第3日视为送达之日。任何一方地址有变动的，应提前15日以书面形式通知另一方，否则视为地址未变动.</w:t>
      </w:r>
    </w:p>
    <w:p>
      <w:pPr>
        <w:spacing w:line="490" w:lineRule="exact"/>
        <w:ind w:firstLine="480" w:firstLineChars="200"/>
        <w:rPr>
          <w:rFonts w:ascii="宋体" w:hAnsi="宋体"/>
          <w:bCs/>
          <w:color w:val="000000" w:themeColor="text1"/>
          <w:sz w:val="24"/>
          <w14:textFill>
            <w14:solidFill>
              <w14:schemeClr w14:val="tx1"/>
            </w14:solidFill>
          </w14:textFill>
        </w:rPr>
      </w:pP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甲方（盖章）                    乙方（盖章）</w:t>
      </w:r>
    </w:p>
    <w:p>
      <w:pPr>
        <w:spacing w:line="490" w:lineRule="exact"/>
        <w:ind w:firstLine="480" w:firstLineChars="200"/>
        <w:rPr>
          <w:rFonts w:ascii="宋体" w:hAnsi="宋体"/>
          <w:bCs/>
          <w:color w:val="000000" w:themeColor="text1"/>
          <w:sz w:val="24"/>
          <w14:textFill>
            <w14:solidFill>
              <w14:schemeClr w14:val="tx1"/>
            </w14:solidFill>
          </w14:textFill>
        </w:rPr>
      </w:pP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法定代表人                      法定代表人</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或委托代理人（签字）：           或委托代理人（签字）：</w:t>
      </w:r>
    </w:p>
    <w:p>
      <w:pPr>
        <w:spacing w:line="490" w:lineRule="exact"/>
        <w:ind w:firstLine="480" w:firstLineChars="200"/>
        <w:rPr>
          <w:rFonts w:ascii="宋体" w:hAnsi="宋体"/>
          <w:bCs/>
          <w:color w:val="000000" w:themeColor="text1"/>
          <w:sz w:val="24"/>
          <w14:textFill>
            <w14:solidFill>
              <w14:schemeClr w14:val="tx1"/>
            </w14:solidFill>
          </w14:textFill>
        </w:rPr>
      </w:pP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地址：                           地址：</w:t>
      </w:r>
    </w:p>
    <w:p>
      <w:pPr>
        <w:spacing w:line="490" w:lineRule="exact"/>
        <w:ind w:firstLine="480" w:firstLineChars="200"/>
        <w:rPr>
          <w:rFonts w:ascii="宋体" w:hAnsi="宋体"/>
          <w:bCs/>
          <w:color w:val="000000" w:themeColor="text1"/>
          <w:sz w:val="24"/>
          <w14:textFill>
            <w14:solidFill>
              <w14:schemeClr w14:val="tx1"/>
            </w14:solidFill>
          </w14:textFill>
        </w:rPr>
      </w:pPr>
    </w:p>
    <w:p>
      <w:pPr>
        <w:spacing w:line="490" w:lineRule="exact"/>
        <w:ind w:firstLine="480" w:firstLineChars="200"/>
        <w:rPr>
          <w:rFonts w:ascii="宋体" w:hAnsi="宋体"/>
          <w:b/>
          <w:color w:val="000000" w:themeColor="text1"/>
          <w:sz w:val="24"/>
          <w:szCs w:val="27"/>
          <w14:textFill>
            <w14:solidFill>
              <w14:schemeClr w14:val="tx1"/>
            </w14:solidFill>
          </w14:textFill>
        </w:rPr>
      </w:pPr>
      <w:r>
        <w:rPr>
          <w:rFonts w:hint="eastAsia" w:ascii="宋体" w:hAnsi="宋体"/>
          <w:bCs/>
          <w:color w:val="000000" w:themeColor="text1"/>
          <w:sz w:val="24"/>
          <w14:textFill>
            <w14:solidFill>
              <w14:schemeClr w14:val="tx1"/>
            </w14:solidFill>
          </w14:textFill>
        </w:rPr>
        <w:t>日期：                           日期：</w:t>
      </w:r>
    </w:p>
    <w:p>
      <w:pPr>
        <w:spacing w:line="490" w:lineRule="exact"/>
        <w:ind w:firstLine="482" w:firstLineChars="200"/>
        <w:rPr>
          <w:rFonts w:hint="eastAsia" w:ascii="宋体" w:hAnsi="宋体"/>
          <w:b/>
          <w:bCs/>
          <w:color w:val="000000" w:themeColor="text1"/>
          <w:sz w:val="32"/>
          <w:szCs w:val="32"/>
          <w:lang w:val="zh-CN"/>
          <w14:textFill>
            <w14:solidFill>
              <w14:schemeClr w14:val="tx1"/>
            </w14:solidFill>
          </w14:textFill>
        </w:rPr>
      </w:pPr>
      <w:r>
        <w:rPr>
          <w:rFonts w:hint="eastAsia" w:ascii="宋体" w:hAnsi="宋体"/>
          <w:b/>
          <w:color w:val="000000" w:themeColor="text1"/>
          <w:sz w:val="24"/>
          <w:szCs w:val="27"/>
          <w14:textFill>
            <w14:solidFill>
              <w14:schemeClr w14:val="tx1"/>
            </w14:solidFill>
          </w14:textFill>
        </w:rPr>
        <w:t>备注：本合同仅供参考，如本合同的约定如与本项目</w:t>
      </w:r>
      <w:r>
        <w:rPr>
          <w:rFonts w:hint="eastAsia" w:ascii="宋体" w:hAnsi="宋体"/>
          <w:b/>
          <w:color w:val="000000" w:themeColor="text1"/>
          <w:sz w:val="24"/>
          <w14:textFill>
            <w14:solidFill>
              <w14:schemeClr w14:val="tx1"/>
            </w14:solidFill>
          </w14:textFill>
        </w:rPr>
        <w:t>招标</w:t>
      </w:r>
      <w:r>
        <w:rPr>
          <w:rFonts w:hint="eastAsia" w:ascii="宋体" w:hAnsi="宋体"/>
          <w:b/>
          <w:color w:val="000000" w:themeColor="text1"/>
          <w:sz w:val="24"/>
          <w:szCs w:val="27"/>
          <w14:textFill>
            <w14:solidFill>
              <w14:schemeClr w14:val="tx1"/>
            </w14:solidFill>
          </w14:textFill>
        </w:rPr>
        <w:t>文件的投标人须知前附表、</w:t>
      </w:r>
      <w:r>
        <w:rPr>
          <w:rFonts w:hint="eastAsia" w:ascii="宋体" w:hAnsi="宋体"/>
          <w:b/>
          <w:bCs/>
          <w:color w:val="000000" w:themeColor="text1"/>
          <w:sz w:val="24"/>
          <w14:textFill>
            <w14:solidFill>
              <w14:schemeClr w14:val="tx1"/>
            </w14:solidFill>
          </w14:textFill>
        </w:rPr>
        <w:t>招标需求</w:t>
      </w:r>
      <w:r>
        <w:rPr>
          <w:rFonts w:hint="eastAsia" w:ascii="宋体" w:hAnsi="宋体"/>
          <w:b/>
          <w:color w:val="000000" w:themeColor="text1"/>
          <w:sz w:val="24"/>
          <w:szCs w:val="27"/>
          <w14:textFill>
            <w14:solidFill>
              <w14:schemeClr w14:val="tx1"/>
            </w14:solidFill>
          </w14:textFill>
        </w:rPr>
        <w:t>的约定不一致的地方，以投标人须知前附表、</w:t>
      </w:r>
      <w:r>
        <w:rPr>
          <w:rFonts w:hint="eastAsia" w:ascii="宋体" w:hAnsi="宋体"/>
          <w:b/>
          <w:bCs/>
          <w:color w:val="000000" w:themeColor="text1"/>
          <w:sz w:val="24"/>
          <w14:textFill>
            <w14:solidFill>
              <w14:schemeClr w14:val="tx1"/>
            </w14:solidFill>
          </w14:textFill>
        </w:rPr>
        <w:t>招标需求</w:t>
      </w:r>
      <w:r>
        <w:rPr>
          <w:rFonts w:hint="eastAsia" w:ascii="宋体" w:hAnsi="宋体"/>
          <w:b/>
          <w:color w:val="000000" w:themeColor="text1"/>
          <w:sz w:val="24"/>
          <w:szCs w:val="27"/>
          <w14:textFill>
            <w14:solidFill>
              <w14:schemeClr w14:val="tx1"/>
            </w14:solidFill>
          </w14:textFill>
        </w:rPr>
        <w:t>的约定为准。</w:t>
      </w:r>
      <w:bookmarkStart w:id="69" w:name="_Toc1217"/>
      <w:bookmarkStart w:id="70" w:name="_Toc3121"/>
      <w:bookmarkStart w:id="71" w:name="_Toc7078087"/>
    </w:p>
    <w:p>
      <w:pPr>
        <w:spacing w:line="360" w:lineRule="auto"/>
        <w:jc w:val="center"/>
        <w:outlineLvl w:val="0"/>
        <w:rPr>
          <w:rFonts w:hint="eastAsia" w:ascii="宋体" w:hAnsi="宋体"/>
          <w:b/>
          <w:bCs/>
          <w:color w:val="000000" w:themeColor="text1"/>
          <w:sz w:val="32"/>
          <w:szCs w:val="32"/>
          <w:lang w:val="zh-CN"/>
          <w14:textFill>
            <w14:solidFill>
              <w14:schemeClr w14:val="tx1"/>
            </w14:solidFill>
          </w14:textFill>
        </w:rPr>
      </w:pPr>
    </w:p>
    <w:p>
      <w:pPr>
        <w:spacing w:line="360" w:lineRule="auto"/>
        <w:jc w:val="center"/>
        <w:outlineLvl w:val="0"/>
        <w:rPr>
          <w:rFonts w:hint="eastAsia"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lang w:val="zh-CN"/>
          <w14:textFill>
            <w14:solidFill>
              <w14:schemeClr w14:val="tx1"/>
            </w14:solidFill>
          </w14:textFill>
        </w:rPr>
        <w:t>第七章 投标文件格式</w:t>
      </w:r>
      <w:bookmarkEnd w:id="69"/>
      <w:bookmarkEnd w:id="70"/>
      <w:bookmarkEnd w:id="71"/>
    </w:p>
    <w:p>
      <w:pPr>
        <w:spacing w:line="500" w:lineRule="exact"/>
        <w:jc w:val="center"/>
        <w:rPr>
          <w:rFonts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投标文件资料清单</w:t>
      </w:r>
    </w:p>
    <w:tbl>
      <w:tblPr>
        <w:tblStyle w:val="50"/>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76"/>
        <w:gridCol w:w="2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242" w:type="dxa"/>
            <w:vAlign w:val="center"/>
          </w:tcPr>
          <w:p>
            <w:pPr>
              <w:spacing w:line="40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序号</w:t>
            </w:r>
          </w:p>
        </w:tc>
        <w:tc>
          <w:tcPr>
            <w:tcW w:w="5376" w:type="dxa"/>
            <w:vAlign w:val="center"/>
          </w:tcPr>
          <w:p>
            <w:pPr>
              <w:spacing w:line="40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资料名称</w:t>
            </w:r>
          </w:p>
        </w:tc>
        <w:tc>
          <w:tcPr>
            <w:tcW w:w="2625" w:type="dxa"/>
            <w:vAlign w:val="center"/>
          </w:tcPr>
          <w:p>
            <w:pPr>
              <w:spacing w:line="40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w:t>
            </w:r>
          </w:p>
        </w:tc>
        <w:tc>
          <w:tcPr>
            <w:tcW w:w="5376" w:type="dxa"/>
            <w:vAlign w:val="center"/>
          </w:tcPr>
          <w:p>
            <w:pPr>
              <w:rPr>
                <w:rFonts w:ascii="宋体" w:hAnsi="宋体" w:cs="宋体"/>
                <w:color w:val="000000" w:themeColor="text1"/>
                <w:sz w:val="24"/>
                <w:szCs w:val="24"/>
                <w:u w:val="single"/>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投标函</w:t>
            </w:r>
          </w:p>
        </w:tc>
        <w:tc>
          <w:tcPr>
            <w:tcW w:w="2625" w:type="dxa"/>
            <w:vAlign w:val="center"/>
          </w:tcPr>
          <w:p>
            <w:pPr>
              <w:spacing w:line="360" w:lineRule="auto"/>
              <w:jc w:val="center"/>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w:t>
            </w:r>
          </w:p>
        </w:tc>
        <w:tc>
          <w:tcPr>
            <w:tcW w:w="5376" w:type="dxa"/>
            <w:vAlign w:val="center"/>
          </w:tcPr>
          <w:p>
            <w:pPr>
              <w:rPr>
                <w:rFonts w:ascii="宋体" w:hAnsi="宋体" w:cs="宋体"/>
                <w:bCs/>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投标人情况综合简介</w:t>
            </w:r>
          </w:p>
        </w:tc>
        <w:tc>
          <w:tcPr>
            <w:tcW w:w="2625" w:type="dxa"/>
            <w:vAlign w:val="center"/>
          </w:tcPr>
          <w:p>
            <w:pPr>
              <w:spacing w:line="360" w:lineRule="auto"/>
              <w:jc w:val="center"/>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w:t>
            </w:r>
          </w:p>
        </w:tc>
        <w:tc>
          <w:tcPr>
            <w:tcW w:w="5376" w:type="dxa"/>
            <w:vAlign w:val="center"/>
          </w:tcPr>
          <w:p>
            <w:pPr>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开标一览表</w:t>
            </w:r>
          </w:p>
        </w:tc>
        <w:tc>
          <w:tcPr>
            <w:tcW w:w="2625" w:type="dxa"/>
            <w:vAlign w:val="center"/>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四</w:t>
            </w:r>
          </w:p>
        </w:tc>
        <w:tc>
          <w:tcPr>
            <w:tcW w:w="5376" w:type="dxa"/>
            <w:vAlign w:val="center"/>
          </w:tcPr>
          <w:p>
            <w:pPr>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投标响应表</w:t>
            </w:r>
          </w:p>
        </w:tc>
        <w:tc>
          <w:tcPr>
            <w:tcW w:w="2625" w:type="dxa"/>
            <w:vAlign w:val="center"/>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五</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投标货物及报价表</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六</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投标授权书</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七</w:t>
            </w:r>
          </w:p>
        </w:tc>
        <w:tc>
          <w:tcPr>
            <w:tcW w:w="5376" w:type="dxa"/>
            <w:vAlign w:val="center"/>
          </w:tcPr>
          <w:p>
            <w:pPr>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投标人信用承诺</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八</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投标业绩</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九</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有关证明文件</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十</w:t>
            </w:r>
          </w:p>
        </w:tc>
        <w:tc>
          <w:tcPr>
            <w:tcW w:w="5376" w:type="dxa"/>
            <w:vAlign w:val="center"/>
          </w:tcPr>
          <w:p>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项目人员配备</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十一</w:t>
            </w:r>
          </w:p>
        </w:tc>
        <w:tc>
          <w:tcPr>
            <w:tcW w:w="5376" w:type="dxa"/>
            <w:vAlign w:val="center"/>
          </w:tcPr>
          <w:p>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生产厂商授权书</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十二</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售后服务体系</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维保方案</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检测报告</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十三</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产品质量承诺</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十四</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投标人认为需要提供的其他资料</w:t>
            </w:r>
          </w:p>
        </w:tc>
        <w:tc>
          <w:tcPr>
            <w:tcW w:w="2625" w:type="dxa"/>
            <w:vAlign w:val="center"/>
          </w:tcPr>
          <w:p>
            <w:pPr>
              <w:spacing w:line="360" w:lineRule="auto"/>
              <w:rPr>
                <w:rFonts w:ascii="宋体" w:hAnsi="宋体" w:cs="宋体"/>
                <w:color w:val="000000" w:themeColor="text1"/>
                <w:sz w:val="24"/>
                <w:szCs w:val="24"/>
                <w14:textFill>
                  <w14:solidFill>
                    <w14:schemeClr w14:val="tx1"/>
                  </w14:solidFill>
                </w14:textFill>
              </w:rPr>
            </w:pPr>
          </w:p>
        </w:tc>
      </w:tr>
    </w:tbl>
    <w:p>
      <w:pPr>
        <w:keepNext/>
        <w:keepLines/>
        <w:spacing w:before="260" w:after="260" w:line="416" w:lineRule="auto"/>
        <w:jc w:val="both"/>
        <w:outlineLvl w:val="2"/>
        <w:rPr>
          <w:rFonts w:hint="eastAsia" w:ascii="宋体" w:hAnsi="宋体"/>
          <w:b/>
          <w:bCs/>
          <w:color w:val="000000" w:themeColor="text1"/>
          <w:sz w:val="28"/>
          <w:szCs w:val="32"/>
          <w:lang w:val="zh-CN"/>
          <w14:textFill>
            <w14:solidFill>
              <w14:schemeClr w14:val="tx1"/>
            </w14:solidFill>
          </w14:textFill>
        </w:rPr>
      </w:pPr>
      <w:bookmarkStart w:id="72" w:name="_Toc471736410"/>
      <w:bookmarkStart w:id="73" w:name="_Toc536542354"/>
      <w:bookmarkStart w:id="74" w:name="_Toc516969098"/>
      <w:bookmarkStart w:id="75" w:name="_Toc24872"/>
      <w:bookmarkStart w:id="76" w:name="_Toc7078088"/>
      <w:bookmarkStart w:id="77" w:name="_Toc25959"/>
      <w:bookmarkStart w:id="78" w:name="_Toc471736407"/>
      <w:bookmarkStart w:id="79" w:name="_Toc197934561"/>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p>
    <w:p>
      <w:pPr>
        <w:keepNext/>
        <w:keepLines/>
        <w:numPr>
          <w:numId w:val="0"/>
        </w:numPr>
        <w:spacing w:before="260" w:after="260" w:line="416" w:lineRule="auto"/>
        <w:ind w:leftChars="0"/>
        <w:jc w:val="center"/>
        <w:outlineLvl w:val="2"/>
        <w:rPr>
          <w:rFonts w:ascii="宋体" w:hAnsi="宋体"/>
          <w:b/>
          <w:bCs/>
          <w:color w:val="000000" w:themeColor="text1"/>
          <w:sz w:val="28"/>
          <w:szCs w:val="32"/>
          <w:lang w:val="zh-CN"/>
          <w14:textFill>
            <w14:solidFill>
              <w14:schemeClr w14:val="tx1"/>
            </w14:solidFill>
          </w14:textFill>
        </w:rPr>
      </w:pPr>
      <w:r>
        <w:rPr>
          <w:rFonts w:hint="eastAsia" w:ascii="宋体" w:hAnsi="宋体"/>
          <w:b/>
          <w:bCs/>
          <w:color w:val="000000" w:themeColor="text1"/>
          <w:sz w:val="28"/>
          <w:szCs w:val="32"/>
          <w:lang w:val="zh-CN"/>
          <w14:textFill>
            <w14:solidFill>
              <w14:schemeClr w14:val="tx1"/>
            </w14:solidFill>
          </w14:textFill>
        </w:rPr>
        <w:t>一．投标函</w:t>
      </w:r>
      <w:bookmarkEnd w:id="72"/>
      <w:bookmarkEnd w:id="73"/>
      <w:bookmarkEnd w:id="74"/>
      <w:bookmarkEnd w:id="75"/>
      <w:bookmarkEnd w:id="76"/>
      <w:bookmarkEnd w:id="77"/>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致：合肥</w:t>
      </w:r>
      <w:r>
        <w:rPr>
          <w:rFonts w:hint="eastAsia" w:ascii="宋体" w:hAnsi="宋体" w:cs="宋体"/>
          <w:color w:val="000000" w:themeColor="text1"/>
          <w:sz w:val="24"/>
          <w:szCs w:val="24"/>
          <w:lang w:val="en-US" w:eastAsia="zh-CN"/>
          <w14:textFill>
            <w14:solidFill>
              <w14:schemeClr w14:val="tx1"/>
            </w14:solidFill>
          </w14:textFill>
        </w:rPr>
        <w:t>体育产业投资</w:t>
      </w:r>
      <w:r>
        <w:rPr>
          <w:rFonts w:hint="eastAsia" w:ascii="宋体" w:hAnsi="宋体" w:cs="宋体"/>
          <w:color w:val="000000" w:themeColor="text1"/>
          <w:sz w:val="24"/>
          <w:szCs w:val="24"/>
          <w14:textFill>
            <w14:solidFill>
              <w14:schemeClr w14:val="tx1"/>
            </w14:solidFill>
          </w14:textFill>
        </w:rPr>
        <w:t>有限公司</w:t>
      </w:r>
    </w:p>
    <w:p>
      <w:pPr>
        <w:spacing w:line="360" w:lineRule="auto"/>
        <w:ind w:left="101" w:leftChars="48" w:firstLine="480" w:firstLineChars="200"/>
        <w:jc w:val="left"/>
        <w:rPr>
          <w:rFonts w:ascii="宋体" w:hAnsi="宋体" w:cs="宋体"/>
          <w:dstrike/>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根据贵方“</w:t>
      </w:r>
      <w:r>
        <w:rPr>
          <w:rFonts w:hint="eastAsia" w:ascii="宋体" w:hAnsi="宋体" w:cs="宋体"/>
          <w:b/>
          <w:bCs/>
          <w:color w:val="000000" w:themeColor="text1"/>
          <w:sz w:val="24"/>
          <w:szCs w:val="24"/>
          <w:u w:val="single"/>
          <w14:textFill>
            <w14:solidFill>
              <w14:schemeClr w14:val="tx1"/>
            </w14:solidFill>
          </w14:textFill>
        </w:rPr>
        <w:t xml:space="preserve">                   项目</w:t>
      </w:r>
      <w:r>
        <w:rPr>
          <w:rFonts w:hint="eastAsia" w:ascii="宋体" w:hAnsi="宋体" w:cs="宋体"/>
          <w:color w:val="000000" w:themeColor="text1"/>
          <w:sz w:val="24"/>
          <w:szCs w:val="24"/>
          <w14:textFill>
            <w14:solidFill>
              <w14:schemeClr w14:val="tx1"/>
            </w14:solidFill>
          </w14:textFill>
        </w:rPr>
        <w:t>”的第</w:t>
      </w:r>
      <w:r>
        <w:rPr>
          <w:rFonts w:hint="eastAsia" w:ascii="宋体" w:hAnsi="宋体" w:cs="宋体"/>
          <w:b/>
          <w:color w:val="000000" w:themeColor="text1"/>
          <w:kern w:val="0"/>
          <w:sz w:val="24"/>
          <w:szCs w:val="24"/>
          <w:u w:val="single"/>
          <w:lang w:val="zh-CN"/>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号招标邀请书，正式授权</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（姓名、身份证号）代表投标人</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（投标人全称），提交规定形式的投标文件。</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据此函，我方兹宣布同意如下：</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1.按招标文件规定提供交付的货物（包括安装调试、质保等工作）的最终投标报价详见开标一览表，如我公司中标，我公司承诺愿意按招标文件规定交纳履约保证金、工程量清单和控制价编制费（如有）。</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2.我方根据招标文件的规定，严格履行合同的责任和义务</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并保证于买方要求的日期内完成供货、安装及服务，并通过买方验收。</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3.我方承诺报价低于</w:t>
      </w:r>
      <w:r>
        <w:rPr>
          <w:rFonts w:ascii="宋体" w:hAnsi="宋体"/>
          <w:color w:val="000000" w:themeColor="text1"/>
          <w:sz w:val="24"/>
          <w14:textFill>
            <w14:solidFill>
              <w14:schemeClr w14:val="tx1"/>
            </w14:solidFill>
          </w14:textFill>
        </w:rPr>
        <w:t>同类货物和服务的市场平均价格。</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我方已详细审核全部招标文件，包括招标文件的答疑、澄清、变更或补充（如有），参考资料及有关附件，我方正式认可并遵守本次招标文件，并对招标文件各项条款（包括开标时间）、规定及要求均无异议。我方知道必须放弃提出含糊不清或误解的问题的权利。</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5.我方同意从招标文件规定的开标日期起遵循本投标文件，并在招标文件规定的投标有效期之前均具有约束力。</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6、我方声明投标文件所提供的一切资料均真实无误、及时、有效。企业运营正常（</w:t>
      </w:r>
      <w:r>
        <w:rPr>
          <w:rFonts w:ascii="宋体" w:hAnsi="宋体"/>
          <w:color w:val="000000" w:themeColor="text1"/>
          <w:sz w:val="24"/>
          <w14:textFill>
            <w14:solidFill>
              <w14:schemeClr w14:val="tx1"/>
            </w14:solidFill>
          </w14:textFill>
        </w:rPr>
        <w:t>注册登记信息、年报信息</w:t>
      </w:r>
      <w:r>
        <w:rPr>
          <w:rFonts w:hint="eastAsia" w:ascii="宋体" w:hAnsi="宋体"/>
          <w:color w:val="000000" w:themeColor="text1"/>
          <w:sz w:val="24"/>
          <w14:textFill>
            <w14:solidFill>
              <w14:schemeClr w14:val="tx1"/>
            </w14:solidFill>
          </w14:textFill>
        </w:rPr>
        <w:t>可查）。由于我方提供资料不实而造成的责任和后果由我方承担。我方同意按照贵方提出的要求，提供与投标有关的任何证据、数据或资料。</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7.我方承诺若中标，按招标文件要求提供本地化服务。</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8.我方完全理解贵方不一定接受最低报价的投标。</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9.我方同意招标文件规定的付款方式。</w:t>
      </w:r>
    </w:p>
    <w:p>
      <w:pPr>
        <w:spacing w:line="360" w:lineRule="auto"/>
        <w:ind w:firstLine="480" w:firstLineChars="20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10.与本投标有关的通讯地址：</w:t>
      </w:r>
      <w:r>
        <w:rPr>
          <w:rFonts w:hint="eastAsia" w:ascii="宋体" w:hAnsi="宋体"/>
          <w:color w:val="000000" w:themeColor="text1"/>
          <w:sz w:val="24"/>
          <w:u w:val="single"/>
          <w14:textFill>
            <w14:solidFill>
              <w14:schemeClr w14:val="tx1"/>
            </w14:solidFill>
          </w14:textFill>
        </w:rPr>
        <w:t xml:space="preserve">                                  </w:t>
      </w:r>
    </w:p>
    <w:p>
      <w:pPr>
        <w:spacing w:line="360" w:lineRule="auto"/>
        <w:ind w:firstLine="480" w:firstLineChars="20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电    话：</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传    真：</w:t>
      </w:r>
      <w:r>
        <w:rPr>
          <w:rFonts w:hint="eastAsia" w:ascii="宋体" w:hAnsi="宋体"/>
          <w:color w:val="000000" w:themeColor="text1"/>
          <w:sz w:val="24"/>
          <w:u w:val="single"/>
          <w14:textFill>
            <w14:solidFill>
              <w14:schemeClr w14:val="tx1"/>
            </w14:solidFill>
          </w14:textFill>
        </w:rPr>
        <w:t xml:space="preserve">                     </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投标人基本账户开户名：</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账号：</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开户行：</w:t>
      </w:r>
      <w:r>
        <w:rPr>
          <w:rFonts w:hint="eastAsia" w:ascii="宋体" w:hAnsi="宋体"/>
          <w:color w:val="000000" w:themeColor="text1"/>
          <w:sz w:val="24"/>
          <w:u w:val="single"/>
          <w14:textFill>
            <w14:solidFill>
              <w14:schemeClr w14:val="tx1"/>
            </w14:solidFill>
          </w14:textFill>
        </w:rPr>
        <w:t xml:space="preserve">            </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投标人签章：</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    期：</w:t>
      </w:r>
      <w:r>
        <w:rPr>
          <w:rFonts w:hint="eastAsia" w:ascii="宋体" w:hAnsi="宋体"/>
          <w:color w:val="000000" w:themeColor="text1"/>
          <w:sz w:val="24"/>
          <w:u w:val="single"/>
          <w14:textFill>
            <w14:solidFill>
              <w14:schemeClr w14:val="tx1"/>
            </w14:solidFill>
          </w14:textFill>
        </w:rPr>
        <w:t xml:space="preserve">                     </w:t>
      </w:r>
    </w:p>
    <w:p>
      <w:pPr>
        <w:widowControl/>
        <w:spacing w:line="520" w:lineRule="exact"/>
        <w:ind w:firstLine="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特此承诺</w:t>
      </w:r>
    </w:p>
    <w:p>
      <w:pPr>
        <w:widowControl/>
        <w:spacing w:line="360" w:lineRule="exact"/>
        <w:ind w:left="840" w:leftChars="400"/>
        <w:jc w:val="left"/>
        <w:rPr>
          <w:rFonts w:ascii="宋体" w:hAnsi="宋体" w:cs="宋体"/>
          <w:color w:val="000000" w:themeColor="text1"/>
          <w:kern w:val="0"/>
          <w:sz w:val="24"/>
          <w:szCs w:val="24"/>
          <w14:textFill>
            <w14:solidFill>
              <w14:schemeClr w14:val="tx1"/>
            </w14:solidFill>
          </w14:textFill>
        </w:rPr>
      </w:pPr>
    </w:p>
    <w:p>
      <w:pPr>
        <w:widowControl/>
        <w:spacing w:line="520" w:lineRule="exact"/>
        <w:ind w:left="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投标人（公章）：</w:t>
      </w:r>
    </w:p>
    <w:p>
      <w:pPr>
        <w:widowControl/>
        <w:spacing w:line="520" w:lineRule="exact"/>
        <w:ind w:left="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企业法人（签字）：</w:t>
      </w:r>
    </w:p>
    <w:p>
      <w:pPr>
        <w:widowControl/>
        <w:spacing w:line="520" w:lineRule="exact"/>
        <w:ind w:left="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授权代表（签字）：</w:t>
      </w:r>
    </w:p>
    <w:p>
      <w:pPr>
        <w:widowControl/>
        <w:spacing w:line="520" w:lineRule="exact"/>
        <w:ind w:left="480"/>
        <w:jc w:val="left"/>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年</w:t>
      </w:r>
      <w:r>
        <w:rPr>
          <w:rFonts w:hint="eastAsia" w:ascii="宋体" w:hAnsi="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14:textFill>
            <w14:solidFill>
              <w14:schemeClr w14:val="tx1"/>
            </w14:solidFill>
          </w14:textFill>
        </w:rPr>
        <w:t>月</w:t>
      </w:r>
      <w:r>
        <w:rPr>
          <w:rFonts w:hint="eastAsia" w:ascii="宋体" w:hAnsi="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14:textFill>
            <w14:solidFill>
              <w14:schemeClr w14:val="tx1"/>
            </w14:solidFill>
          </w14:textFill>
        </w:rPr>
        <w:t>日</w:t>
      </w:r>
      <w:bookmarkEnd w:id="78"/>
      <w:bookmarkEnd w:id="79"/>
      <w:bookmarkStart w:id="80" w:name="_Toc23937"/>
      <w:bookmarkStart w:id="81" w:name="_Toc18978"/>
      <w:bookmarkStart w:id="82" w:name="_Toc536542355"/>
      <w:bookmarkStart w:id="83" w:name="_Toc471736409"/>
      <w:bookmarkStart w:id="84" w:name="_Toc516969097"/>
      <w:bookmarkStart w:id="85" w:name="_Toc7078089"/>
    </w:p>
    <w:p>
      <w:pPr>
        <w:pStyle w:val="2"/>
        <w:rPr>
          <w:rFonts w:hint="eastAsia" w:ascii="宋体" w:hAnsi="宋体" w:cs="宋体"/>
          <w:color w:val="000000" w:themeColor="text1"/>
          <w:kern w:val="0"/>
          <w:sz w:val="24"/>
          <w:szCs w:val="24"/>
          <w14:textFill>
            <w14:solidFill>
              <w14:schemeClr w14:val="tx1"/>
            </w14:solidFill>
          </w14:textFill>
        </w:rPr>
      </w:pPr>
    </w:p>
    <w:p>
      <w:pPr>
        <w:pStyle w:val="2"/>
        <w:rPr>
          <w:rFonts w:hint="eastAsia" w:ascii="宋体" w:hAnsi="宋体" w:cs="宋体"/>
          <w:color w:val="000000" w:themeColor="text1"/>
          <w:kern w:val="0"/>
          <w:sz w:val="24"/>
          <w:szCs w:val="24"/>
          <w:lang w:val="zh-CN"/>
          <w14:textFill>
            <w14:solidFill>
              <w14:schemeClr w14:val="tx1"/>
            </w14:solidFill>
          </w14:textFill>
        </w:rPr>
      </w:pPr>
    </w:p>
    <w:p>
      <w:pPr>
        <w:keepNext/>
        <w:keepLines/>
        <w:spacing w:before="260" w:after="260" w:line="416" w:lineRule="auto"/>
        <w:ind w:firstLine="3092" w:firstLineChars="1100"/>
        <w:jc w:val="both"/>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ind w:firstLine="3092" w:firstLineChars="1100"/>
        <w:jc w:val="both"/>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ind w:firstLine="3092" w:firstLineChars="1100"/>
        <w:jc w:val="both"/>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ind w:firstLine="3092" w:firstLineChars="1100"/>
        <w:jc w:val="both"/>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ind w:firstLine="3092" w:firstLineChars="1100"/>
        <w:jc w:val="both"/>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ind w:firstLine="3092" w:firstLineChars="1100"/>
        <w:jc w:val="both"/>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ind w:firstLine="3092" w:firstLineChars="1100"/>
        <w:jc w:val="both"/>
        <w:outlineLvl w:val="2"/>
        <w:rPr>
          <w:rFonts w:ascii="宋体" w:hAnsi="宋体"/>
          <w:b/>
          <w:bCs/>
          <w:color w:val="000000" w:themeColor="text1"/>
          <w:sz w:val="28"/>
          <w:szCs w:val="32"/>
          <w:lang w:val="zh-CN"/>
          <w14:textFill>
            <w14:solidFill>
              <w14:schemeClr w14:val="tx1"/>
            </w14:solidFill>
          </w14:textFill>
        </w:rPr>
      </w:pPr>
      <w:r>
        <w:rPr>
          <w:rFonts w:hint="eastAsia" w:ascii="宋体" w:hAnsi="宋体"/>
          <w:b/>
          <w:bCs/>
          <w:color w:val="000000" w:themeColor="text1"/>
          <w:sz w:val="28"/>
          <w:szCs w:val="32"/>
          <w:lang w:val="zh-CN"/>
          <w14:textFill>
            <w14:solidFill>
              <w14:schemeClr w14:val="tx1"/>
            </w14:solidFill>
          </w14:textFill>
        </w:rPr>
        <w:t>二．投标人情况综合简介</w:t>
      </w:r>
      <w:bookmarkEnd w:id="80"/>
      <w:bookmarkEnd w:id="81"/>
      <w:bookmarkEnd w:id="82"/>
      <w:bookmarkEnd w:id="83"/>
      <w:bookmarkEnd w:id="84"/>
      <w:bookmarkEnd w:id="85"/>
    </w:p>
    <w:p>
      <w:pPr>
        <w:spacing w:line="50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(投标人可自行制作格式)</w:t>
      </w:r>
    </w:p>
    <w:p>
      <w:pPr>
        <w:spacing w:line="500" w:lineRule="exact"/>
        <w:jc w:val="center"/>
        <w:rPr>
          <w:rFonts w:ascii="宋体" w:hAnsi="宋体" w:cs="宋体"/>
          <w:color w:val="000000" w:themeColor="text1"/>
          <w:sz w:val="24"/>
          <w:szCs w:val="24"/>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bookmarkStart w:id="86" w:name="_Toc7078090"/>
      <w:bookmarkStart w:id="87" w:name="_Toc536542356"/>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bookmarkStart w:id="88" w:name="_Toc10885"/>
      <w:bookmarkStart w:id="89" w:name="_Toc17088"/>
      <w:r>
        <w:rPr>
          <w:rFonts w:hint="eastAsia" w:ascii="宋体" w:hAnsi="宋体"/>
          <w:b/>
          <w:bCs/>
          <w:color w:val="000000" w:themeColor="text1"/>
          <w:sz w:val="28"/>
          <w:szCs w:val="32"/>
          <w:lang w:val="zh-CN"/>
          <w14:textFill>
            <w14:solidFill>
              <w14:schemeClr w14:val="tx1"/>
            </w14:solidFill>
          </w14:textFill>
        </w:rPr>
        <w:t>三．开标一览表</w:t>
      </w:r>
      <w:bookmarkEnd w:id="86"/>
      <w:bookmarkEnd w:id="87"/>
      <w:bookmarkEnd w:id="88"/>
      <w:bookmarkEnd w:id="89"/>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vAlign w:val="center"/>
          </w:tcPr>
          <w:p>
            <w:pPr>
              <w:widowControl/>
              <w:spacing w:line="36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项 目 名 称</w:t>
            </w:r>
          </w:p>
        </w:tc>
        <w:tc>
          <w:tcPr>
            <w:tcW w:w="6667" w:type="dxa"/>
            <w:tcBorders>
              <w:top w:val="single" w:color="auto" w:sz="4" w:space="0"/>
              <w:bottom w:val="single" w:color="auto" w:sz="4" w:space="0"/>
              <w:right w:val="single" w:color="auto" w:sz="4" w:space="0"/>
            </w:tcBorders>
            <w:vAlign w:val="center"/>
          </w:tcPr>
          <w:p>
            <w:pPr>
              <w:spacing w:line="360" w:lineRule="exact"/>
              <w:jc w:val="center"/>
              <w:rPr>
                <w:rFonts w:ascii="宋体" w:hAnsi="宋体" w:cs="宋体"/>
                <w:bCs/>
                <w:color w:val="000000" w:themeColor="text1"/>
                <w:sz w:val="24"/>
                <w:szCs w:val="24"/>
                <w:u w:val="singl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投标人全称</w:t>
            </w:r>
          </w:p>
        </w:tc>
        <w:tc>
          <w:tcPr>
            <w:tcW w:w="6667" w:type="dxa"/>
            <w:tcBorders>
              <w:top w:val="nil"/>
            </w:tcBorders>
            <w:vAlign w:val="center"/>
          </w:tcPr>
          <w:p>
            <w:pPr>
              <w:spacing w:line="360" w:lineRule="auto"/>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投标范围</w:t>
            </w:r>
          </w:p>
        </w:tc>
        <w:tc>
          <w:tcPr>
            <w:tcW w:w="6667" w:type="dxa"/>
            <w:tcBorders>
              <w:top w:val="nil"/>
            </w:tcBorders>
            <w:vAlign w:val="center"/>
          </w:tcPr>
          <w:p>
            <w:pPr>
              <w:widowControl/>
              <w:spacing w:line="360" w:lineRule="exact"/>
              <w:rPr>
                <w:rFonts w:ascii="宋体" w:hAnsi="宋体" w:cs="宋体"/>
                <w:b/>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最终投标报价</w:t>
            </w:r>
          </w:p>
          <w:p>
            <w:pPr>
              <w:spacing w:line="36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（人民币）</w:t>
            </w:r>
          </w:p>
        </w:tc>
        <w:tc>
          <w:tcPr>
            <w:tcW w:w="6667" w:type="dxa"/>
            <w:tcBorders>
              <w:top w:val="nil"/>
            </w:tcBorders>
            <w:vAlign w:val="center"/>
          </w:tcPr>
          <w:p>
            <w:pPr>
              <w:spacing w:line="360" w:lineRule="auto"/>
              <w:ind w:right="-67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471" w:type="dxa"/>
            <w:tcBorders>
              <w:top w:val="nil"/>
            </w:tcBorders>
            <w:vAlign w:val="center"/>
          </w:tcPr>
          <w:p>
            <w:pPr>
              <w:spacing w:line="360" w:lineRule="auto"/>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备注</w:t>
            </w:r>
          </w:p>
        </w:tc>
        <w:tc>
          <w:tcPr>
            <w:tcW w:w="6667" w:type="dxa"/>
            <w:tcBorders>
              <w:top w:val="nil"/>
            </w:tcBorders>
            <w:vAlign w:val="center"/>
          </w:tcPr>
          <w:p>
            <w:pPr>
              <w:spacing w:line="360" w:lineRule="auto"/>
              <w:jc w:val="left"/>
              <w:rPr>
                <w:rFonts w:ascii="宋体" w:hAnsi="宋体" w:cs="宋体"/>
                <w:color w:val="000000" w:themeColor="text1"/>
                <w:sz w:val="24"/>
                <w:szCs w:val="24"/>
                <w14:textFill>
                  <w14:solidFill>
                    <w14:schemeClr w14:val="tx1"/>
                  </w14:solidFill>
                </w14:textFill>
              </w:rPr>
            </w:pPr>
          </w:p>
        </w:tc>
      </w:tr>
    </w:tbl>
    <w:p>
      <w:pPr>
        <w:spacing w:before="100" w:beforeAutospacing="1" w:after="100" w:afterAutospacing="1" w:line="360" w:lineRule="auto"/>
        <w:rPr>
          <w:rFonts w:hint="eastAsia" w:ascii="宋体" w:hAnsi="宋体" w:cs="宋体"/>
          <w:b/>
          <w:color w:val="000000" w:themeColor="text1"/>
          <w:sz w:val="24"/>
          <w:szCs w:val="24"/>
          <w14:textFill>
            <w14:solidFill>
              <w14:schemeClr w14:val="tx1"/>
            </w14:solidFill>
          </w14:textFill>
        </w:rPr>
      </w:pPr>
    </w:p>
    <w:p>
      <w:pPr>
        <w:spacing w:before="100" w:beforeAutospacing="1" w:after="100" w:afterAutospacing="1" w:line="360" w:lineRule="auto"/>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 xml:space="preserve">投标人(公章)：                                           </w:t>
      </w:r>
    </w:p>
    <w:p>
      <w:pPr>
        <w:spacing w:line="360" w:lineRule="auto"/>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备注：表中最终投标报价即为优惠后报价，并作为评审及定标依据。任何有选择或有条件的最终投标报价，或者表中某一标段填写多个报价，均为无效报价</w:t>
      </w:r>
    </w:p>
    <w:p>
      <w:pPr>
        <w:spacing w:line="360" w:lineRule="auto"/>
        <w:rPr>
          <w:rFonts w:ascii="宋体" w:hAnsi="宋体" w:cs="宋体"/>
          <w:b/>
          <w:color w:val="000000" w:themeColor="text1"/>
          <w:sz w:val="24"/>
          <w:szCs w:val="24"/>
          <w14:textFill>
            <w14:solidFill>
              <w14:schemeClr w14:val="tx1"/>
            </w14:solidFill>
          </w14:textFill>
        </w:rPr>
      </w:pPr>
    </w:p>
    <w:p>
      <w:pPr>
        <w:spacing w:line="360" w:lineRule="auto"/>
        <w:rPr>
          <w:rFonts w:ascii="宋体" w:hAnsi="宋体" w:cs="宋体"/>
          <w:b/>
          <w:color w:val="000000" w:themeColor="text1"/>
          <w:sz w:val="24"/>
          <w:szCs w:val="24"/>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bookmarkStart w:id="90" w:name="_Hlt509739007"/>
      <w:bookmarkEnd w:id="90"/>
      <w:bookmarkStart w:id="91" w:name="_Toc536542357"/>
      <w:bookmarkStart w:id="92" w:name="_Toc15537"/>
      <w:bookmarkStart w:id="93" w:name="_Toc7078091"/>
      <w:bookmarkStart w:id="94" w:name="_Toc22836"/>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r>
        <w:rPr>
          <w:rFonts w:hint="eastAsia" w:ascii="宋体" w:hAnsi="宋体"/>
          <w:b/>
          <w:bCs/>
          <w:color w:val="000000" w:themeColor="text1"/>
          <w:sz w:val="28"/>
          <w:szCs w:val="32"/>
          <w:lang w:val="zh-CN"/>
          <w14:textFill>
            <w14:solidFill>
              <w14:schemeClr w14:val="tx1"/>
            </w14:solidFill>
          </w14:textFill>
        </w:rPr>
        <w:t>四．投标响应表</w:t>
      </w:r>
      <w:bookmarkEnd w:id="91"/>
      <w:bookmarkEnd w:id="92"/>
      <w:bookmarkEnd w:id="93"/>
      <w:bookmarkEnd w:id="94"/>
    </w:p>
    <w:tbl>
      <w:tblPr>
        <w:tblStyle w:val="5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470"/>
        <w:gridCol w:w="2520"/>
        <w:gridCol w:w="2310"/>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4830" w:type="dxa"/>
            <w:gridSpan w:val="3"/>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按招标文件规定填写</w:t>
            </w:r>
          </w:p>
        </w:tc>
        <w:tc>
          <w:tcPr>
            <w:tcW w:w="4200" w:type="dxa"/>
            <w:gridSpan w:val="2"/>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按投标人所投内容填写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9030" w:type="dxa"/>
            <w:gridSpan w:val="5"/>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第一部分：技术部分响应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rPr>
        <w:tc>
          <w:tcPr>
            <w:tcW w:w="84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序号</w:t>
            </w:r>
          </w:p>
        </w:tc>
        <w:tc>
          <w:tcPr>
            <w:tcW w:w="147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名称/内容</w:t>
            </w:r>
          </w:p>
        </w:tc>
        <w:tc>
          <w:tcPr>
            <w:tcW w:w="252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招标要求</w:t>
            </w:r>
          </w:p>
        </w:tc>
        <w:tc>
          <w:tcPr>
            <w:tcW w:w="2310" w:type="dxa"/>
            <w:vAlign w:val="center"/>
          </w:tcPr>
          <w:p>
            <w:pP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投标具体内容/承诺</w:t>
            </w:r>
          </w:p>
          <w:p>
            <w:pP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（如所投产品品牌、型号、技术规格及配置、材质等）</w:t>
            </w:r>
          </w:p>
        </w:tc>
        <w:tc>
          <w:tcPr>
            <w:tcW w:w="189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1470" w:type="dxa"/>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p>
        </w:tc>
        <w:tc>
          <w:tcPr>
            <w:tcW w:w="1470" w:type="dxa"/>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p>
        </w:tc>
        <w:tc>
          <w:tcPr>
            <w:tcW w:w="1470" w:type="dxa"/>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p>
        </w:tc>
        <w:tc>
          <w:tcPr>
            <w:tcW w:w="1470" w:type="dxa"/>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p>
        </w:tc>
        <w:tc>
          <w:tcPr>
            <w:tcW w:w="1470" w:type="dxa"/>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9030" w:type="dxa"/>
            <w:gridSpan w:val="5"/>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第二部分：资信及报价部分响应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序号</w:t>
            </w:r>
          </w:p>
        </w:tc>
        <w:tc>
          <w:tcPr>
            <w:tcW w:w="147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名称/内容</w:t>
            </w:r>
          </w:p>
        </w:tc>
        <w:tc>
          <w:tcPr>
            <w:tcW w:w="252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招标要求</w:t>
            </w:r>
          </w:p>
        </w:tc>
        <w:tc>
          <w:tcPr>
            <w:tcW w:w="231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投标承诺</w:t>
            </w:r>
          </w:p>
        </w:tc>
        <w:tc>
          <w:tcPr>
            <w:tcW w:w="189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1470" w:type="dxa"/>
            <w:vAlign w:val="center"/>
          </w:tcPr>
          <w:p>
            <w:pPr>
              <w:jc w:val="cente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p>
        </w:tc>
        <w:tc>
          <w:tcPr>
            <w:tcW w:w="1470" w:type="dxa"/>
            <w:vAlign w:val="center"/>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p>
        </w:tc>
        <w:tc>
          <w:tcPr>
            <w:tcW w:w="1470" w:type="dxa"/>
            <w:vAlign w:val="center"/>
          </w:tcPr>
          <w:p>
            <w:pPr>
              <w:jc w:val="cente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p>
        </w:tc>
        <w:tc>
          <w:tcPr>
            <w:tcW w:w="1470" w:type="dxa"/>
            <w:vAlign w:val="center"/>
          </w:tcPr>
          <w:p>
            <w:pPr>
              <w:jc w:val="cente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bl>
    <w:p>
      <w:pPr>
        <w:spacing w:line="360" w:lineRule="auto"/>
        <w:rPr>
          <w:rFonts w:ascii="宋体" w:hAnsi="宋体" w:cs="宋体"/>
          <w:b/>
          <w:color w:val="000000" w:themeColor="text1"/>
          <w:sz w:val="24"/>
          <w:szCs w:val="24"/>
          <w:lang w:val="zh-CN"/>
          <w14:textFill>
            <w14:solidFill>
              <w14:schemeClr w14:val="tx1"/>
            </w14:solidFill>
          </w14:textFill>
        </w:rPr>
      </w:pPr>
      <w:r>
        <w:rPr>
          <w:rFonts w:hint="eastAsia" w:ascii="宋体" w:hAnsi="宋体" w:cs="宋体"/>
          <w:b/>
          <w:color w:val="000000" w:themeColor="text1"/>
          <w:sz w:val="24"/>
          <w:szCs w:val="24"/>
          <w:lang w:val="zh-CN"/>
          <w14:textFill>
            <w14:solidFill>
              <w14:schemeClr w14:val="tx1"/>
            </w14:solidFill>
          </w14:textFill>
        </w:rPr>
        <w:t>投标人（公章）：</w:t>
      </w: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备注：</w:t>
      </w:r>
    </w:p>
    <w:p>
      <w:pPr>
        <w:spacing w:line="360" w:lineRule="auto"/>
        <w:rPr>
          <w:rFonts w:ascii="宋体" w:hAnsi="宋体" w:cs="宋体"/>
          <w:b/>
          <w:bCs/>
          <w:color w:val="000000" w:themeColor="text1"/>
          <w:sz w:val="24"/>
          <w:szCs w:val="24"/>
          <w:lang w:val="zh-CN"/>
          <w14:textFill>
            <w14:solidFill>
              <w14:schemeClr w14:val="tx1"/>
            </w14:solidFill>
          </w14:textFill>
        </w:rPr>
      </w:pPr>
      <w:r>
        <w:rPr>
          <w:rFonts w:hint="eastAsia" w:ascii="宋体" w:hAnsi="宋体" w:cs="宋体"/>
          <w:b/>
          <w:bCs/>
          <w:color w:val="000000" w:themeColor="text1"/>
          <w:sz w:val="24"/>
          <w:szCs w:val="24"/>
          <w:lang w:val="zh-CN"/>
          <w14:textFill>
            <w14:solidFill>
              <w14:schemeClr w14:val="tx1"/>
            </w14:solidFill>
          </w14:textFill>
        </w:rPr>
        <w:t>1.投标人必须根据招标需求逐项对应描述</w:t>
      </w:r>
      <w:r>
        <w:rPr>
          <w:rFonts w:hint="eastAsia" w:ascii="宋体" w:hAnsi="宋体" w:cs="宋体"/>
          <w:b/>
          <w:color w:val="000000" w:themeColor="text1"/>
          <w:sz w:val="24"/>
          <w:szCs w:val="24"/>
          <w:lang w:val="zh-CN"/>
          <w14:textFill>
            <w14:solidFill>
              <w14:schemeClr w14:val="tx1"/>
            </w14:solidFill>
          </w14:textFill>
        </w:rPr>
        <w:t>投标的具体内容，如</w:t>
      </w:r>
      <w:r>
        <w:rPr>
          <w:rFonts w:hint="eastAsia" w:ascii="宋体" w:hAnsi="宋体" w:cs="宋体"/>
          <w:b/>
          <w:bCs/>
          <w:color w:val="000000" w:themeColor="text1"/>
          <w:sz w:val="24"/>
          <w:szCs w:val="24"/>
          <w:lang w:val="zh-CN"/>
          <w14:textFill>
            <w14:solidFill>
              <w14:schemeClr w14:val="tx1"/>
            </w14:solidFill>
          </w14:textFill>
        </w:rPr>
        <w:t>投标货物主要参数、材质、配置及服务要求等，如不进行描述，仅在“</w:t>
      </w:r>
      <w:r>
        <w:rPr>
          <w:rFonts w:hint="eastAsia" w:ascii="宋体" w:hAnsi="宋体" w:cs="宋体"/>
          <w:b/>
          <w:color w:val="000000" w:themeColor="text1"/>
          <w:sz w:val="24"/>
          <w:szCs w:val="24"/>
          <w:lang w:val="zh-CN"/>
          <w14:textFill>
            <w14:solidFill>
              <w14:schemeClr w14:val="tx1"/>
            </w14:solidFill>
          </w14:textFill>
        </w:rPr>
        <w:t>按投标人所投内容填写</w:t>
      </w:r>
      <w:r>
        <w:rPr>
          <w:rFonts w:hint="eastAsia" w:ascii="宋体" w:hAnsi="宋体" w:cs="宋体"/>
          <w:b/>
          <w:bCs/>
          <w:color w:val="000000" w:themeColor="text1"/>
          <w:sz w:val="24"/>
          <w:szCs w:val="24"/>
          <w:lang w:val="zh-CN"/>
          <w14:textFill>
            <w14:solidFill>
              <w14:schemeClr w14:val="tx1"/>
            </w14:solidFill>
          </w14:textFill>
        </w:rPr>
        <w:t>”部分填写“响应”或未填写或仅复制招标文件技术参数的，包括有选择性的技术响应（例如在某一分项中出现两个及以上的投标品牌或两种及两种以上的技术规格），均可能导致投标无效；</w:t>
      </w: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2.投标人所投产品如与招标文件要求的主要参数、材质、配置及服务要求等不一致的，则须在上表“偏离说明”栏中详细注明。</w:t>
      </w: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3.“</w:t>
      </w:r>
      <w:r>
        <w:rPr>
          <w:rFonts w:hint="eastAsia" w:ascii="宋体" w:hAnsi="宋体" w:cs="宋体"/>
          <w:b/>
          <w:color w:val="000000" w:themeColor="text1"/>
          <w:sz w:val="24"/>
          <w:szCs w:val="24"/>
          <w14:textFill>
            <w14:solidFill>
              <w14:schemeClr w14:val="tx1"/>
            </w14:solidFill>
          </w14:textFill>
        </w:rPr>
        <w:t>按投标人所投内容填写</w:t>
      </w:r>
      <w:r>
        <w:rPr>
          <w:rFonts w:hint="eastAsia" w:ascii="宋体" w:hAnsi="宋体" w:cs="宋体"/>
          <w:b/>
          <w:bCs/>
          <w:color w:val="000000" w:themeColor="text1"/>
          <w:sz w:val="24"/>
          <w:szCs w:val="24"/>
          <w14:textFill>
            <w14:solidFill>
              <w14:schemeClr w14:val="tx1"/>
            </w14:solidFill>
          </w14:textFill>
        </w:rPr>
        <w:t>”部分可后附详细说明及技术资料。</w:t>
      </w:r>
      <w:bookmarkStart w:id="95" w:name="_Toc461103234"/>
      <w:bookmarkStart w:id="96" w:name="_Toc471736411"/>
      <w:bookmarkStart w:id="97" w:name="_Toc197934563"/>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pStyle w:val="7"/>
        <w:rPr>
          <w:rFonts w:hAnsi="宋体"/>
          <w:color w:val="000000" w:themeColor="text1"/>
          <w:sz w:val="28"/>
          <w14:textFill>
            <w14:solidFill>
              <w14:schemeClr w14:val="tx1"/>
            </w14:solidFill>
          </w14:textFill>
        </w:rPr>
      </w:pPr>
      <w:bookmarkStart w:id="98" w:name="_Toc10981"/>
      <w:bookmarkStart w:id="99" w:name="_Toc536542359"/>
      <w:bookmarkStart w:id="100" w:name="_Toc7078093"/>
      <w:bookmarkStart w:id="101" w:name="_Toc2976"/>
      <w:r>
        <w:rPr>
          <w:rFonts w:hint="eastAsia" w:hAnsi="宋体"/>
          <w:color w:val="000000" w:themeColor="text1"/>
          <w:sz w:val="28"/>
          <w14:textFill>
            <w14:solidFill>
              <w14:schemeClr w14:val="tx1"/>
            </w14:solidFill>
          </w14:textFill>
        </w:rPr>
        <w:t>五.投标货物及报价表</w:t>
      </w:r>
      <w:bookmarkEnd w:id="98"/>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180"/>
        <w:gridCol w:w="1903"/>
        <w:gridCol w:w="2144"/>
        <w:gridCol w:w="698"/>
        <w:gridCol w:w="698"/>
        <w:gridCol w:w="698"/>
        <w:gridCol w:w="698"/>
        <w:gridCol w:w="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vAlign w:val="center"/>
          </w:tcPr>
          <w:p>
            <w:pPr>
              <w:pStyle w:val="75"/>
              <w:widowControl w:val="0"/>
              <w:spacing w:before="120" w:beforeAutospacing="0" w:after="120" w:afterAutospacing="0"/>
              <w:ind w:left="1680"/>
              <w:jc w:val="both"/>
              <w:rPr>
                <w:bCs w:val="0"/>
                <w:color w:val="000000" w:themeColor="text1"/>
                <w:kern w:val="2"/>
                <w:sz w:val="24"/>
                <w:szCs w:val="20"/>
                <w14:textFill>
                  <w14:solidFill>
                    <w14:schemeClr w14:val="tx1"/>
                  </w14:solidFill>
                </w14:textFill>
              </w:rPr>
            </w:pPr>
            <w:r>
              <w:rPr>
                <w:rFonts w:hint="eastAsia"/>
                <w:bCs w:val="0"/>
                <w:color w:val="000000" w:themeColor="text1"/>
                <w:kern w:val="2"/>
                <w:sz w:val="24"/>
                <w:szCs w:val="20"/>
                <w14:textFill>
                  <w14:solidFill>
                    <w14:schemeClr w14:val="tx1"/>
                  </w14:solidFill>
                </w14:textFill>
              </w:rPr>
              <w:t>序号</w:t>
            </w:r>
          </w:p>
        </w:tc>
        <w:tc>
          <w:tcPr>
            <w:tcW w:w="1180"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货物名称</w:t>
            </w:r>
          </w:p>
        </w:tc>
        <w:tc>
          <w:tcPr>
            <w:tcW w:w="1903"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品牌、型号规格</w:t>
            </w:r>
          </w:p>
        </w:tc>
        <w:tc>
          <w:tcPr>
            <w:tcW w:w="2144"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原产地及生产厂商</w:t>
            </w:r>
          </w:p>
        </w:tc>
        <w:tc>
          <w:tcPr>
            <w:tcW w:w="698"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单位</w:t>
            </w:r>
          </w:p>
        </w:tc>
        <w:tc>
          <w:tcPr>
            <w:tcW w:w="698"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数量</w:t>
            </w:r>
          </w:p>
        </w:tc>
        <w:tc>
          <w:tcPr>
            <w:tcW w:w="698"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单价</w:t>
            </w:r>
          </w:p>
        </w:tc>
        <w:tc>
          <w:tcPr>
            <w:tcW w:w="698"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小计</w:t>
            </w:r>
          </w:p>
        </w:tc>
        <w:tc>
          <w:tcPr>
            <w:tcW w:w="698"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Borders>
              <w:bottom w:val="single" w:color="auto"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9</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10</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12</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13</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p>
        </w:tc>
        <w:tc>
          <w:tcPr>
            <w:tcW w:w="1180" w:type="dxa"/>
            <w:vAlign w:val="center"/>
          </w:tcPr>
          <w:p>
            <w:pPr>
              <w:pStyle w:val="6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其他费用</w:t>
            </w: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p>
        </w:tc>
        <w:tc>
          <w:tcPr>
            <w:tcW w:w="1180" w:type="dxa"/>
          </w:tcPr>
          <w:p>
            <w:pPr>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w:t>
            </w: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p>
        </w:tc>
        <w:tc>
          <w:tcPr>
            <w:tcW w:w="1180" w:type="dxa"/>
          </w:tcPr>
          <w:p>
            <w:pPr>
              <w:pStyle w:val="69"/>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w:t>
            </w: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p>
        </w:tc>
        <w:tc>
          <w:tcPr>
            <w:tcW w:w="1180" w:type="dxa"/>
          </w:tcPr>
          <w:p>
            <w:pPr>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w:t>
            </w: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p>
        </w:tc>
        <w:tc>
          <w:tcPr>
            <w:tcW w:w="1180" w:type="dxa"/>
            <w:vAlign w:val="center"/>
          </w:tcPr>
          <w:p>
            <w:pPr>
              <w:pStyle w:val="6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合计</w:t>
            </w: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bl>
    <w:p>
      <w:pPr>
        <w:pStyle w:val="29"/>
        <w:spacing w:line="360" w:lineRule="auto"/>
        <w:rPr>
          <w:rFonts w:ascii="宋体" w:hAnsi="宋体"/>
          <w:b w:val="0"/>
          <w:bCs/>
          <w:color w:val="000000" w:themeColor="text1"/>
          <w:sz w:val="24"/>
          <w:szCs w:val="28"/>
          <w14:textFill>
            <w14:solidFill>
              <w14:schemeClr w14:val="tx1"/>
            </w14:solidFill>
          </w14:textFill>
        </w:rPr>
      </w:pPr>
      <w:r>
        <w:rPr>
          <w:rFonts w:hint="eastAsia" w:ascii="宋体" w:hAnsi="宋体"/>
          <w:color w:val="000000" w:themeColor="text1"/>
          <w:sz w:val="24"/>
          <w14:textFill>
            <w14:solidFill>
              <w14:schemeClr w14:val="tx1"/>
            </w14:solidFill>
          </w14:textFill>
        </w:rPr>
        <w:t>投标人公章：</w:t>
      </w:r>
    </w:p>
    <w:p>
      <w:pPr>
        <w:adjustRightInd w:val="0"/>
        <w:snapToGrid w:val="0"/>
        <w:spacing w:line="360" w:lineRule="auto"/>
        <w:rPr>
          <w:rFonts w:ascii="宋体" w:hAnsi="宋体"/>
          <w:b/>
          <w:bCs/>
          <w:color w:val="000000" w:themeColor="text1"/>
          <w:sz w:val="24"/>
          <w:szCs w:val="28"/>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p>
    <w:p>
      <w:pPr>
        <w:pStyle w:val="58"/>
        <w:rPr>
          <w:rFonts w:ascii="宋体" w:hAnsi="宋体"/>
          <w:b/>
          <w:bCs/>
          <w:color w:val="000000" w:themeColor="text1"/>
          <w:sz w:val="28"/>
          <w:szCs w:val="32"/>
          <w:lang w:val="zh-CN"/>
          <w14:textFill>
            <w14:solidFill>
              <w14:schemeClr w14:val="tx1"/>
            </w14:solidFill>
          </w14:textFill>
        </w:rPr>
      </w:pPr>
    </w:p>
    <w:p>
      <w:pPr>
        <w:pStyle w:val="58"/>
        <w:rPr>
          <w:rFonts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bookmarkStart w:id="102" w:name="_Toc32709"/>
      <w:r>
        <w:rPr>
          <w:rFonts w:hint="eastAsia" w:ascii="宋体" w:hAnsi="宋体"/>
          <w:b/>
          <w:bCs/>
          <w:color w:val="000000" w:themeColor="text1"/>
          <w:sz w:val="28"/>
          <w:szCs w:val="32"/>
          <w:lang w:val="zh-CN"/>
          <w14:textFill>
            <w14:solidFill>
              <w14:schemeClr w14:val="tx1"/>
            </w14:solidFill>
          </w14:textFill>
        </w:rPr>
        <w:t>六．投标授权书</w:t>
      </w:r>
      <w:bookmarkEnd w:id="99"/>
      <w:bookmarkEnd w:id="100"/>
      <w:bookmarkEnd w:id="101"/>
      <w:bookmarkEnd w:id="102"/>
    </w:p>
    <w:p>
      <w:pPr>
        <w:snapToGrid w:val="0"/>
        <w:spacing w:line="360" w:lineRule="auto"/>
        <w:ind w:firstLine="480" w:firstLineChars="200"/>
        <w:jc w:val="left"/>
        <w:rPr>
          <w:rFonts w:ascii="宋体" w:hAnsi="宋体"/>
          <w:color w:val="000000" w:themeColor="text1"/>
          <w:sz w:val="24"/>
          <w:szCs w:val="28"/>
          <w:lang w:val="zh-CN"/>
          <w14:textFill>
            <w14:solidFill>
              <w14:schemeClr w14:val="tx1"/>
            </w14:solidFill>
          </w14:textFill>
        </w:rPr>
      </w:pPr>
      <w:r>
        <w:rPr>
          <w:rFonts w:hint="eastAsia" w:ascii="宋体" w:hAnsi="宋体"/>
          <w:color w:val="000000" w:themeColor="text1"/>
          <w:sz w:val="24"/>
          <w:szCs w:val="28"/>
          <w:lang w:val="zh-CN"/>
          <w14:textFill>
            <w14:solidFill>
              <w14:schemeClr w14:val="tx1"/>
            </w14:solidFill>
          </w14:textFill>
        </w:rPr>
        <w:t>本授权书声明：</w:t>
      </w:r>
      <w:r>
        <w:rPr>
          <w:rFonts w:hint="eastAsia" w:ascii="宋体" w:hAnsi="宋体"/>
          <w:color w:val="000000" w:themeColor="text1"/>
          <w:sz w:val="24"/>
          <w:szCs w:val="28"/>
          <w:u w:val="single"/>
          <w:lang w:val="zh-CN"/>
          <w14:textFill>
            <w14:solidFill>
              <w14:schemeClr w14:val="tx1"/>
            </w14:solidFill>
          </w14:textFill>
        </w:rPr>
        <w:t xml:space="preserve">           </w:t>
      </w:r>
      <w:r>
        <w:rPr>
          <w:rFonts w:hint="eastAsia" w:ascii="宋体" w:hAnsi="宋体"/>
          <w:color w:val="000000" w:themeColor="text1"/>
          <w:sz w:val="24"/>
          <w:szCs w:val="28"/>
          <w:lang w:val="zh-CN"/>
          <w14:textFill>
            <w14:solidFill>
              <w14:schemeClr w14:val="tx1"/>
            </w14:solidFill>
          </w14:textFill>
        </w:rPr>
        <w:t>公司授权</w:t>
      </w:r>
      <w:r>
        <w:rPr>
          <w:rFonts w:hint="eastAsia" w:ascii="宋体" w:hAnsi="宋体"/>
          <w:color w:val="000000" w:themeColor="text1"/>
          <w:sz w:val="24"/>
          <w:szCs w:val="28"/>
          <w:u w:val="single"/>
          <w:lang w:val="zh-CN"/>
          <w14:textFill>
            <w14:solidFill>
              <w14:schemeClr w14:val="tx1"/>
            </w14:solidFill>
          </w14:textFill>
        </w:rPr>
        <w:t xml:space="preserve">       </w:t>
      </w:r>
      <w:r>
        <w:rPr>
          <w:rFonts w:hint="eastAsia" w:ascii="宋体" w:hAnsi="宋体"/>
          <w:color w:val="000000" w:themeColor="text1"/>
          <w:sz w:val="24"/>
          <w:szCs w:val="28"/>
          <w:lang w:val="zh-CN"/>
          <w14:textFill>
            <w14:solidFill>
              <w14:schemeClr w14:val="tx1"/>
            </w14:solidFill>
          </w14:textFill>
        </w:rPr>
        <w:t>（投标人授权代表姓名、职务，手机号码）代表本公司参加文旅博览集团有限公司</w:t>
      </w:r>
      <w:r>
        <w:rPr>
          <w:rFonts w:hint="eastAsia" w:ascii="宋体" w:hAnsi="宋体"/>
          <w:b/>
          <w:color w:val="000000" w:themeColor="text1"/>
          <w:sz w:val="24"/>
          <w:szCs w:val="28"/>
          <w:u w:val="single"/>
          <w:lang w:val="zh-CN"/>
          <w14:textFill>
            <w14:solidFill>
              <w14:schemeClr w14:val="tx1"/>
            </w14:solidFill>
          </w14:textFill>
        </w:rPr>
        <w:t xml:space="preserve">                   </w:t>
      </w:r>
      <w:r>
        <w:rPr>
          <w:rFonts w:hint="eastAsia" w:ascii="宋体" w:hAnsi="宋体"/>
          <w:bCs/>
          <w:color w:val="000000" w:themeColor="text1"/>
          <w:sz w:val="24"/>
          <w:szCs w:val="28"/>
          <w:lang w:val="zh-CN"/>
          <w14:textFill>
            <w14:solidFill>
              <w14:schemeClr w14:val="tx1"/>
            </w14:solidFill>
          </w14:textFill>
        </w:rPr>
        <w:t>招标活动（项目编号：</w:t>
      </w:r>
      <w:r>
        <w:rPr>
          <w:rFonts w:hint="eastAsia" w:ascii="宋体" w:hAnsi="宋体"/>
          <w:b/>
          <w:color w:val="000000" w:themeColor="text1"/>
          <w:sz w:val="24"/>
          <w:szCs w:val="28"/>
          <w:lang w:val="zh-CN"/>
          <w14:textFill>
            <w14:solidFill>
              <w14:schemeClr w14:val="tx1"/>
            </w14:solidFill>
          </w14:textFill>
        </w:rPr>
        <w:t xml:space="preserve">       </w:t>
      </w:r>
      <w:r>
        <w:rPr>
          <w:rFonts w:hint="eastAsia" w:ascii="宋体" w:hAnsi="宋体"/>
          <w:bCs/>
          <w:color w:val="000000" w:themeColor="text1"/>
          <w:sz w:val="24"/>
          <w:szCs w:val="28"/>
          <w:lang w:val="zh-CN"/>
          <w14:textFill>
            <w14:solidFill>
              <w14:schemeClr w14:val="tx1"/>
            </w14:solidFill>
          </w14:textFill>
        </w:rPr>
        <w:t>）</w:t>
      </w:r>
      <w:r>
        <w:rPr>
          <w:rFonts w:hint="eastAsia" w:ascii="宋体" w:hAnsi="宋体"/>
          <w:color w:val="000000" w:themeColor="text1"/>
          <w:sz w:val="24"/>
          <w:szCs w:val="28"/>
          <w:lang w:val="zh-CN"/>
          <w14:textFill>
            <w14:solidFill>
              <w14:schemeClr w14:val="tx1"/>
            </w14:solidFill>
          </w14:textFill>
        </w:rPr>
        <w:t>，全权代表本公司处理投标过程的一切事宜，包括但不限于：投标、参与开标、谈判、签约等。投标人授权代表在投标过程中所签署的一切文件和处理与之有关的一切事务，本公司均予以认可并对此承担责任。投标人授权代表无转委托权。特此授权。</w:t>
      </w:r>
    </w:p>
    <w:p>
      <w:pPr>
        <w:snapToGrid w:val="0"/>
        <w:spacing w:line="360" w:lineRule="auto"/>
        <w:ind w:firstLine="480" w:firstLineChars="200"/>
        <w:jc w:val="left"/>
        <w:rPr>
          <w:rFonts w:ascii="宋体" w:hAnsi="宋体"/>
          <w:color w:val="000000" w:themeColor="text1"/>
          <w:sz w:val="24"/>
          <w:szCs w:val="28"/>
          <w:lang w:val="zh-CN"/>
          <w14:textFill>
            <w14:solidFill>
              <w14:schemeClr w14:val="tx1"/>
            </w14:solidFill>
          </w14:textFill>
        </w:rPr>
      </w:pPr>
      <w:r>
        <w:rPr>
          <w:rFonts w:hint="eastAsia" w:ascii="宋体" w:hAnsi="宋体"/>
          <w:color w:val="000000" w:themeColor="text1"/>
          <w:sz w:val="24"/>
          <w:szCs w:val="28"/>
          <w:lang w:val="zh-CN"/>
          <w14:textFill>
            <w14:solidFill>
              <w14:schemeClr w14:val="tx1"/>
            </w14:solidFill>
          </w14:textFill>
        </w:rPr>
        <w:t>本授权书自出具之日起生效。</w:t>
      </w:r>
    </w:p>
    <w:p>
      <w:pPr>
        <w:spacing w:line="360" w:lineRule="auto"/>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mc:AlternateContent>
          <mc:Choice Requires="wpg">
            <w:drawing>
              <wp:anchor distT="0" distB="0" distL="114300" distR="114300" simplePos="0" relativeHeight="251659264" behindDoc="0" locked="0" layoutInCell="1" allowOverlap="1">
                <wp:simplePos x="0" y="0"/>
                <wp:positionH relativeFrom="column">
                  <wp:posOffset>1160780</wp:posOffset>
                </wp:positionH>
                <wp:positionV relativeFrom="paragraph">
                  <wp:posOffset>255270</wp:posOffset>
                </wp:positionV>
                <wp:extent cx="3860165" cy="727710"/>
                <wp:effectExtent l="9525" t="8255" r="6985" b="6985"/>
                <wp:wrapNone/>
                <wp:docPr id="5" name="组合 5"/>
                <wp:cNvGraphicFramePr/>
                <a:graphic xmlns:a="http://schemas.openxmlformats.org/drawingml/2006/main">
                  <a:graphicData uri="http://schemas.microsoft.com/office/word/2010/wordprocessingGroup">
                    <wpg:wgp>
                      <wpg:cNvGrpSpPr/>
                      <wpg:grpSpPr>
                        <a:xfrm>
                          <a:off x="0" y="0"/>
                          <a:ext cx="3860165" cy="727710"/>
                          <a:chOff x="3270" y="5789"/>
                          <a:chExt cx="6079" cy="1525"/>
                        </a:xfrm>
                      </wpg:grpSpPr>
                      <wps:wsp>
                        <wps:cNvPr id="6" name="自选图形 67"/>
                        <wps:cNvSpPr>
                          <a:spLocks noChangeArrowheads="1"/>
                        </wps:cNvSpPr>
                        <wps:spPr bwMode="auto">
                          <a:xfrm>
                            <a:off x="3270" y="5789"/>
                            <a:ext cx="2794" cy="1525"/>
                          </a:xfrm>
                          <a:prstGeom prst="roundRect">
                            <a:avLst>
                              <a:gd name="adj" fmla="val 16667"/>
                            </a:avLst>
                          </a:prstGeom>
                          <a:solidFill>
                            <a:srgbClr val="FFFFFF"/>
                          </a:solidFill>
                          <a:ln w="9525">
                            <a:solidFill>
                              <a:srgbClr val="000000"/>
                            </a:solidFill>
                            <a:round/>
                          </a:ln>
                        </wps:spPr>
                        <wps:txbx>
                          <w:txbxContent>
                            <w:p/>
                            <w:p>
                              <w:pPr>
                                <w:jc w:val="center"/>
                                <w:rPr>
                                  <w:color w:val="FF0000"/>
                                </w:rPr>
                              </w:pPr>
                              <w:r>
                                <w:rPr>
                                  <w:rFonts w:hint="eastAsia"/>
                                  <w:color w:val="FF0000"/>
                                </w:rPr>
                                <w:t>授权代表身份证正面</w:t>
                              </w:r>
                            </w:p>
                            <w:p>
                              <w:pPr>
                                <w:jc w:val="center"/>
                                <w:rPr>
                                  <w:color w:val="FF0000"/>
                                  <w:szCs w:val="21"/>
                                </w:rPr>
                              </w:pPr>
                              <w:r>
                                <w:rPr>
                                  <w:rFonts w:hint="eastAsia"/>
                                  <w:color w:val="FF0000"/>
                                </w:rPr>
                                <w:t>扫描件</w:t>
                              </w:r>
                            </w:p>
                            <w:p/>
                          </w:txbxContent>
                        </wps:txbx>
                        <wps:bodyPr rot="0" vert="horz" wrap="square" lIns="91440" tIns="45720" rIns="91440" bIns="45720" anchor="t" anchorCtr="0" upright="1">
                          <a:noAutofit/>
                        </wps:bodyPr>
                      </wps:wsp>
                      <wps:wsp>
                        <wps:cNvPr id="7" name="自选图形 68"/>
                        <wps:cNvSpPr>
                          <a:spLocks noChangeArrowheads="1"/>
                        </wps:cNvSpPr>
                        <wps:spPr bwMode="auto">
                          <a:xfrm>
                            <a:off x="6555" y="5789"/>
                            <a:ext cx="2794" cy="1525"/>
                          </a:xfrm>
                          <a:prstGeom prst="roundRect">
                            <a:avLst>
                              <a:gd name="adj" fmla="val 16667"/>
                            </a:avLst>
                          </a:prstGeom>
                          <a:solidFill>
                            <a:srgbClr val="FFFFFF"/>
                          </a:solidFill>
                          <a:ln w="9525">
                            <a:solidFill>
                              <a:srgbClr val="000000"/>
                            </a:solidFill>
                            <a:round/>
                          </a:ln>
                        </wps:spPr>
                        <wps:txbx>
                          <w:txbxContent>
                            <w:p>
                              <w:pPr>
                                <w:rPr>
                                  <w:color w:val="FF0000"/>
                                </w:rPr>
                              </w:pPr>
                            </w:p>
                            <w:p>
                              <w:pPr>
                                <w:jc w:val="center"/>
                                <w:rPr>
                                  <w:color w:val="FF0000"/>
                                </w:rPr>
                              </w:pPr>
                              <w:r>
                                <w:rPr>
                                  <w:rFonts w:hint="eastAsia"/>
                                  <w:color w:val="FF0000"/>
                                </w:rPr>
                                <w:t>授权代表身份证反面</w:t>
                              </w:r>
                            </w:p>
                            <w:p>
                              <w:pPr>
                                <w:jc w:val="center"/>
                                <w:rPr>
                                  <w:color w:val="FF0000"/>
                                  <w:szCs w:val="21"/>
                                </w:rPr>
                              </w:pPr>
                              <w:r>
                                <w:rPr>
                                  <w:rFonts w:hint="eastAsia"/>
                                  <w:color w:val="FF0000"/>
                                </w:rPr>
                                <w:t>扫描件</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91.4pt;margin-top:20.1pt;height:57.3pt;width:303.95pt;z-index:251659264;mso-width-relative:page;mso-height-relative:page;" coordorigin="3270,5789" coordsize="6079,1525" o:gfxdata="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fkG2w9kAAAAKAQAADwAAAAAAAAABACAAAAAiAAAAZHJzL2Rv&#10;d25yZXYueG1sUEsBAhQAFAAAAAgAh07iQDWBReDkAgAAnggAAA4AAAAAAAAAAQAgAAAAKAEAAGRy&#10;cy9lMm9Eb2MueG1sUEsFBgAAAAAGAAYAWQEAAH4GAAAAAA==&#10;">
                <o:lock v:ext="edit" aspectratio="f"/>
                <v:roundrect id="自选图形 67" o:spid="_x0000_s1026" o:spt="2" style="position:absolute;left:3270;top:5789;height:1525;width:2794;" fillcolor="#FFFFFF" filled="t" stroked="t" coordsize="21600,21600" arcsize="0.166666666666667" o:gfxdata="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GeTtK8AAAA&#10;2gAAAA8AAAAAAAAAAQAgAAAAIgAAAGRycy9kb3ducmV2LnhtbFBLAQIUABQAAAAIAIdO4kAzLwWe&#10;OwAAADkAAAAQAAAAAAAAAAEAIAAAAAsBAABkcnMvc2hhcGV4bWwueG1sUEsFBgAAAAAGAAYAWwEA&#10;ALUDAAAAAA==&#10;">
                  <v:fill on="t" focussize="0,0"/>
                  <v:stroke color="#000000" joinstyle="round"/>
                  <v:imagedata o:title=""/>
                  <o:lock v:ext="edit" aspectratio="f"/>
                  <v:textbox>
                    <w:txbxContent>
                      <w:p/>
                      <w:p>
                        <w:pPr>
                          <w:jc w:val="center"/>
                          <w:rPr>
                            <w:color w:val="FF0000"/>
                          </w:rPr>
                        </w:pPr>
                        <w:r>
                          <w:rPr>
                            <w:rFonts w:hint="eastAsia"/>
                            <w:color w:val="FF0000"/>
                          </w:rPr>
                          <w:t>授权代表身份证正面</w:t>
                        </w:r>
                      </w:p>
                      <w:p>
                        <w:pPr>
                          <w:jc w:val="center"/>
                          <w:rPr>
                            <w:color w:val="FF0000"/>
                            <w:szCs w:val="21"/>
                          </w:rPr>
                        </w:pPr>
                        <w:r>
                          <w:rPr>
                            <w:rFonts w:hint="eastAsia"/>
                            <w:color w:val="FF0000"/>
                          </w:rPr>
                          <w:t>扫描件</w:t>
                        </w:r>
                      </w:p>
                      <w:p/>
                    </w:txbxContent>
                  </v:textbox>
                </v:roundrect>
                <v:roundrect id="自选图形 68" o:spid="_x0000_s1026" o:spt="2" style="position:absolute;left:6555;top:5789;height:1525;width:2794;" fillcolor="#FFFFFF" filled="t" stroked="t" coordsize="21600,21600" arcsize="0.166666666666667" o:gfxdata="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7S60m8AAAA&#10;2gAAAA8AAAAAAAAAAQAgAAAAIgAAAGRycy9kb3ducmV2LnhtbFBLAQIUABQAAAAIAIdO4kAzLwWe&#10;OwAAADkAAAAQAAAAAAAAAAEAIAAAAAsBAABkcnMvc2hhcGV4bWwueG1sUEsFBgAAAAAGAAYAWwEA&#10;ALUDAAAAAA==&#10;">
                  <v:fill on="t" focussize="0,0"/>
                  <v:stroke color="#000000" joinstyle="round"/>
                  <v:imagedata o:title=""/>
                  <o:lock v:ext="edit" aspectratio="f"/>
                  <v:textbox>
                    <w:txbxContent>
                      <w:p>
                        <w:pPr>
                          <w:rPr>
                            <w:color w:val="FF0000"/>
                          </w:rPr>
                        </w:pPr>
                      </w:p>
                      <w:p>
                        <w:pPr>
                          <w:jc w:val="center"/>
                          <w:rPr>
                            <w:color w:val="FF0000"/>
                          </w:rPr>
                        </w:pPr>
                        <w:r>
                          <w:rPr>
                            <w:rFonts w:hint="eastAsia"/>
                            <w:color w:val="FF0000"/>
                          </w:rPr>
                          <w:t>授权代表身份证反面</w:t>
                        </w:r>
                      </w:p>
                      <w:p>
                        <w:pPr>
                          <w:jc w:val="center"/>
                          <w:rPr>
                            <w:color w:val="FF0000"/>
                            <w:szCs w:val="21"/>
                          </w:rPr>
                        </w:pPr>
                        <w:r>
                          <w:rPr>
                            <w:rFonts w:hint="eastAsia"/>
                            <w:color w:val="FF0000"/>
                          </w:rPr>
                          <w:t>扫描件</w:t>
                        </w:r>
                      </w:p>
                    </w:txbxContent>
                  </v:textbox>
                </v:roundrect>
              </v:group>
            </w:pict>
          </mc:Fallback>
        </mc:AlternateContent>
      </w:r>
    </w:p>
    <w:p>
      <w:pPr>
        <w:spacing w:line="360" w:lineRule="auto"/>
        <w:ind w:firstLine="645"/>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特此声明。</w:t>
      </w:r>
    </w:p>
    <w:p>
      <w:pPr>
        <w:spacing w:line="360" w:lineRule="auto"/>
        <w:rPr>
          <w:rFonts w:ascii="宋体" w:hAnsi="宋体"/>
          <w:color w:val="000000" w:themeColor="text1"/>
          <w:sz w:val="24"/>
          <w:szCs w:val="28"/>
          <w14:textFill>
            <w14:solidFill>
              <w14:schemeClr w14:val="tx1"/>
            </w14:solidFill>
          </w14:textFill>
        </w:rPr>
      </w:pPr>
    </w:p>
    <w:p>
      <w:pPr>
        <w:spacing w:line="360" w:lineRule="auto"/>
        <w:rPr>
          <w:rFonts w:ascii="宋体" w:hAnsi="宋体"/>
          <w:color w:val="000000" w:themeColor="text1"/>
          <w:sz w:val="24"/>
          <w:szCs w:val="28"/>
          <w14:textFill>
            <w14:solidFill>
              <w14:schemeClr w14:val="tx1"/>
            </w14:solidFill>
          </w14:textFill>
        </w:rPr>
      </w:pPr>
    </w:p>
    <w:p>
      <w:pPr>
        <w:spacing w:line="360" w:lineRule="auto"/>
        <w:rPr>
          <w:rFonts w:ascii="宋体" w:hAnsi="宋体"/>
          <w:color w:val="000000" w:themeColor="text1"/>
          <w:sz w:val="24"/>
          <w:szCs w:val="28"/>
          <w14:textFill>
            <w14:solidFill>
              <w14:schemeClr w14:val="tx1"/>
            </w14:solidFill>
          </w14:textFill>
        </w:rPr>
      </w:pPr>
    </w:p>
    <w:p>
      <w:pPr>
        <w:spacing w:line="360" w:lineRule="auto"/>
        <w:rPr>
          <w:rFonts w:ascii="宋体" w:hAnsi="宋体"/>
          <w:b/>
          <w:bCs/>
          <w:color w:val="000000" w:themeColor="text1"/>
          <w:sz w:val="24"/>
          <w:szCs w:val="28"/>
          <w14:textFill>
            <w14:solidFill>
              <w14:schemeClr w14:val="tx1"/>
            </w14:solidFill>
          </w14:textFill>
        </w:rPr>
      </w:pPr>
      <w:r>
        <w:rPr>
          <w:rFonts w:hint="eastAsia" w:ascii="宋体" w:hAnsi="宋体"/>
          <w:b/>
          <w:bCs/>
          <w:color w:val="000000" w:themeColor="text1"/>
          <w:sz w:val="24"/>
          <w:szCs w:val="28"/>
          <w14:textFill>
            <w14:solidFill>
              <w14:schemeClr w14:val="tx1"/>
            </w14:solidFill>
          </w14:textFill>
        </w:rPr>
        <w:t>投标人(公章)：</w:t>
      </w:r>
      <w:r>
        <w:rPr>
          <w:rFonts w:hint="eastAsia" w:ascii="宋体" w:hAnsi="宋体"/>
          <w:b/>
          <w:bCs/>
          <w:color w:val="000000" w:themeColor="text1"/>
          <w:sz w:val="24"/>
          <w:szCs w:val="28"/>
          <w:u w:val="single"/>
          <w14:textFill>
            <w14:solidFill>
              <w14:schemeClr w14:val="tx1"/>
            </w14:solidFill>
          </w14:textFill>
        </w:rPr>
        <w:t xml:space="preserve">                    </w:t>
      </w:r>
    </w:p>
    <w:p>
      <w:pPr>
        <w:spacing w:line="360" w:lineRule="auto"/>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 xml:space="preserve">日        期： </w:t>
      </w:r>
      <w:r>
        <w:rPr>
          <w:rFonts w:hint="eastAsia" w:ascii="宋体" w:hAnsi="宋体"/>
          <w:color w:val="000000" w:themeColor="text1"/>
          <w:sz w:val="24"/>
          <w:szCs w:val="28"/>
          <w:u w:val="single"/>
          <w14:textFill>
            <w14:solidFill>
              <w14:schemeClr w14:val="tx1"/>
            </w14:solidFill>
          </w14:textFill>
        </w:rPr>
        <w:t xml:space="preserve">                   </w:t>
      </w:r>
    </w:p>
    <w:p>
      <w:pPr>
        <w:rPr>
          <w:rFonts w:ascii="宋体" w:hAnsi="宋体"/>
          <w:color w:val="000000" w:themeColor="text1"/>
          <w:sz w:val="28"/>
          <w:szCs w:val="28"/>
          <w14:textFill>
            <w14:solidFill>
              <w14:schemeClr w14:val="tx1"/>
            </w14:solidFill>
          </w14:textFill>
        </w:rPr>
      </w:pPr>
    </w:p>
    <w:p>
      <w:pPr>
        <w:snapToGrid w:val="0"/>
        <w:spacing w:line="360" w:lineRule="auto"/>
        <w:jc w:val="left"/>
        <w:rPr>
          <w:rFonts w:ascii="宋体" w:hAnsi="宋体"/>
          <w:color w:val="000000" w:themeColor="text1"/>
          <w:sz w:val="24"/>
          <w:szCs w:val="28"/>
          <w:lang w:val="zh-CN"/>
          <w14:textFill>
            <w14:solidFill>
              <w14:schemeClr w14:val="tx1"/>
            </w14:solidFill>
          </w14:textFill>
        </w:rPr>
      </w:pPr>
      <w:r>
        <w:rPr>
          <w:rFonts w:hint="eastAsia" w:ascii="宋体" w:hAnsi="宋体"/>
          <w:color w:val="000000" w:themeColor="text1"/>
          <w:sz w:val="24"/>
          <w:szCs w:val="28"/>
          <w:lang w:val="zh-CN"/>
          <w14:textFill>
            <w14:solidFill>
              <w14:schemeClr w14:val="tx1"/>
            </w14:solidFill>
          </w14:textFill>
        </w:rPr>
        <w:t>注：</w:t>
      </w:r>
    </w:p>
    <w:p>
      <w:pPr>
        <w:snapToGrid w:val="0"/>
        <w:spacing w:line="360" w:lineRule="auto"/>
        <w:jc w:val="left"/>
        <w:rPr>
          <w:rFonts w:ascii="宋体" w:hAnsi="宋体"/>
          <w:color w:val="000000" w:themeColor="text1"/>
          <w:sz w:val="24"/>
          <w:szCs w:val="28"/>
          <w:lang w:val="zh-CN"/>
          <w14:textFill>
            <w14:solidFill>
              <w14:schemeClr w14:val="tx1"/>
            </w14:solidFill>
          </w14:textFill>
        </w:rPr>
      </w:pPr>
      <w:r>
        <w:rPr>
          <w:rFonts w:hint="eastAsia" w:ascii="宋体" w:hAnsi="宋体"/>
          <w:color w:val="000000" w:themeColor="text1"/>
          <w:sz w:val="24"/>
          <w:szCs w:val="28"/>
          <w:lang w:val="zh-CN"/>
          <w14:textFill>
            <w14:solidFill>
              <w14:schemeClr w14:val="tx1"/>
            </w14:solidFill>
          </w14:textFill>
        </w:rPr>
        <w:t>1.本项目只允许有唯一的投标人授权代表（须与投标函中授权代表为同一人，否则投标无效），投标文件中提供授权代表身份证</w:t>
      </w:r>
      <w:r>
        <w:rPr>
          <w:rFonts w:hint="eastAsia" w:ascii="宋体" w:hAnsi="宋体"/>
          <w:color w:val="000000" w:themeColor="text1"/>
          <w:sz w:val="24"/>
          <w:szCs w:val="20"/>
          <w:lang w:val="zh-CN"/>
          <w14:textFill>
            <w14:solidFill>
              <w14:schemeClr w14:val="tx1"/>
            </w14:solidFill>
          </w14:textFill>
        </w:rPr>
        <w:t>扫描件</w:t>
      </w:r>
      <w:r>
        <w:rPr>
          <w:rFonts w:hint="eastAsia" w:ascii="宋体" w:hAnsi="宋体"/>
          <w:color w:val="000000" w:themeColor="text1"/>
          <w:sz w:val="24"/>
          <w:szCs w:val="28"/>
          <w:lang w:val="zh-CN"/>
          <w14:textFill>
            <w14:solidFill>
              <w14:schemeClr w14:val="tx1"/>
            </w14:solidFill>
          </w14:textFill>
        </w:rPr>
        <w:t>。</w:t>
      </w:r>
    </w:p>
    <w:p>
      <w:pPr>
        <w:snapToGrid w:val="0"/>
        <w:spacing w:line="360" w:lineRule="auto"/>
        <w:jc w:val="left"/>
        <w:rPr>
          <w:rFonts w:ascii="宋体" w:hAnsi="宋体"/>
          <w:color w:val="000000" w:themeColor="text1"/>
          <w:sz w:val="24"/>
          <w:szCs w:val="24"/>
          <w:lang w:val="zh-CN"/>
          <w14:textFill>
            <w14:solidFill>
              <w14:schemeClr w14:val="tx1"/>
            </w14:solidFill>
          </w14:textFill>
        </w:rPr>
      </w:pPr>
      <w:r>
        <w:rPr>
          <w:rFonts w:hint="eastAsia" w:ascii="宋体" w:hAnsi="宋体"/>
          <w:color w:val="000000" w:themeColor="text1"/>
          <w:sz w:val="24"/>
          <w:szCs w:val="28"/>
          <w:lang w:val="zh-CN"/>
          <w14:textFill>
            <w14:solidFill>
              <w14:schemeClr w14:val="tx1"/>
            </w14:solidFill>
          </w14:textFill>
        </w:rPr>
        <w:t>2.法定代表人参加投标的无需此件，</w:t>
      </w:r>
      <w:r>
        <w:rPr>
          <w:rFonts w:hint="eastAsia" w:ascii="宋体" w:hAnsi="宋体"/>
          <w:color w:val="000000" w:themeColor="text1"/>
          <w:sz w:val="24"/>
          <w:szCs w:val="20"/>
          <w:lang w:val="zh-CN"/>
          <w14:textFill>
            <w14:solidFill>
              <w14:schemeClr w14:val="tx1"/>
            </w14:solidFill>
          </w14:textFill>
        </w:rPr>
        <w:t>但投标文件中须提供身份证扫描件。</w:t>
      </w: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keepNext/>
        <w:keepLines/>
        <w:spacing w:before="260" w:after="260" w:line="416" w:lineRule="auto"/>
        <w:jc w:val="center"/>
        <w:outlineLvl w:val="2"/>
        <w:rPr>
          <w:rFonts w:ascii="宋体" w:hAnsi="宋体" w:cs="宋体"/>
          <w:b/>
          <w:bCs/>
          <w:color w:val="000000" w:themeColor="text1"/>
          <w:sz w:val="28"/>
          <w:szCs w:val="28"/>
          <w:lang w:val="zh-CN"/>
          <w14:textFill>
            <w14:solidFill>
              <w14:schemeClr w14:val="tx1"/>
            </w14:solidFill>
          </w14:textFill>
        </w:rPr>
      </w:pPr>
      <w:bookmarkStart w:id="103" w:name="_Toc6570"/>
      <w:bookmarkStart w:id="104" w:name="_Toc7078094"/>
      <w:bookmarkStart w:id="105" w:name="_Toc536542360"/>
      <w:bookmarkStart w:id="106" w:name="_Toc14779"/>
      <w:r>
        <w:rPr>
          <w:rFonts w:hint="eastAsia" w:ascii="宋体" w:hAnsi="宋体" w:cs="宋体"/>
          <w:b/>
          <w:bCs/>
          <w:color w:val="000000" w:themeColor="text1"/>
          <w:sz w:val="28"/>
          <w:szCs w:val="28"/>
          <w:lang w:val="zh-CN"/>
          <w14:textFill>
            <w14:solidFill>
              <w14:schemeClr w14:val="tx1"/>
            </w14:solidFill>
          </w14:textFill>
        </w:rPr>
        <w:t>七．投标人信用承诺</w:t>
      </w:r>
      <w:bookmarkEnd w:id="95"/>
      <w:bookmarkEnd w:id="96"/>
      <w:bookmarkEnd w:id="103"/>
      <w:bookmarkEnd w:id="104"/>
      <w:bookmarkEnd w:id="105"/>
      <w:bookmarkEnd w:id="106"/>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我公司申明，我公司无以下不良信用记录情形：</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1.公司被人民法院列入失信被执行人；</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2.公司、公司法定代表人被人民检察院列入行贿犯罪档案；</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3.公司被工商行政管理部门列入企业经营异常名录；</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4.公司被税务部门列入重大税收违法案件当事人名单的；</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 参加本次投标活动前三年内，在服务活动中没有重大违法及安全事故记录。</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我公司已就上述不良信用行为按照招标文件规定进行了查询，并在投标文件中如实提供查询截图及相关证明。我公司承诺：合同签订前，若我公司具有不良信用记录情形，贵方可取消我公司中标资格或者不授予合同，所有责任由我公司自行承担。同时，我公司愿意无条件接受监管部门的调查处理。 </w:t>
      </w: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投标人（公章）：</w:t>
      </w: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bookmarkEnd w:id="97"/>
    <w:p>
      <w:pPr>
        <w:keepNext/>
        <w:keepLines/>
        <w:spacing w:before="260" w:after="260" w:line="416" w:lineRule="auto"/>
        <w:jc w:val="center"/>
        <w:outlineLvl w:val="2"/>
        <w:rPr>
          <w:rFonts w:ascii="宋体" w:hAnsi="宋体" w:cs="宋体"/>
          <w:b/>
          <w:bCs/>
          <w:color w:val="000000" w:themeColor="text1"/>
          <w:sz w:val="28"/>
          <w:szCs w:val="28"/>
          <w:lang w:val="zh-CN"/>
          <w14:textFill>
            <w14:solidFill>
              <w14:schemeClr w14:val="tx1"/>
            </w14:solidFill>
          </w14:textFill>
        </w:rPr>
      </w:pPr>
      <w:bookmarkStart w:id="107" w:name="_Hlt509738950"/>
      <w:bookmarkEnd w:id="107"/>
      <w:bookmarkStart w:id="108" w:name="_Toc496587831"/>
      <w:bookmarkStart w:id="109" w:name="_Toc2056"/>
      <w:bookmarkStart w:id="110" w:name="_Toc536542361"/>
      <w:bookmarkStart w:id="111" w:name="_Toc7078095"/>
      <w:bookmarkStart w:id="112" w:name="_Toc24259"/>
      <w:r>
        <w:rPr>
          <w:rFonts w:hint="eastAsia" w:ascii="宋体" w:hAnsi="宋体" w:cs="宋体"/>
          <w:b/>
          <w:bCs/>
          <w:color w:val="000000" w:themeColor="text1"/>
          <w:sz w:val="28"/>
          <w:szCs w:val="28"/>
          <w:lang w:val="zh-CN"/>
          <w14:textFill>
            <w14:solidFill>
              <w14:schemeClr w14:val="tx1"/>
            </w14:solidFill>
          </w14:textFill>
        </w:rPr>
        <w:t>八.</w:t>
      </w:r>
      <w:bookmarkEnd w:id="108"/>
      <w:r>
        <w:rPr>
          <w:rFonts w:hint="eastAsia" w:ascii="宋体" w:hAnsi="宋体" w:cs="宋体"/>
          <w:b/>
          <w:bCs/>
          <w:color w:val="000000" w:themeColor="text1"/>
          <w:sz w:val="28"/>
          <w:szCs w:val="28"/>
          <w:lang w:val="zh-CN"/>
          <w14:textFill>
            <w14:solidFill>
              <w14:schemeClr w14:val="tx1"/>
            </w14:solidFill>
          </w14:textFill>
        </w:rPr>
        <w:t xml:space="preserve"> 投标业绩</w:t>
      </w:r>
      <w:bookmarkEnd w:id="109"/>
      <w:bookmarkEnd w:id="110"/>
      <w:bookmarkEnd w:id="111"/>
      <w:bookmarkEnd w:id="112"/>
    </w:p>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（一）业绩表</w:t>
      </w:r>
    </w:p>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（格式仅供参考）</w:t>
      </w:r>
    </w:p>
    <w:tbl>
      <w:tblPr>
        <w:tblStyle w:val="50"/>
        <w:tblW w:w="10059"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59"/>
        <w:gridCol w:w="2410"/>
        <w:gridCol w:w="1559"/>
        <w:gridCol w:w="255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46"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序号</w:t>
            </w:r>
          </w:p>
        </w:tc>
        <w:tc>
          <w:tcPr>
            <w:tcW w:w="1559"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项目名称</w:t>
            </w:r>
          </w:p>
        </w:tc>
        <w:tc>
          <w:tcPr>
            <w:tcW w:w="2410" w:type="dxa"/>
            <w:vAlign w:val="center"/>
          </w:tcPr>
          <w:p>
            <w:pPr>
              <w:widowControl/>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服务内容</w:t>
            </w:r>
          </w:p>
        </w:tc>
        <w:tc>
          <w:tcPr>
            <w:tcW w:w="1559"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合同总金额</w:t>
            </w:r>
          </w:p>
        </w:tc>
        <w:tc>
          <w:tcPr>
            <w:tcW w:w="2551"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业主单位及联系电话</w:t>
            </w:r>
          </w:p>
        </w:tc>
        <w:tc>
          <w:tcPr>
            <w:tcW w:w="1134"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0059" w:type="dxa"/>
            <w:gridSpan w:val="6"/>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初审业绩（资格门槛业绩）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410"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551"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134" w:type="dxa"/>
            <w:vAlign w:val="center"/>
          </w:tcPr>
          <w:p>
            <w:pPr>
              <w:spacing w:line="360" w:lineRule="auto"/>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410"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551"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134" w:type="dxa"/>
            <w:vAlign w:val="center"/>
          </w:tcPr>
          <w:p>
            <w:pPr>
              <w:spacing w:line="360" w:lineRule="auto"/>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410"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551"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134" w:type="dxa"/>
            <w:vAlign w:val="center"/>
          </w:tcPr>
          <w:p>
            <w:pPr>
              <w:spacing w:line="360" w:lineRule="auto"/>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410"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551"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134" w:type="dxa"/>
            <w:vAlign w:val="center"/>
          </w:tcPr>
          <w:p>
            <w:pPr>
              <w:spacing w:line="360" w:lineRule="auto"/>
              <w:rPr>
                <w:rFonts w:ascii="宋体" w:hAnsi="宋体" w:cs="宋体"/>
                <w:color w:val="000000" w:themeColor="text1"/>
                <w:sz w:val="24"/>
                <w:szCs w:val="24"/>
                <w14:textFill>
                  <w14:solidFill>
                    <w14:schemeClr w14:val="tx1"/>
                  </w14:solidFill>
                </w14:textFill>
              </w:rPr>
            </w:pPr>
          </w:p>
        </w:tc>
      </w:tr>
    </w:tbl>
    <w:p>
      <w:pPr>
        <w:spacing w:before="48" w:beforeLines="20" w:after="48" w:afterLines="20" w:line="360" w:lineRule="auto"/>
        <w:rPr>
          <w:rFonts w:ascii="宋体" w:hAnsi="宋体" w:cs="宋体"/>
          <w:color w:val="000000" w:themeColor="text1"/>
          <w:sz w:val="24"/>
          <w:szCs w:val="24"/>
          <w14:textFill>
            <w14:solidFill>
              <w14:schemeClr w14:val="tx1"/>
            </w14:solidFill>
          </w14:textFill>
        </w:rPr>
      </w:pPr>
    </w:p>
    <w:p>
      <w:pPr>
        <w:spacing w:before="48" w:beforeLines="20" w:after="48" w:afterLines="20" w:line="360" w:lineRule="auto"/>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（二）业绩证明材料</w:t>
      </w:r>
    </w:p>
    <w:p>
      <w:pPr>
        <w:spacing w:before="48" w:beforeLines="20" w:after="48" w:afterLines="20"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（建议与上述“（一）业绩表”填写的业绩一一对应提供）</w:t>
      </w:r>
    </w:p>
    <w:p>
      <w:pPr>
        <w:spacing w:before="48" w:beforeLines="20" w:after="48" w:afterLines="20" w:line="360" w:lineRule="auto"/>
        <w:jc w:val="center"/>
        <w:rPr>
          <w:rFonts w:ascii="宋体" w:hAnsi="宋体" w:cs="宋体"/>
          <w:color w:val="000000" w:themeColor="text1"/>
          <w:sz w:val="24"/>
          <w:szCs w:val="24"/>
          <w14:textFill>
            <w14:solidFill>
              <w14:schemeClr w14:val="tx1"/>
            </w14:solidFill>
          </w14:textFill>
        </w:rPr>
      </w:pPr>
    </w:p>
    <w:p>
      <w:pPr>
        <w:spacing w:before="48" w:beforeLines="20" w:after="48" w:afterLines="20" w:line="360" w:lineRule="auto"/>
        <w:rPr>
          <w:rFonts w:ascii="宋体" w:hAnsi="宋体" w:cs="宋体"/>
          <w:color w:val="000000" w:themeColor="text1"/>
          <w:sz w:val="24"/>
          <w:szCs w:val="24"/>
          <w14:textFill>
            <w14:solidFill>
              <w14:schemeClr w14:val="tx1"/>
            </w14:solidFill>
          </w14:textFill>
        </w:rPr>
      </w:pPr>
    </w:p>
    <w:p>
      <w:pPr>
        <w:spacing w:before="48" w:beforeLines="20" w:after="48" w:afterLines="20" w:line="360" w:lineRule="auto"/>
        <w:jc w:val="center"/>
        <w:rPr>
          <w:rFonts w:ascii="宋体" w:hAnsi="宋体" w:cs="宋体"/>
          <w:color w:val="000000" w:themeColor="text1"/>
          <w:sz w:val="24"/>
          <w:szCs w:val="24"/>
          <w14:textFill>
            <w14:solidFill>
              <w14:schemeClr w14:val="tx1"/>
            </w14:solidFill>
          </w14:textFill>
        </w:rPr>
      </w:pPr>
    </w:p>
    <w:p>
      <w:pPr>
        <w:pStyle w:val="58"/>
        <w:rPr>
          <w:rFonts w:ascii="宋体" w:hAnsi="宋体" w:cs="宋体"/>
          <w:color w:val="000000" w:themeColor="text1"/>
          <w:sz w:val="24"/>
          <w:szCs w:val="24"/>
          <w14:textFill>
            <w14:solidFill>
              <w14:schemeClr w14:val="tx1"/>
            </w14:solidFill>
          </w14:textFill>
        </w:rPr>
      </w:pPr>
    </w:p>
    <w:p>
      <w:pPr>
        <w:pStyle w:val="58"/>
        <w:rPr>
          <w:rFonts w:ascii="宋体" w:hAnsi="宋体" w:cs="宋体"/>
          <w:color w:val="000000" w:themeColor="text1"/>
          <w:sz w:val="24"/>
          <w:szCs w:val="24"/>
          <w14:textFill>
            <w14:solidFill>
              <w14:schemeClr w14:val="tx1"/>
            </w14:solidFill>
          </w14:textFill>
        </w:rPr>
      </w:pPr>
    </w:p>
    <w:p>
      <w:pPr>
        <w:pStyle w:val="58"/>
        <w:rPr>
          <w:rFonts w:ascii="宋体" w:hAnsi="宋体" w:cs="宋体"/>
          <w:color w:val="000000" w:themeColor="text1"/>
          <w:sz w:val="24"/>
          <w:szCs w:val="24"/>
          <w14:textFill>
            <w14:solidFill>
              <w14:schemeClr w14:val="tx1"/>
            </w14:solidFill>
          </w14:textFill>
        </w:rPr>
      </w:pPr>
    </w:p>
    <w:p>
      <w:pPr>
        <w:pStyle w:val="58"/>
        <w:rPr>
          <w:rFonts w:ascii="宋体" w:hAnsi="宋体" w:cs="宋体"/>
          <w:color w:val="000000" w:themeColor="text1"/>
          <w:sz w:val="24"/>
          <w:szCs w:val="24"/>
          <w14:textFill>
            <w14:solidFill>
              <w14:schemeClr w14:val="tx1"/>
            </w14:solidFill>
          </w14:textFill>
        </w:rPr>
      </w:pPr>
    </w:p>
    <w:p>
      <w:pPr>
        <w:pStyle w:val="58"/>
        <w:rPr>
          <w:rFonts w:ascii="宋体" w:hAnsi="宋体" w:cs="宋体"/>
          <w:color w:val="000000" w:themeColor="text1"/>
          <w:sz w:val="24"/>
          <w:szCs w:val="24"/>
          <w14:textFill>
            <w14:solidFill>
              <w14:schemeClr w14:val="tx1"/>
            </w14:solidFill>
          </w14:textFill>
        </w:rPr>
      </w:pPr>
    </w:p>
    <w:p>
      <w:pPr>
        <w:pStyle w:val="58"/>
        <w:rPr>
          <w:rFonts w:ascii="宋体" w:hAnsi="宋体" w:cs="宋体"/>
          <w:color w:val="000000" w:themeColor="text1"/>
          <w:sz w:val="24"/>
          <w:szCs w:val="24"/>
          <w14:textFill>
            <w14:solidFill>
              <w14:schemeClr w14:val="tx1"/>
            </w14:solidFill>
          </w14:textFill>
        </w:rPr>
      </w:pPr>
    </w:p>
    <w:p>
      <w:pPr>
        <w:pStyle w:val="58"/>
        <w:rPr>
          <w:rFonts w:ascii="宋体" w:hAnsi="宋体" w:cs="宋体"/>
          <w:color w:val="000000" w:themeColor="text1"/>
          <w:sz w:val="24"/>
          <w:szCs w:val="24"/>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bookmarkStart w:id="113" w:name="_Toc220232402"/>
      <w:bookmarkStart w:id="114" w:name="_Toc471736419"/>
      <w:bookmarkStart w:id="115" w:name="_Toc516969105"/>
      <w:bookmarkStart w:id="116" w:name="_Toc7078096"/>
      <w:bookmarkStart w:id="117" w:name="_Toc12076"/>
      <w:bookmarkStart w:id="118" w:name="_Toc16606"/>
      <w:bookmarkStart w:id="119" w:name="_Toc536542362"/>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6"/>
          <w:lang w:val="zh-CN"/>
          <w14:textFill>
            <w14:solidFill>
              <w14:schemeClr w14:val="tx1"/>
            </w14:solidFill>
          </w14:textFill>
        </w:rPr>
      </w:pPr>
      <w:r>
        <w:rPr>
          <w:rFonts w:hint="eastAsia" w:ascii="宋体" w:hAnsi="宋体"/>
          <w:b/>
          <w:bCs/>
          <w:color w:val="000000" w:themeColor="text1"/>
          <w:sz w:val="28"/>
          <w:szCs w:val="32"/>
          <w:lang w:val="zh-CN"/>
          <w14:textFill>
            <w14:solidFill>
              <w14:schemeClr w14:val="tx1"/>
            </w14:solidFill>
          </w14:textFill>
        </w:rPr>
        <w:t>九．有关证明文件</w:t>
      </w:r>
      <w:bookmarkEnd w:id="113"/>
      <w:bookmarkEnd w:id="114"/>
      <w:bookmarkEnd w:id="115"/>
      <w:bookmarkEnd w:id="116"/>
      <w:bookmarkEnd w:id="117"/>
      <w:bookmarkEnd w:id="118"/>
      <w:bookmarkEnd w:id="119"/>
    </w:p>
    <w:p>
      <w:pPr>
        <w:tabs>
          <w:tab w:val="left" w:pos="4620"/>
        </w:tabs>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提供符合投标邀请、招标需求及评标办法规定的相关证明文件（制作成扫描件）。</w:t>
      </w:r>
    </w:p>
    <w:p>
      <w:pPr>
        <w:snapToGrid w:val="0"/>
        <w:spacing w:before="120" w:after="120" w:line="360" w:lineRule="auto"/>
        <w:ind w:firstLine="480"/>
        <w:jc w:val="left"/>
        <w:rPr>
          <w:rFonts w:ascii="宋体" w:hAnsi="宋体"/>
          <w:color w:val="000000" w:themeColor="text1"/>
          <w:sz w:val="24"/>
          <w:szCs w:val="20"/>
          <w:lang w:val="zh-CN"/>
          <w14:textFill>
            <w14:solidFill>
              <w14:schemeClr w14:val="tx1"/>
            </w14:solidFill>
          </w14:textFill>
        </w:rPr>
      </w:pPr>
      <w:r>
        <w:rPr>
          <w:rFonts w:hint="eastAsia" w:ascii="宋体" w:hAnsi="宋体"/>
          <w:color w:val="000000" w:themeColor="text1"/>
          <w:sz w:val="24"/>
          <w:szCs w:val="20"/>
          <w:lang w:val="zh-CN"/>
          <w14:textFill>
            <w14:solidFill>
              <w14:schemeClr w14:val="tx1"/>
            </w14:solidFill>
          </w14:textFill>
        </w:rPr>
        <w:t>特别提示：</w:t>
      </w:r>
    </w:p>
    <w:p>
      <w:pPr>
        <w:snapToGrid w:val="0"/>
        <w:spacing w:line="360" w:lineRule="auto"/>
        <w:ind w:firstLine="482"/>
        <w:jc w:val="left"/>
        <w:rPr>
          <w:rFonts w:ascii="宋体" w:hAnsi="宋体"/>
          <w:color w:val="000000" w:themeColor="text1"/>
          <w:sz w:val="24"/>
          <w:szCs w:val="20"/>
          <w:lang w:val="zh-CN"/>
          <w14:textFill>
            <w14:solidFill>
              <w14:schemeClr w14:val="tx1"/>
            </w14:solidFill>
          </w14:textFill>
        </w:rPr>
      </w:pPr>
      <w:r>
        <w:rPr>
          <w:rFonts w:hint="eastAsia" w:ascii="宋体" w:hAnsi="宋体"/>
          <w:color w:val="000000" w:themeColor="text1"/>
          <w:sz w:val="24"/>
          <w:szCs w:val="20"/>
          <w:lang w:val="zh-CN"/>
          <w14:textFill>
            <w14:solidFill>
              <w14:schemeClr w14:val="tx1"/>
            </w14:solidFill>
          </w14:textFill>
        </w:rPr>
        <w:t>投标人在投标文件制作时，提供下列材料（包括但不限于）：</w:t>
      </w:r>
    </w:p>
    <w:p>
      <w:pPr>
        <w:tabs>
          <w:tab w:val="left" w:pos="4620"/>
        </w:tabs>
        <w:spacing w:line="360" w:lineRule="auto"/>
        <w:ind w:firstLine="482" w:firstLineChars="200"/>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招标文件要求的其他证明资料</w:t>
      </w:r>
      <w:r>
        <w:rPr>
          <w:rFonts w:hint="eastAsia" w:ascii="宋体" w:hAnsi="宋体" w:cs="Cambria"/>
          <w:b/>
          <w:color w:val="000000" w:themeColor="text1"/>
          <w:sz w:val="24"/>
          <w14:textFill>
            <w14:solidFill>
              <w14:schemeClr w14:val="tx1"/>
            </w14:solidFill>
          </w14:textFill>
        </w:rPr>
        <w:t>（根据项目要求编辑）</w:t>
      </w:r>
      <w:r>
        <w:rPr>
          <w:rFonts w:hint="eastAsia" w:ascii="宋体" w:hAnsi="宋体"/>
          <w:b/>
          <w:color w:val="000000" w:themeColor="text1"/>
          <w:sz w:val="24"/>
          <w:szCs w:val="24"/>
          <w14:textFill>
            <w14:solidFill>
              <w14:schemeClr w14:val="tx1"/>
            </w14:solidFill>
          </w14:textFill>
        </w:rPr>
        <w:t>，</w:t>
      </w:r>
      <w:r>
        <w:rPr>
          <w:rFonts w:ascii="宋体" w:hAnsi="宋体"/>
          <w:b/>
          <w:color w:val="000000" w:themeColor="text1"/>
          <w:sz w:val="24"/>
          <w:szCs w:val="24"/>
          <w14:textFill>
            <w14:solidFill>
              <w14:schemeClr w14:val="tx1"/>
            </w14:solidFill>
          </w14:textFill>
        </w:rPr>
        <w:t>如</w:t>
      </w:r>
      <w:r>
        <w:rPr>
          <w:rFonts w:hint="eastAsia" w:ascii="宋体" w:hAnsi="宋体"/>
          <w:b/>
          <w:color w:val="000000" w:themeColor="text1"/>
          <w:sz w:val="24"/>
          <w:szCs w:val="24"/>
          <w14:textFill>
            <w14:solidFill>
              <w14:schemeClr w14:val="tx1"/>
            </w14:solidFill>
          </w14:textFill>
        </w:rPr>
        <w:t>营业执照</w:t>
      </w:r>
      <w:r>
        <w:rPr>
          <w:rFonts w:ascii="宋体" w:hAnsi="宋体"/>
          <w:b/>
          <w:color w:val="000000" w:themeColor="text1"/>
          <w:sz w:val="24"/>
          <w:szCs w:val="24"/>
          <w14:textFill>
            <w14:solidFill>
              <w14:schemeClr w14:val="tx1"/>
            </w14:solidFill>
          </w14:textFill>
        </w:rPr>
        <w:t>、税务登记证</w:t>
      </w:r>
      <w:r>
        <w:rPr>
          <w:rFonts w:hint="eastAsia" w:ascii="宋体" w:hAnsi="宋体"/>
          <w:b/>
          <w:color w:val="000000" w:themeColor="text1"/>
          <w:sz w:val="24"/>
          <w:szCs w:val="24"/>
          <w14:textFill>
            <w14:solidFill>
              <w14:schemeClr w14:val="tx1"/>
            </w14:solidFill>
          </w14:textFill>
        </w:rPr>
        <w:t>、业绩、相关证书、证明资料</w:t>
      </w:r>
      <w:r>
        <w:rPr>
          <w:rFonts w:ascii="宋体" w:hAnsi="宋体"/>
          <w:b/>
          <w:color w:val="000000" w:themeColor="text1"/>
          <w:sz w:val="24"/>
          <w:szCs w:val="24"/>
          <w14:textFill>
            <w14:solidFill>
              <w14:schemeClr w14:val="tx1"/>
            </w14:solidFill>
          </w14:textFill>
        </w:rPr>
        <w:t>等</w:t>
      </w:r>
      <w:r>
        <w:rPr>
          <w:rFonts w:hint="eastAsia" w:ascii="宋体" w:hAnsi="宋体"/>
          <w:b/>
          <w:color w:val="000000" w:themeColor="text1"/>
          <w:sz w:val="24"/>
          <w:szCs w:val="24"/>
          <w14:textFill>
            <w14:solidFill>
              <w14:schemeClr w14:val="tx1"/>
            </w14:solidFill>
          </w14:textFill>
        </w:rPr>
        <w:t>，</w:t>
      </w:r>
      <w:r>
        <w:rPr>
          <w:rFonts w:hint="eastAsia" w:ascii="宋体" w:hAnsi="宋体"/>
          <w:color w:val="000000" w:themeColor="text1"/>
          <w:sz w:val="24"/>
          <w14:textFill>
            <w14:solidFill>
              <w14:schemeClr w14:val="tx1"/>
            </w14:solidFill>
          </w14:textFill>
        </w:rPr>
        <w:t>应将上述证明材料制作成扫描件。</w:t>
      </w:r>
    </w:p>
    <w:p>
      <w:pPr>
        <w:tabs>
          <w:tab w:val="left" w:pos="4620"/>
        </w:tabs>
        <w:spacing w:line="360" w:lineRule="auto"/>
        <w:ind w:firstLine="480" w:firstLineChars="200"/>
        <w:rPr>
          <w:rFonts w:ascii="宋体" w:hAnsi="宋体"/>
          <w:color w:val="000000" w:themeColor="text1"/>
          <w:sz w:val="24"/>
          <w14:textFill>
            <w14:solidFill>
              <w14:schemeClr w14:val="tx1"/>
            </w14:solidFill>
          </w14:textFill>
        </w:rPr>
      </w:pPr>
    </w:p>
    <w:p>
      <w:pPr>
        <w:keepNext/>
        <w:keepLines/>
        <w:spacing w:before="260" w:after="260" w:line="416" w:lineRule="auto"/>
        <w:ind w:firstLine="3654" w:firstLineChars="1300"/>
        <w:jc w:val="both"/>
        <w:outlineLvl w:val="2"/>
        <w:rPr>
          <w:rFonts w:hint="eastAsia" w:ascii="宋体" w:hAnsi="宋体"/>
          <w:b/>
          <w:bCs/>
          <w:color w:val="000000" w:themeColor="text1"/>
          <w:sz w:val="28"/>
          <w:szCs w:val="32"/>
          <w:lang w:val="zh-CN"/>
          <w14:textFill>
            <w14:solidFill>
              <w14:schemeClr w14:val="tx1"/>
            </w14:solidFill>
          </w14:textFill>
        </w:rPr>
      </w:pPr>
      <w:bookmarkStart w:id="120" w:name="_Toc6203"/>
      <w:bookmarkStart w:id="121" w:name="_Toc515390553"/>
      <w:bookmarkStart w:id="122" w:name="_Toc32245"/>
    </w:p>
    <w:p>
      <w:pPr>
        <w:keepNext/>
        <w:keepLines/>
        <w:spacing w:before="260" w:after="260" w:line="416" w:lineRule="auto"/>
        <w:ind w:firstLine="3654" w:firstLineChars="1300"/>
        <w:jc w:val="both"/>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ind w:firstLine="3654" w:firstLineChars="1300"/>
        <w:jc w:val="both"/>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ind w:firstLine="3654" w:firstLineChars="1300"/>
        <w:jc w:val="both"/>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ind w:firstLine="3654" w:firstLineChars="1300"/>
        <w:jc w:val="both"/>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ind w:firstLine="3654" w:firstLineChars="1300"/>
        <w:jc w:val="both"/>
        <w:outlineLvl w:val="2"/>
        <w:rPr>
          <w:rFonts w:ascii="宋体" w:hAnsi="宋体"/>
          <w:color w:val="000000" w:themeColor="text1"/>
          <w:sz w:val="32"/>
          <w:szCs w:val="32"/>
          <w14:textFill>
            <w14:solidFill>
              <w14:schemeClr w14:val="tx1"/>
            </w14:solidFill>
          </w14:textFill>
        </w:rPr>
      </w:pPr>
      <w:r>
        <w:rPr>
          <w:rFonts w:hint="eastAsia" w:ascii="宋体" w:hAnsi="宋体"/>
          <w:b/>
          <w:bCs/>
          <w:color w:val="000000" w:themeColor="text1"/>
          <w:sz w:val="28"/>
          <w:szCs w:val="32"/>
          <w:lang w:val="zh-CN"/>
          <w14:textFill>
            <w14:solidFill>
              <w14:schemeClr w14:val="tx1"/>
            </w14:solidFill>
          </w14:textFill>
        </w:rPr>
        <w:t>十．</w:t>
      </w:r>
      <w:bookmarkStart w:id="123" w:name="_Toc459990161"/>
      <w:bookmarkStart w:id="124" w:name="_Toc420342112"/>
      <w:r>
        <w:rPr>
          <w:rFonts w:hint="eastAsia" w:ascii="宋体" w:hAnsi="宋体"/>
          <w:b/>
          <w:bCs/>
          <w:color w:val="000000" w:themeColor="text1"/>
          <w:sz w:val="28"/>
          <w:szCs w:val="32"/>
          <w:lang w:val="zh-CN"/>
          <w14:textFill>
            <w14:solidFill>
              <w14:schemeClr w14:val="tx1"/>
            </w14:solidFill>
          </w14:textFill>
        </w:rPr>
        <w:t>项目人员配备</w:t>
      </w:r>
      <w:bookmarkEnd w:id="120"/>
      <w:bookmarkEnd w:id="121"/>
      <w:bookmarkEnd w:id="122"/>
      <w:bookmarkEnd w:id="123"/>
      <w:bookmarkEnd w:id="124"/>
    </w:p>
    <w:tbl>
      <w:tblPr>
        <w:tblStyle w:val="50"/>
        <w:tblW w:w="8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1701"/>
        <w:gridCol w:w="1178"/>
        <w:gridCol w:w="1516"/>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1809"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职务</w:t>
            </w:r>
          </w:p>
        </w:tc>
        <w:tc>
          <w:tcPr>
            <w:tcW w:w="1701"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姓名</w:t>
            </w:r>
          </w:p>
        </w:tc>
        <w:tc>
          <w:tcPr>
            <w:tcW w:w="1178"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职称</w:t>
            </w: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学历</w:t>
            </w:r>
          </w:p>
        </w:tc>
        <w:tc>
          <w:tcPr>
            <w:tcW w:w="2268"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项目经理</w:t>
            </w: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技术负责人</w:t>
            </w: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其它人员</w:t>
            </w:r>
          </w:p>
          <w:p>
            <w:pPr>
              <w:spacing w:line="340" w:lineRule="exact"/>
              <w:jc w:val="center"/>
              <w:rPr>
                <w:rFonts w:ascii="宋体" w:hAnsi="宋体"/>
                <w:color w:val="000000" w:themeColor="text1"/>
                <w:sz w:val="24"/>
                <w14:textFill>
                  <w14:solidFill>
                    <w14:schemeClr w14:val="tx1"/>
                  </w14:solidFill>
                </w14:textFill>
              </w:rPr>
            </w:pP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bl>
    <w:p>
      <w:pPr>
        <w:autoSpaceDE w:val="0"/>
        <w:autoSpaceDN w:val="0"/>
        <w:adjustRightInd w:val="0"/>
        <w:spacing w:line="360" w:lineRule="auto"/>
        <w:ind w:firstLine="482" w:firstLineChars="200"/>
        <w:rPr>
          <w:rFonts w:hint="eastAsia" w:ascii="宋体" w:hAnsi="宋体"/>
          <w:b/>
          <w:color w:val="000000" w:themeColor="text1"/>
          <w:sz w:val="24"/>
          <w14:textFill>
            <w14:solidFill>
              <w14:schemeClr w14:val="tx1"/>
            </w14:solidFill>
          </w14:textFill>
        </w:rPr>
      </w:pPr>
    </w:p>
    <w:p>
      <w:pPr>
        <w:autoSpaceDE w:val="0"/>
        <w:autoSpaceDN w:val="0"/>
        <w:adjustRightIn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投标人签章：</w:t>
      </w:r>
    </w:p>
    <w:p>
      <w:pPr>
        <w:spacing w:line="360" w:lineRule="auto"/>
        <w:ind w:firstLine="420" w:firstLineChars="200"/>
        <w:rPr>
          <w:rFonts w:hint="eastAsia" w:ascii="宋体" w:hAnsi="宋体"/>
          <w:color w:val="000000" w:themeColor="text1"/>
          <w14:textFill>
            <w14:solidFill>
              <w14:schemeClr w14:val="tx1"/>
            </w14:solidFill>
          </w14:textFill>
        </w:rPr>
      </w:pPr>
    </w:p>
    <w:p>
      <w:pPr>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备注：</w:t>
      </w:r>
    </w:p>
    <w:p>
      <w:pPr>
        <w:adjustRightInd w:val="0"/>
        <w:spacing w:line="360" w:lineRule="auto"/>
        <w:ind w:firstLine="480" w:firstLineChars="200"/>
        <w:textAlignment w:val="baseline"/>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 管理机构的主要人员（项目</w:t>
      </w:r>
      <w:r>
        <w:rPr>
          <w:rFonts w:hint="eastAsia" w:ascii="宋体" w:hAnsi="宋体"/>
          <w:color w:val="000000" w:themeColor="text1"/>
          <w:sz w:val="24"/>
          <w14:textFill>
            <w14:solidFill>
              <w14:schemeClr w14:val="tx1"/>
            </w14:solidFill>
          </w14:textFill>
        </w:rPr>
        <w:t>经理</w:t>
      </w:r>
      <w:r>
        <w:rPr>
          <w:rFonts w:hint="eastAsia" w:ascii="宋体" w:hAnsi="宋体"/>
          <w:bCs/>
          <w:color w:val="000000" w:themeColor="text1"/>
          <w:sz w:val="24"/>
          <w:szCs w:val="24"/>
          <w14:textFill>
            <w14:solidFill>
              <w14:schemeClr w14:val="tx1"/>
            </w14:solidFill>
          </w14:textFill>
        </w:rPr>
        <w:t>）按招标文件要求附资质证书等证明资料扫描件；</w:t>
      </w:r>
    </w:p>
    <w:p>
      <w:pPr>
        <w:adjustRightInd w:val="0"/>
        <w:spacing w:line="360" w:lineRule="auto"/>
        <w:ind w:firstLine="480" w:firstLineChars="200"/>
        <w:textAlignment w:val="baseline"/>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2.中标后如需更换管理机构主要人员，需书面向招标人提出，并获得书面同意后方可更换；</w:t>
      </w:r>
    </w:p>
    <w:p>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bookmarkStart w:id="125" w:name="_Toc459990156"/>
      <w:bookmarkStart w:id="126" w:name="_Toc471736426"/>
      <w:bookmarkStart w:id="127" w:name="_Toc391040780"/>
      <w:bookmarkStart w:id="128" w:name="_Toc420342107"/>
      <w:bookmarkStart w:id="129" w:name="_Toc390243257"/>
    </w:p>
    <w:bookmarkEnd w:id="125"/>
    <w:bookmarkEnd w:id="126"/>
    <w:bookmarkEnd w:id="127"/>
    <w:bookmarkEnd w:id="128"/>
    <w:bookmarkEnd w:id="129"/>
    <w:p>
      <w:pPr>
        <w:jc w:val="center"/>
        <w:rPr>
          <w:color w:val="000000" w:themeColor="text1"/>
          <w14:textFill>
            <w14:solidFill>
              <w14:schemeClr w14:val="tx1"/>
            </w14:solidFill>
          </w14:textFill>
        </w:rPr>
      </w:pPr>
    </w:p>
    <w:p>
      <w:pPr>
        <w:keepNext/>
        <w:keepLines/>
        <w:spacing w:before="260" w:after="260" w:line="416" w:lineRule="auto"/>
        <w:jc w:val="center"/>
        <w:outlineLvl w:val="2"/>
        <w:rPr>
          <w:rFonts w:hint="default" w:ascii="宋体" w:hAnsi="宋体" w:eastAsia="宋体"/>
          <w:b/>
          <w:bCs/>
          <w:color w:val="000000" w:themeColor="text1"/>
          <w:sz w:val="28"/>
          <w:szCs w:val="32"/>
          <w:lang w:val="en-US" w:eastAsia="zh-CN"/>
          <w14:textFill>
            <w14:solidFill>
              <w14:schemeClr w14:val="tx1"/>
            </w14:solidFill>
          </w14:textFill>
        </w:rPr>
      </w:pPr>
      <w:bookmarkStart w:id="130" w:name="_Toc536542365"/>
      <w:bookmarkStart w:id="131" w:name="_Toc7078099"/>
      <w:bookmarkStart w:id="132" w:name="_Toc16146"/>
      <w:bookmarkStart w:id="133" w:name="_Toc10816"/>
      <w:r>
        <w:rPr>
          <w:rFonts w:hint="eastAsia" w:ascii="宋体" w:hAnsi="宋体"/>
          <w:b/>
          <w:bCs/>
          <w:color w:val="000000" w:themeColor="text1"/>
          <w:sz w:val="28"/>
          <w:szCs w:val="32"/>
          <w:lang w:val="en-US" w:eastAsia="zh-CN"/>
          <w14:textFill>
            <w14:solidFill>
              <w14:schemeClr w14:val="tx1"/>
            </w14:solidFill>
          </w14:textFill>
        </w:rPr>
        <w:t>十一．生产厂商授权书</w:t>
      </w:r>
    </w:p>
    <w:p>
      <w:pPr>
        <w:keepNext/>
        <w:keepLines/>
        <w:spacing w:before="260" w:after="260" w:line="416" w:lineRule="auto"/>
        <w:jc w:val="center"/>
        <w:outlineLvl w:val="2"/>
        <w:rPr>
          <w:rFonts w:hint="eastAsia" w:ascii="宋体" w:hAnsi="宋体" w:eastAsia="宋体"/>
          <w:b/>
          <w:bCs/>
          <w:color w:val="000000" w:themeColor="text1"/>
          <w:sz w:val="36"/>
          <w:szCs w:val="36"/>
          <w:lang w:val="en-US" w:eastAsia="zh-CN"/>
          <w14:textFill>
            <w14:solidFill>
              <w14:schemeClr w14:val="tx1"/>
            </w14:solidFill>
          </w14:textFill>
        </w:rPr>
      </w:pPr>
      <w:r>
        <w:rPr>
          <w:rFonts w:hint="eastAsia" w:ascii="宋体" w:hAnsi="宋体"/>
          <w:b/>
          <w:bCs/>
          <w:color w:val="000000" w:themeColor="text1"/>
          <w:sz w:val="28"/>
          <w:szCs w:val="32"/>
          <w:lang w:val="zh-CN"/>
          <w14:textFill>
            <w14:solidFill>
              <w14:schemeClr w14:val="tx1"/>
            </w14:solidFill>
          </w14:textFill>
        </w:rPr>
        <w:t>十二．售后服务体系、</w:t>
      </w:r>
      <w:r>
        <w:rPr>
          <w:rFonts w:hint="eastAsia" w:ascii="宋体" w:hAnsi="宋体"/>
          <w:b/>
          <w:bCs/>
          <w:color w:val="000000" w:themeColor="text1"/>
          <w:sz w:val="28"/>
          <w:szCs w:val="32"/>
          <w:lang w:val="en-US" w:eastAsia="zh-CN"/>
          <w14:textFill>
            <w14:solidFill>
              <w14:schemeClr w14:val="tx1"/>
            </w14:solidFill>
          </w14:textFill>
        </w:rPr>
        <w:t>维保方案、</w:t>
      </w:r>
      <w:r>
        <w:rPr>
          <w:rFonts w:hint="eastAsia" w:ascii="宋体" w:hAnsi="宋体"/>
          <w:b/>
          <w:bCs/>
          <w:color w:val="000000" w:themeColor="text1"/>
          <w:sz w:val="28"/>
          <w:szCs w:val="32"/>
          <w:lang w:val="zh-CN"/>
          <w14:textFill>
            <w14:solidFill>
              <w14:schemeClr w14:val="tx1"/>
            </w14:solidFill>
          </w14:textFill>
        </w:rPr>
        <w:t>检测</w:t>
      </w:r>
      <w:bookmarkEnd w:id="130"/>
      <w:bookmarkEnd w:id="131"/>
      <w:bookmarkEnd w:id="132"/>
      <w:bookmarkEnd w:id="133"/>
      <w:r>
        <w:rPr>
          <w:rFonts w:hint="eastAsia" w:ascii="宋体" w:hAnsi="宋体"/>
          <w:b/>
          <w:bCs/>
          <w:color w:val="000000" w:themeColor="text1"/>
          <w:sz w:val="28"/>
          <w:szCs w:val="32"/>
          <w:lang w:val="en-US" w:eastAsia="zh-CN"/>
          <w14:textFill>
            <w14:solidFill>
              <w14:schemeClr w14:val="tx1"/>
            </w14:solidFill>
          </w14:textFill>
        </w:rPr>
        <w:t>报告</w:t>
      </w:r>
    </w:p>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(投标人可自行制作格式)</w:t>
      </w:r>
    </w:p>
    <w:p>
      <w:pPr>
        <w:keepNext/>
        <w:keepLines/>
        <w:spacing w:before="260" w:after="260" w:line="416" w:lineRule="auto"/>
        <w:ind w:firstLine="3373" w:firstLineChars="1200"/>
        <w:jc w:val="both"/>
        <w:outlineLvl w:val="2"/>
        <w:rPr>
          <w:rFonts w:ascii="宋体" w:hAnsi="宋体"/>
          <w:b/>
          <w:bCs/>
          <w:color w:val="000000" w:themeColor="text1"/>
          <w:sz w:val="28"/>
          <w:szCs w:val="36"/>
          <w:lang w:val="zh-CN"/>
          <w14:textFill>
            <w14:solidFill>
              <w14:schemeClr w14:val="tx1"/>
            </w14:solidFill>
          </w14:textFill>
        </w:rPr>
      </w:pPr>
      <w:bookmarkStart w:id="134" w:name="_Toc9822"/>
      <w:bookmarkStart w:id="135" w:name="_Toc57984513"/>
      <w:bookmarkStart w:id="136" w:name="_Toc471736416"/>
      <w:bookmarkStart w:id="137" w:name="_Toc536542368"/>
      <w:bookmarkStart w:id="138" w:name="_Toc27185"/>
      <w:bookmarkStart w:id="139" w:name="_Toc220232400"/>
      <w:bookmarkStart w:id="140" w:name="_Toc7078102"/>
      <w:r>
        <w:rPr>
          <w:rFonts w:hint="eastAsia" w:ascii="宋体" w:hAnsi="宋体"/>
          <w:b/>
          <w:bCs/>
          <w:color w:val="000000" w:themeColor="text1"/>
          <w:sz w:val="28"/>
          <w:szCs w:val="32"/>
          <w:lang w:val="zh-CN"/>
          <w14:textFill>
            <w14:solidFill>
              <w14:schemeClr w14:val="tx1"/>
            </w14:solidFill>
          </w14:textFill>
        </w:rPr>
        <w:t>十三．产品质量承诺</w:t>
      </w:r>
      <w:bookmarkEnd w:id="134"/>
      <w:bookmarkEnd w:id="135"/>
      <w:bookmarkEnd w:id="136"/>
      <w:bookmarkEnd w:id="137"/>
      <w:bookmarkEnd w:id="138"/>
      <w:bookmarkEnd w:id="139"/>
      <w:bookmarkEnd w:id="140"/>
    </w:p>
    <w:p>
      <w:pPr>
        <w:spacing w:before="48" w:beforeLines="20" w:after="48" w:afterLines="20" w:line="360" w:lineRule="auto"/>
        <w:ind w:firstLine="480" w:firstLineChars="200"/>
        <w:jc w:val="center"/>
        <w:rPr>
          <w:rFonts w:ascii="宋体" w:hAnsi="宋体"/>
          <w:b/>
          <w:bCs/>
          <w:color w:val="000000" w:themeColor="text1"/>
          <w:sz w:val="32"/>
          <w:szCs w:val="32"/>
          <w:lang w:val="zh-CN"/>
          <w14:textFill>
            <w14:solidFill>
              <w14:schemeClr w14:val="tx1"/>
            </w14:solidFill>
          </w14:textFill>
        </w:rPr>
      </w:pPr>
      <w:r>
        <w:rPr>
          <w:rFonts w:hint="eastAsia" w:ascii="宋体" w:hAnsi="宋体"/>
          <w:color w:val="000000" w:themeColor="text1"/>
          <w:sz w:val="24"/>
          <w14:textFill>
            <w14:solidFill>
              <w14:schemeClr w14:val="tx1"/>
            </w14:solidFill>
          </w14:textFill>
        </w:rPr>
        <w:t>(投标人可自行制作格式)</w:t>
      </w:r>
      <w:bookmarkStart w:id="141" w:name="_Toc32139"/>
      <w:r>
        <w:rPr>
          <w:rFonts w:hint="eastAsia" w:ascii="宋体" w:hAnsi="宋体"/>
          <w:b/>
          <w:bCs/>
          <w:color w:val="000000" w:themeColor="text1"/>
          <w:sz w:val="32"/>
          <w:szCs w:val="32"/>
          <w:lang w:val="zh-CN"/>
          <w14:textFill>
            <w14:solidFill>
              <w14:schemeClr w14:val="tx1"/>
            </w14:solidFill>
          </w14:textFill>
        </w:rPr>
        <w:tab/>
      </w:r>
    </w:p>
    <w:p>
      <w:pPr>
        <w:spacing w:before="48" w:beforeLines="20" w:after="48" w:afterLines="20" w:line="360" w:lineRule="auto"/>
        <w:ind w:firstLine="2249" w:firstLineChars="700"/>
        <w:jc w:val="both"/>
        <w:rPr>
          <w:rFonts w:ascii="宋体" w:hAnsi="宋体"/>
          <w:b/>
          <w:bCs/>
          <w:color w:val="000000" w:themeColor="text1"/>
          <w:sz w:val="32"/>
          <w:szCs w:val="32"/>
          <w:lang w:val="zh-CN"/>
          <w14:textFill>
            <w14:solidFill>
              <w14:schemeClr w14:val="tx1"/>
            </w14:solidFill>
          </w14:textFill>
        </w:rPr>
      </w:pPr>
      <w:r>
        <w:rPr>
          <w:rFonts w:hint="eastAsia" w:ascii="宋体" w:hAnsi="宋体"/>
          <w:b/>
          <w:bCs/>
          <w:color w:val="000000" w:themeColor="text1"/>
          <w:sz w:val="32"/>
          <w:szCs w:val="32"/>
          <w:lang w:val="zh-CN"/>
          <w14:textFill>
            <w14:solidFill>
              <w14:schemeClr w14:val="tx1"/>
            </w14:solidFill>
          </w14:textFill>
        </w:rPr>
        <w:t>十四、投标人认为需提供的其他资料</w:t>
      </w:r>
      <w:bookmarkEnd w:id="141"/>
    </w:p>
    <w:p>
      <w:pPr>
        <w:rPr>
          <w:color w:val="000000" w:themeColor="text1"/>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bookmarkStart w:id="142" w:name="_Toc19773347"/>
      <w:bookmarkStart w:id="143" w:name="_Toc18658870"/>
      <w:bookmarkStart w:id="144" w:name="_Toc22888343"/>
      <w:bookmarkStart w:id="145" w:name="_Toc24284"/>
      <w:bookmarkStart w:id="146" w:name="_Toc17307116"/>
      <w:bookmarkStart w:id="147" w:name="_Toc27926"/>
      <w:bookmarkStart w:id="148" w:name="_Toc300210382"/>
      <w:bookmarkStart w:id="149" w:name="_Toc55287019"/>
      <w:bookmarkStart w:id="150" w:name="_Toc51505261"/>
      <w:bookmarkStart w:id="151" w:name="_Toc5128"/>
      <w:bookmarkStart w:id="152" w:name="_Toc51083298"/>
    </w:p>
    <w:bookmarkEnd w:id="142"/>
    <w:bookmarkEnd w:id="143"/>
    <w:bookmarkEnd w:id="144"/>
    <w:bookmarkEnd w:id="145"/>
    <w:bookmarkEnd w:id="146"/>
    <w:bookmarkEnd w:id="147"/>
    <w:bookmarkEnd w:id="148"/>
    <w:bookmarkEnd w:id="149"/>
    <w:bookmarkEnd w:id="150"/>
    <w:bookmarkEnd w:id="151"/>
    <w:bookmarkEnd w:id="152"/>
    <w:p>
      <w:pPr>
        <w:pStyle w:val="5"/>
        <w:spacing w:line="500" w:lineRule="exact"/>
        <w:jc w:val="center"/>
        <w:rPr>
          <w:rFonts w:hAnsi="Arial"/>
          <w:color w:val="000000" w:themeColor="text1"/>
          <w:sz w:val="24"/>
          <w14:textFill>
            <w14:solidFill>
              <w14:schemeClr w14:val="tx1"/>
            </w14:solidFill>
          </w14:textFill>
        </w:rPr>
      </w:pPr>
    </w:p>
    <w:sectPr>
      <w:headerReference r:id="rId3" w:type="default"/>
      <w:footerReference r:id="rId4" w:type="default"/>
      <w:footerReference r:id="rId5" w:type="even"/>
      <w:pgSz w:w="11907" w:h="16840"/>
      <w:pgMar w:top="1440" w:right="1247" w:bottom="1440" w:left="1247" w:header="851" w:footer="992" w:gutter="0"/>
      <w:cols w:space="720" w:num="1"/>
      <w:docGrid w:linePitch="30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微软简标宋">
    <w:altName w:val="黑体"/>
    <w:panose1 w:val="00000000000000000000"/>
    <w:charset w:val="86"/>
    <w:family w:val="auto"/>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DotumChe">
    <w:altName w:val="Malgun Gothic"/>
    <w:panose1 w:val="00000000000000000000"/>
    <w:charset w:val="81"/>
    <w:family w:val="modern"/>
    <w:pitch w:val="default"/>
    <w:sig w:usb0="00000000" w:usb1="00000000" w:usb2="00000030" w:usb3="00000000" w:csb0="4008009F" w:csb1="DFD70000"/>
  </w:font>
  <w:font w:name="MS Mincho">
    <w:altName w:val="Yu Gothic UI"/>
    <w:panose1 w:val="02020609040205080304"/>
    <w:charset w:val="80"/>
    <w:family w:val="roman"/>
    <w:pitch w:val="default"/>
    <w:sig w:usb0="00000000" w:usb1="00000000" w:usb2="00000010" w:usb3="00000000" w:csb0="4002009F" w:csb1="DFD70000"/>
  </w:font>
  <w:font w:name="Wingdings 2">
    <w:panose1 w:val="05020102010507070707"/>
    <w:charset w:val="02"/>
    <w:family w:val="roman"/>
    <w:pitch w:val="default"/>
    <w:sig w:usb0="00000000" w:usb1="00000000" w:usb2="00000000" w:usb3="00000000" w:csb0="80000000" w:csb1="00000000"/>
  </w:font>
  <w:font w:name="宋体-18030">
    <w:altName w:val="宋体"/>
    <w:panose1 w:val="00000000000000000000"/>
    <w:charset w:val="86"/>
    <w:family w:val="modern"/>
    <w:pitch w:val="default"/>
    <w:sig w:usb0="00000000" w:usb1="00000000" w:usb2="000A005E" w:usb3="00000000" w:csb0="00040001" w:csb1="00000000"/>
  </w:font>
  <w:font w:name="Cambria">
    <w:panose1 w:val="02040503050406030204"/>
    <w:charset w:val="00"/>
    <w:family w:val="roman"/>
    <w:pitch w:val="default"/>
    <w:sig w:usb0="E00006FF" w:usb1="420024FF" w:usb2="02000000" w:usb3="00000000" w:csb0="2000019F" w:csb1="00000000"/>
  </w:font>
  <w:font w:name="Yu Gothic UI">
    <w:panose1 w:val="020B0500000000000000"/>
    <w:charset w:val="80"/>
    <w:family w:val="auto"/>
    <w:pitch w:val="default"/>
    <w:sig w:usb0="E00002FF" w:usb1="2AC7FDFF" w:usb2="00000016" w:usb3="00000000" w:csb0="2002009F" w:csb1="00000000"/>
  </w:font>
  <w:font w:name="Malgun Gothic">
    <w:panose1 w:val="020B0503020000020004"/>
    <w:charset w:val="81"/>
    <w:family w:val="auto"/>
    <w:pitch w:val="default"/>
    <w:sig w:usb0="9000002F" w:usb1="29D77CFB" w:usb2="00000012" w:usb3="00000000" w:csb0="00080001"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ascii="宋体" w:hAnsi="宋体"/>
        <w:sz w:val="24"/>
      </w:rPr>
    </w:pPr>
    <w:r>
      <w:rPr>
        <w:rFonts w:hint="eastAsia" w:ascii="宋体" w:hAnsi="宋体"/>
        <w:kern w:val="0"/>
        <w:sz w:val="24"/>
        <w:szCs w:val="21"/>
      </w:rPr>
      <w:t xml:space="preserve">第 </w:t>
    </w:r>
    <w:r>
      <w:rPr>
        <w:rFonts w:ascii="宋体" w:hAnsi="宋体"/>
        <w:kern w:val="0"/>
        <w:sz w:val="24"/>
        <w:szCs w:val="21"/>
      </w:rPr>
      <w:fldChar w:fldCharType="begin"/>
    </w:r>
    <w:r>
      <w:rPr>
        <w:rFonts w:ascii="宋体" w:hAnsi="宋体"/>
        <w:kern w:val="0"/>
        <w:sz w:val="24"/>
        <w:szCs w:val="21"/>
      </w:rPr>
      <w:instrText xml:space="preserve"> PAGE </w:instrText>
    </w:r>
    <w:r>
      <w:rPr>
        <w:rFonts w:ascii="宋体" w:hAnsi="宋体"/>
        <w:kern w:val="0"/>
        <w:sz w:val="24"/>
        <w:szCs w:val="21"/>
      </w:rPr>
      <w:fldChar w:fldCharType="separate"/>
    </w:r>
    <w:r>
      <w:rPr>
        <w:rFonts w:ascii="宋体" w:hAnsi="宋体"/>
        <w:kern w:val="0"/>
        <w:sz w:val="24"/>
        <w:szCs w:val="21"/>
      </w:rPr>
      <w:t>2</w:t>
    </w:r>
    <w:r>
      <w:rPr>
        <w:rFonts w:ascii="宋体" w:hAnsi="宋体"/>
        <w:kern w:val="0"/>
        <w:sz w:val="24"/>
        <w:szCs w:val="21"/>
      </w:rPr>
      <w:fldChar w:fldCharType="end"/>
    </w:r>
    <w:r>
      <w:rPr>
        <w:rFonts w:hint="eastAsia" w:ascii="宋体" w:hAnsi="宋体"/>
        <w:kern w:val="0"/>
        <w:sz w:val="24"/>
        <w:szCs w:val="21"/>
      </w:rPr>
      <w:t xml:space="preserve"> 页 共 </w:t>
    </w:r>
    <w:r>
      <w:rPr>
        <w:rFonts w:ascii="宋体" w:hAnsi="宋体"/>
        <w:kern w:val="0"/>
        <w:sz w:val="24"/>
        <w:szCs w:val="21"/>
      </w:rPr>
      <w:fldChar w:fldCharType="begin"/>
    </w:r>
    <w:r>
      <w:rPr>
        <w:rFonts w:ascii="宋体" w:hAnsi="宋体"/>
        <w:kern w:val="0"/>
        <w:sz w:val="24"/>
        <w:szCs w:val="21"/>
      </w:rPr>
      <w:instrText xml:space="preserve"> NUMPAGES </w:instrText>
    </w:r>
    <w:r>
      <w:rPr>
        <w:rFonts w:ascii="宋体" w:hAnsi="宋体"/>
        <w:kern w:val="0"/>
        <w:sz w:val="24"/>
        <w:szCs w:val="21"/>
      </w:rPr>
      <w:fldChar w:fldCharType="separate"/>
    </w:r>
    <w:r>
      <w:rPr>
        <w:rFonts w:ascii="宋体" w:hAnsi="宋体"/>
        <w:kern w:val="0"/>
        <w:sz w:val="24"/>
        <w:szCs w:val="21"/>
      </w:rPr>
      <w:t>41</w:t>
    </w:r>
    <w:r>
      <w:rPr>
        <w:rFonts w:ascii="宋体" w:hAnsi="宋体"/>
        <w:kern w:val="0"/>
        <w:sz w:val="24"/>
        <w:szCs w:val="21"/>
      </w:rPr>
      <w:fldChar w:fldCharType="end"/>
    </w:r>
    <w:r>
      <w:rPr>
        <w:rFonts w:hint="eastAsia" w:ascii="宋体" w:hAnsi="宋体"/>
        <w:kern w:val="0"/>
        <w:sz w:val="24"/>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53"/>
      </w:rPr>
    </w:pPr>
    <w:r>
      <w:fldChar w:fldCharType="begin"/>
    </w:r>
    <w:r>
      <w:rPr>
        <w:rStyle w:val="53"/>
      </w:rPr>
      <w:instrText xml:space="preserve">PAGE  </w:instrText>
    </w:r>
    <w:r>
      <w:fldChar w:fldCharType="end"/>
    </w:r>
  </w:p>
  <w:p>
    <w:pPr>
      <w:pStyle w:val="3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jc w:val="both"/>
      <w:rPr>
        <w:rFonts w:ascii="宋体" w:hAnsi="宋体"/>
        <w:b/>
        <w:i/>
        <w:sz w:val="24"/>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0C6DFF"/>
    <w:multiLevelType w:val="singleLevel"/>
    <w:tmpl w:val="C70C6DFF"/>
    <w:lvl w:ilvl="0" w:tentative="0">
      <w:start w:val="1"/>
      <w:numFmt w:val="decimal"/>
      <w:suff w:val="nothing"/>
      <w:lvlText w:val="%1、"/>
      <w:lvlJc w:val="left"/>
    </w:lvl>
  </w:abstractNum>
  <w:abstractNum w:abstractNumId="1">
    <w:nsid w:val="CD64A119"/>
    <w:multiLevelType w:val="singleLevel"/>
    <w:tmpl w:val="CD64A119"/>
    <w:lvl w:ilvl="0" w:tentative="0">
      <w:start w:val="6"/>
      <w:numFmt w:val="chineseCounting"/>
      <w:suff w:val="space"/>
      <w:lvlText w:val="第%1章"/>
      <w:lvlJc w:val="left"/>
      <w:rPr>
        <w:rFonts w:hint="eastAsia"/>
      </w:rPr>
    </w:lvl>
  </w:abstractNum>
  <w:abstractNum w:abstractNumId="2">
    <w:nsid w:val="F2CB9D54"/>
    <w:multiLevelType w:val="singleLevel"/>
    <w:tmpl w:val="F2CB9D54"/>
    <w:lvl w:ilvl="0" w:tentative="0">
      <w:start w:val="1"/>
      <w:numFmt w:val="decimal"/>
      <w:suff w:val="nothing"/>
      <w:lvlText w:val="%1、"/>
      <w:lvlJc w:val="left"/>
    </w:lvl>
  </w:abstractNum>
  <w:abstractNum w:abstractNumId="3">
    <w:nsid w:val="00000005"/>
    <w:multiLevelType w:val="multilevel"/>
    <w:tmpl w:val="00000005"/>
    <w:lvl w:ilvl="0" w:tentative="0">
      <w:start w:val="1"/>
      <w:numFmt w:val="decimal"/>
      <w:pStyle w:val="61"/>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61207F6"/>
    <w:multiLevelType w:val="multilevel"/>
    <w:tmpl w:val="061207F6"/>
    <w:lvl w:ilvl="0" w:tentative="0">
      <w:start w:val="1"/>
      <w:numFmt w:val="japaneseCounting"/>
      <w:lvlText w:val="%1、"/>
      <w:lvlJc w:val="left"/>
      <w:pPr>
        <w:ind w:left="840" w:hanging="510"/>
      </w:pPr>
      <w:rPr>
        <w:rFonts w:hint="default"/>
      </w:rPr>
    </w:lvl>
    <w:lvl w:ilvl="1" w:tentative="0">
      <w:start w:val="1"/>
      <w:numFmt w:val="lowerLetter"/>
      <w:lvlText w:val="%2)"/>
      <w:lvlJc w:val="left"/>
      <w:pPr>
        <w:ind w:left="1170" w:hanging="420"/>
      </w:pPr>
    </w:lvl>
    <w:lvl w:ilvl="2" w:tentative="0">
      <w:start w:val="1"/>
      <w:numFmt w:val="lowerRoman"/>
      <w:lvlText w:val="%3."/>
      <w:lvlJc w:val="right"/>
      <w:pPr>
        <w:ind w:left="1590" w:hanging="420"/>
      </w:pPr>
    </w:lvl>
    <w:lvl w:ilvl="3" w:tentative="0">
      <w:start w:val="1"/>
      <w:numFmt w:val="decimal"/>
      <w:lvlText w:val="%4."/>
      <w:lvlJc w:val="left"/>
      <w:pPr>
        <w:ind w:left="2010" w:hanging="420"/>
      </w:pPr>
    </w:lvl>
    <w:lvl w:ilvl="4" w:tentative="0">
      <w:start w:val="1"/>
      <w:numFmt w:val="lowerLetter"/>
      <w:lvlText w:val="%5)"/>
      <w:lvlJc w:val="left"/>
      <w:pPr>
        <w:ind w:left="2430" w:hanging="420"/>
      </w:pPr>
    </w:lvl>
    <w:lvl w:ilvl="5" w:tentative="0">
      <w:start w:val="1"/>
      <w:numFmt w:val="lowerRoman"/>
      <w:lvlText w:val="%6."/>
      <w:lvlJc w:val="right"/>
      <w:pPr>
        <w:ind w:left="2850" w:hanging="420"/>
      </w:pPr>
    </w:lvl>
    <w:lvl w:ilvl="6" w:tentative="0">
      <w:start w:val="1"/>
      <w:numFmt w:val="decimal"/>
      <w:lvlText w:val="%7."/>
      <w:lvlJc w:val="left"/>
      <w:pPr>
        <w:ind w:left="3270" w:hanging="420"/>
      </w:pPr>
    </w:lvl>
    <w:lvl w:ilvl="7" w:tentative="0">
      <w:start w:val="1"/>
      <w:numFmt w:val="lowerLetter"/>
      <w:lvlText w:val="%8)"/>
      <w:lvlJc w:val="left"/>
      <w:pPr>
        <w:ind w:left="3690" w:hanging="420"/>
      </w:pPr>
    </w:lvl>
    <w:lvl w:ilvl="8" w:tentative="0">
      <w:start w:val="1"/>
      <w:numFmt w:val="lowerRoman"/>
      <w:lvlText w:val="%9."/>
      <w:lvlJc w:val="right"/>
      <w:pPr>
        <w:ind w:left="4110" w:hanging="420"/>
      </w:pPr>
    </w:lvl>
  </w:abstractNum>
  <w:abstractNum w:abstractNumId="5">
    <w:nsid w:val="2E4F3A11"/>
    <w:multiLevelType w:val="multilevel"/>
    <w:tmpl w:val="2E4F3A11"/>
    <w:lvl w:ilvl="0" w:tentative="0">
      <w:start w:val="1"/>
      <w:numFmt w:val="decimal"/>
      <w:pStyle w:val="63"/>
      <w:lvlText w:val="%1"/>
      <w:lvlJc w:val="left"/>
      <w:pPr>
        <w:tabs>
          <w:tab w:val="left" w:pos="425"/>
        </w:tabs>
        <w:ind w:left="425" w:hanging="425"/>
      </w:pPr>
      <w:rPr>
        <w:rFonts w:hint="default" w:ascii="Arial" w:hAnsi="Arial" w:eastAsia="黑体" w:cs="Times New Roman"/>
        <w:b w:val="0"/>
        <w:i w:val="0"/>
        <w:sz w:val="28"/>
        <w:szCs w:val="28"/>
      </w:rPr>
    </w:lvl>
    <w:lvl w:ilvl="1" w:tentative="0">
      <w:start w:val="1"/>
      <w:numFmt w:val="decimal"/>
      <w:pStyle w:val="64"/>
      <w:lvlText w:val="%1.%2"/>
      <w:lvlJc w:val="left"/>
      <w:pPr>
        <w:tabs>
          <w:tab w:val="left" w:pos="992"/>
        </w:tabs>
        <w:ind w:left="992" w:hanging="567"/>
      </w:pPr>
      <w:rPr>
        <w:rFonts w:hint="default" w:ascii="Arial" w:hAnsi="Arial" w:eastAsia="黑体" w:cs="Times New Roman"/>
        <w:b w:val="0"/>
        <w:i w:val="0"/>
        <w:sz w:val="24"/>
        <w:szCs w:val="24"/>
      </w:rPr>
    </w:lvl>
    <w:lvl w:ilvl="2" w:tentative="0">
      <w:start w:val="1"/>
      <w:numFmt w:val="decimal"/>
      <w:pStyle w:val="62"/>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6">
    <w:nsid w:val="3E2E1B76"/>
    <w:multiLevelType w:val="multilevel"/>
    <w:tmpl w:val="3E2E1B76"/>
    <w:lvl w:ilvl="0" w:tentative="0">
      <w:start w:val="2"/>
      <w:numFmt w:val="japaneseCounting"/>
      <w:lvlText w:val="%1、"/>
      <w:lvlJc w:val="left"/>
      <w:pPr>
        <w:ind w:left="700" w:hanging="500"/>
      </w:pPr>
      <w:rPr>
        <w:rFonts w:hint="default"/>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7">
    <w:nsid w:val="48716ABE"/>
    <w:multiLevelType w:val="multilevel"/>
    <w:tmpl w:val="48716ABE"/>
    <w:lvl w:ilvl="0" w:tentative="0">
      <w:start w:val="1"/>
      <w:numFmt w:val="decimal"/>
      <w:lvlText w:val="%1"/>
      <w:lvlJc w:val="left"/>
      <w:pPr>
        <w:tabs>
          <w:tab w:val="left" w:pos="2502"/>
        </w:tabs>
        <w:ind w:left="2502" w:hanging="432"/>
      </w:pPr>
      <w:rPr>
        <w:rFonts w:hint="default"/>
      </w:rPr>
    </w:lvl>
    <w:lvl w:ilvl="1" w:tentative="0">
      <w:start w:val="1"/>
      <w:numFmt w:val="decimal"/>
      <w:lvlText w:val="%1.%2"/>
      <w:lvlJc w:val="left"/>
      <w:pPr>
        <w:tabs>
          <w:tab w:val="left" w:pos="2646"/>
        </w:tabs>
        <w:ind w:left="2646" w:hanging="576"/>
      </w:pPr>
      <w:rPr>
        <w:rFonts w:hint="default"/>
      </w:rPr>
    </w:lvl>
    <w:lvl w:ilvl="2" w:tentative="0">
      <w:start w:val="1"/>
      <w:numFmt w:val="decimal"/>
      <w:lvlText w:val="%1.%2.%3"/>
      <w:lvlJc w:val="left"/>
      <w:pPr>
        <w:tabs>
          <w:tab w:val="left" w:pos="2790"/>
        </w:tabs>
        <w:ind w:left="2790" w:hanging="720"/>
      </w:pPr>
      <w:rPr>
        <w:rFonts w:hint="default"/>
      </w:rPr>
    </w:lvl>
    <w:lvl w:ilvl="3" w:tentative="0">
      <w:start w:val="1"/>
      <w:numFmt w:val="decimal"/>
      <w:pStyle w:val="82"/>
      <w:lvlText w:val="%1.%2.%3.%4"/>
      <w:lvlJc w:val="left"/>
      <w:pPr>
        <w:tabs>
          <w:tab w:val="left" w:pos="2934"/>
        </w:tabs>
        <w:ind w:left="2934" w:hanging="864"/>
      </w:pPr>
      <w:rPr>
        <w:rFonts w:hint="default"/>
      </w:rPr>
    </w:lvl>
    <w:lvl w:ilvl="4" w:tentative="0">
      <w:start w:val="1"/>
      <w:numFmt w:val="decimal"/>
      <w:lvlText w:val="%1.%2.%3.%4.%5"/>
      <w:lvlJc w:val="left"/>
      <w:pPr>
        <w:tabs>
          <w:tab w:val="left" w:pos="3078"/>
        </w:tabs>
        <w:ind w:left="3078" w:hanging="1008"/>
      </w:pPr>
      <w:rPr>
        <w:rFonts w:hint="eastAsia"/>
      </w:rPr>
    </w:lvl>
    <w:lvl w:ilvl="5" w:tentative="0">
      <w:start w:val="1"/>
      <w:numFmt w:val="decimal"/>
      <w:lvlText w:val="%1.%2.%3.%4.%5.%6"/>
      <w:lvlJc w:val="left"/>
      <w:pPr>
        <w:tabs>
          <w:tab w:val="left" w:pos="3222"/>
        </w:tabs>
        <w:ind w:left="3222" w:hanging="1152"/>
      </w:pPr>
      <w:rPr>
        <w:rFonts w:hint="default"/>
      </w:rPr>
    </w:lvl>
    <w:lvl w:ilvl="6" w:tentative="0">
      <w:start w:val="1"/>
      <w:numFmt w:val="decimal"/>
      <w:lvlText w:val="%1.%2.%3.%4.%5.%6.%7"/>
      <w:lvlJc w:val="left"/>
      <w:pPr>
        <w:tabs>
          <w:tab w:val="left" w:pos="3366"/>
        </w:tabs>
        <w:ind w:left="3366" w:hanging="1296"/>
      </w:pPr>
      <w:rPr>
        <w:rFonts w:hint="default"/>
      </w:rPr>
    </w:lvl>
    <w:lvl w:ilvl="7" w:tentative="0">
      <w:start w:val="1"/>
      <w:numFmt w:val="decimal"/>
      <w:lvlText w:val="%1.%2.%3.%4.%5.%6.%7.%8"/>
      <w:lvlJc w:val="left"/>
      <w:pPr>
        <w:tabs>
          <w:tab w:val="left" w:pos="3510"/>
        </w:tabs>
        <w:ind w:left="3510" w:hanging="1440"/>
      </w:pPr>
      <w:rPr>
        <w:rFonts w:hint="default"/>
      </w:rPr>
    </w:lvl>
    <w:lvl w:ilvl="8" w:tentative="0">
      <w:start w:val="1"/>
      <w:numFmt w:val="decimal"/>
      <w:lvlText w:val="%1.%2.%3.%4.%5.%6.%7.%8.%9"/>
      <w:lvlJc w:val="left"/>
      <w:pPr>
        <w:tabs>
          <w:tab w:val="left" w:pos="3654"/>
        </w:tabs>
        <w:ind w:left="3654" w:hanging="1584"/>
      </w:pPr>
      <w:rPr>
        <w:rFonts w:hint="default"/>
      </w:rPr>
    </w:lvl>
  </w:abstractNum>
  <w:abstractNum w:abstractNumId="8">
    <w:nsid w:val="4D2A0EDA"/>
    <w:multiLevelType w:val="multilevel"/>
    <w:tmpl w:val="4D2A0EDA"/>
    <w:lvl w:ilvl="0" w:tentative="0">
      <w:start w:val="2"/>
      <w:numFmt w:val="decimal"/>
      <w:lvlText w:val="%1"/>
      <w:lvlJc w:val="left"/>
      <w:pPr>
        <w:ind w:left="360" w:hanging="360"/>
      </w:pPr>
      <w:rPr>
        <w:rFonts w:hint="default"/>
      </w:rPr>
    </w:lvl>
    <w:lvl w:ilvl="1" w:tentative="0">
      <w:start w:val="6"/>
      <w:numFmt w:val="decimal"/>
      <w:lvlText w:val="%1.%2"/>
      <w:lvlJc w:val="left"/>
      <w:pPr>
        <w:ind w:left="909" w:hanging="360"/>
      </w:pPr>
      <w:rPr>
        <w:rFonts w:hint="default"/>
      </w:rPr>
    </w:lvl>
    <w:lvl w:ilvl="2" w:tentative="0">
      <w:start w:val="1"/>
      <w:numFmt w:val="decimal"/>
      <w:lvlText w:val="%1.%2.%3"/>
      <w:lvlJc w:val="left"/>
      <w:pPr>
        <w:ind w:left="1818" w:hanging="720"/>
      </w:pPr>
      <w:rPr>
        <w:rFonts w:hint="default"/>
      </w:rPr>
    </w:lvl>
    <w:lvl w:ilvl="3" w:tentative="0">
      <w:start w:val="1"/>
      <w:numFmt w:val="decimal"/>
      <w:lvlText w:val="%1.%2.%3.%4"/>
      <w:lvlJc w:val="left"/>
      <w:pPr>
        <w:ind w:left="2727" w:hanging="1080"/>
      </w:pPr>
      <w:rPr>
        <w:rFonts w:hint="default"/>
      </w:rPr>
    </w:lvl>
    <w:lvl w:ilvl="4" w:tentative="0">
      <w:start w:val="1"/>
      <w:numFmt w:val="decimal"/>
      <w:lvlText w:val="%1.%2.%3.%4.%5"/>
      <w:lvlJc w:val="left"/>
      <w:pPr>
        <w:ind w:left="3276" w:hanging="1080"/>
      </w:pPr>
      <w:rPr>
        <w:rFonts w:hint="default"/>
      </w:rPr>
    </w:lvl>
    <w:lvl w:ilvl="5" w:tentative="0">
      <w:start w:val="1"/>
      <w:numFmt w:val="decimal"/>
      <w:lvlText w:val="%1.%2.%3.%4.%5.%6"/>
      <w:lvlJc w:val="left"/>
      <w:pPr>
        <w:ind w:left="4185" w:hanging="1440"/>
      </w:pPr>
      <w:rPr>
        <w:rFonts w:hint="default"/>
      </w:rPr>
    </w:lvl>
    <w:lvl w:ilvl="6" w:tentative="0">
      <w:start w:val="1"/>
      <w:numFmt w:val="decimal"/>
      <w:lvlText w:val="%1.%2.%3.%4.%5.%6.%7"/>
      <w:lvlJc w:val="left"/>
      <w:pPr>
        <w:ind w:left="5094" w:hanging="1800"/>
      </w:pPr>
      <w:rPr>
        <w:rFonts w:hint="default"/>
      </w:rPr>
    </w:lvl>
    <w:lvl w:ilvl="7" w:tentative="0">
      <w:start w:val="1"/>
      <w:numFmt w:val="decimal"/>
      <w:lvlText w:val="%1.%2.%3.%4.%5.%6.%7.%8"/>
      <w:lvlJc w:val="left"/>
      <w:pPr>
        <w:ind w:left="5643" w:hanging="1800"/>
      </w:pPr>
      <w:rPr>
        <w:rFonts w:hint="default"/>
      </w:rPr>
    </w:lvl>
    <w:lvl w:ilvl="8" w:tentative="0">
      <w:start w:val="1"/>
      <w:numFmt w:val="decimal"/>
      <w:lvlText w:val="%1.%2.%3.%4.%5.%6.%7.%8.%9"/>
      <w:lvlJc w:val="left"/>
      <w:pPr>
        <w:ind w:left="6552" w:hanging="2160"/>
      </w:pPr>
      <w:rPr>
        <w:rFonts w:hint="default"/>
      </w:rPr>
    </w:lvl>
  </w:abstractNum>
  <w:num w:numId="1">
    <w:abstractNumId w:val="3"/>
  </w:num>
  <w:num w:numId="2">
    <w:abstractNumId w:val="5"/>
  </w:num>
  <w:num w:numId="3">
    <w:abstractNumId w:val="7"/>
  </w:num>
  <w:num w:numId="4">
    <w:abstractNumId w:val="6"/>
  </w:num>
  <w:num w:numId="5">
    <w:abstractNumId w:val="8"/>
  </w:num>
  <w:num w:numId="6">
    <w:abstractNumId w:val="4"/>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xYmQ2MmY2ZGFiMGI4OTRkNDg5ZGZhNmI2ODJlOWQifQ=="/>
  </w:docVars>
  <w:rsids>
    <w:rsidRoot w:val="00172A27"/>
    <w:rsid w:val="00001A0B"/>
    <w:rsid w:val="000035A3"/>
    <w:rsid w:val="000106D4"/>
    <w:rsid w:val="00010CC7"/>
    <w:rsid w:val="00015DB9"/>
    <w:rsid w:val="000165BF"/>
    <w:rsid w:val="000251FA"/>
    <w:rsid w:val="0003169D"/>
    <w:rsid w:val="00034DE4"/>
    <w:rsid w:val="000375D6"/>
    <w:rsid w:val="000500BD"/>
    <w:rsid w:val="00050A33"/>
    <w:rsid w:val="00052552"/>
    <w:rsid w:val="00054AE6"/>
    <w:rsid w:val="00061E30"/>
    <w:rsid w:val="00070AF8"/>
    <w:rsid w:val="00081E48"/>
    <w:rsid w:val="00083595"/>
    <w:rsid w:val="0009188A"/>
    <w:rsid w:val="00093C96"/>
    <w:rsid w:val="000974B8"/>
    <w:rsid w:val="000B5931"/>
    <w:rsid w:val="000C12DF"/>
    <w:rsid w:val="000C51EA"/>
    <w:rsid w:val="000C720D"/>
    <w:rsid w:val="000D0E34"/>
    <w:rsid w:val="000D64A2"/>
    <w:rsid w:val="000D73B0"/>
    <w:rsid w:val="000E1FDF"/>
    <w:rsid w:val="000E61BF"/>
    <w:rsid w:val="000E7B46"/>
    <w:rsid w:val="000F404D"/>
    <w:rsid w:val="001006B1"/>
    <w:rsid w:val="001029A1"/>
    <w:rsid w:val="00103B7D"/>
    <w:rsid w:val="00106234"/>
    <w:rsid w:val="0011682E"/>
    <w:rsid w:val="00121C5C"/>
    <w:rsid w:val="00122092"/>
    <w:rsid w:val="00123512"/>
    <w:rsid w:val="00133123"/>
    <w:rsid w:val="00136CE8"/>
    <w:rsid w:val="00143D8F"/>
    <w:rsid w:val="00145FCF"/>
    <w:rsid w:val="001567A4"/>
    <w:rsid w:val="00157DA2"/>
    <w:rsid w:val="00165A31"/>
    <w:rsid w:val="00165E3E"/>
    <w:rsid w:val="00167D2D"/>
    <w:rsid w:val="00170641"/>
    <w:rsid w:val="00171D92"/>
    <w:rsid w:val="00172A27"/>
    <w:rsid w:val="00172CCB"/>
    <w:rsid w:val="001758D1"/>
    <w:rsid w:val="00177581"/>
    <w:rsid w:val="00180621"/>
    <w:rsid w:val="00182763"/>
    <w:rsid w:val="00182F13"/>
    <w:rsid w:val="00187141"/>
    <w:rsid w:val="00187355"/>
    <w:rsid w:val="001873D0"/>
    <w:rsid w:val="00190FC3"/>
    <w:rsid w:val="00191011"/>
    <w:rsid w:val="00192FA2"/>
    <w:rsid w:val="00193CCB"/>
    <w:rsid w:val="001A15C7"/>
    <w:rsid w:val="001A3416"/>
    <w:rsid w:val="001A5D42"/>
    <w:rsid w:val="001B1E68"/>
    <w:rsid w:val="001B5756"/>
    <w:rsid w:val="001B6CA4"/>
    <w:rsid w:val="001C5E9E"/>
    <w:rsid w:val="001D22B3"/>
    <w:rsid w:val="001E0B84"/>
    <w:rsid w:val="001E1917"/>
    <w:rsid w:val="001E38B4"/>
    <w:rsid w:val="001F18D1"/>
    <w:rsid w:val="001F2286"/>
    <w:rsid w:val="001F489C"/>
    <w:rsid w:val="001F711F"/>
    <w:rsid w:val="002115AF"/>
    <w:rsid w:val="002208C9"/>
    <w:rsid w:val="00220990"/>
    <w:rsid w:val="00234F18"/>
    <w:rsid w:val="0024080E"/>
    <w:rsid w:val="00241826"/>
    <w:rsid w:val="002505C8"/>
    <w:rsid w:val="00252128"/>
    <w:rsid w:val="00256362"/>
    <w:rsid w:val="00256B0B"/>
    <w:rsid w:val="00260053"/>
    <w:rsid w:val="00260ED6"/>
    <w:rsid w:val="00266ED5"/>
    <w:rsid w:val="00282F64"/>
    <w:rsid w:val="00284E8A"/>
    <w:rsid w:val="00286D1E"/>
    <w:rsid w:val="002871F0"/>
    <w:rsid w:val="00290E0B"/>
    <w:rsid w:val="00291AA9"/>
    <w:rsid w:val="00291BDA"/>
    <w:rsid w:val="002925B9"/>
    <w:rsid w:val="00294401"/>
    <w:rsid w:val="002957A2"/>
    <w:rsid w:val="002A0717"/>
    <w:rsid w:val="002A106D"/>
    <w:rsid w:val="002A1AEB"/>
    <w:rsid w:val="002A35E3"/>
    <w:rsid w:val="002A3E6A"/>
    <w:rsid w:val="002A55E5"/>
    <w:rsid w:val="002A6ADC"/>
    <w:rsid w:val="002A6D1E"/>
    <w:rsid w:val="002A7309"/>
    <w:rsid w:val="002B25E9"/>
    <w:rsid w:val="002B2F57"/>
    <w:rsid w:val="002B3FCC"/>
    <w:rsid w:val="002B653A"/>
    <w:rsid w:val="002C2DE2"/>
    <w:rsid w:val="002C74C8"/>
    <w:rsid w:val="002C785E"/>
    <w:rsid w:val="002D4B74"/>
    <w:rsid w:val="002D797D"/>
    <w:rsid w:val="002E0440"/>
    <w:rsid w:val="002E0D6B"/>
    <w:rsid w:val="002E1859"/>
    <w:rsid w:val="002E428A"/>
    <w:rsid w:val="002E7812"/>
    <w:rsid w:val="002F1441"/>
    <w:rsid w:val="002F16E1"/>
    <w:rsid w:val="002F4164"/>
    <w:rsid w:val="002F4E93"/>
    <w:rsid w:val="00303BEB"/>
    <w:rsid w:val="003040D2"/>
    <w:rsid w:val="00305B48"/>
    <w:rsid w:val="0030781B"/>
    <w:rsid w:val="00317ED7"/>
    <w:rsid w:val="00321272"/>
    <w:rsid w:val="003228AD"/>
    <w:rsid w:val="00325655"/>
    <w:rsid w:val="003318E8"/>
    <w:rsid w:val="0033258B"/>
    <w:rsid w:val="00334886"/>
    <w:rsid w:val="00340899"/>
    <w:rsid w:val="00346CFB"/>
    <w:rsid w:val="003503E0"/>
    <w:rsid w:val="003519DD"/>
    <w:rsid w:val="00351E5E"/>
    <w:rsid w:val="00353D22"/>
    <w:rsid w:val="00360539"/>
    <w:rsid w:val="00362DC7"/>
    <w:rsid w:val="00363F24"/>
    <w:rsid w:val="003725BD"/>
    <w:rsid w:val="00376BA7"/>
    <w:rsid w:val="003822F5"/>
    <w:rsid w:val="0038312D"/>
    <w:rsid w:val="00385FFF"/>
    <w:rsid w:val="00386644"/>
    <w:rsid w:val="00391B6E"/>
    <w:rsid w:val="003933DB"/>
    <w:rsid w:val="00393D11"/>
    <w:rsid w:val="00394F7F"/>
    <w:rsid w:val="003B0A8B"/>
    <w:rsid w:val="003B0FB4"/>
    <w:rsid w:val="003B21C4"/>
    <w:rsid w:val="003B400F"/>
    <w:rsid w:val="003B4882"/>
    <w:rsid w:val="003C0193"/>
    <w:rsid w:val="003C01A9"/>
    <w:rsid w:val="003D2373"/>
    <w:rsid w:val="003D38BB"/>
    <w:rsid w:val="003D7BDF"/>
    <w:rsid w:val="003E5BF3"/>
    <w:rsid w:val="003E5D09"/>
    <w:rsid w:val="003F29DE"/>
    <w:rsid w:val="003F7921"/>
    <w:rsid w:val="00400F2C"/>
    <w:rsid w:val="0040206D"/>
    <w:rsid w:val="0040374C"/>
    <w:rsid w:val="00403F76"/>
    <w:rsid w:val="00412C60"/>
    <w:rsid w:val="00422599"/>
    <w:rsid w:val="004225D3"/>
    <w:rsid w:val="0042556C"/>
    <w:rsid w:val="00425AF3"/>
    <w:rsid w:val="00426D82"/>
    <w:rsid w:val="00427F08"/>
    <w:rsid w:val="004302CE"/>
    <w:rsid w:val="00440EB9"/>
    <w:rsid w:val="00441B3A"/>
    <w:rsid w:val="0044389C"/>
    <w:rsid w:val="00445B16"/>
    <w:rsid w:val="00445DD2"/>
    <w:rsid w:val="004460A8"/>
    <w:rsid w:val="00447973"/>
    <w:rsid w:val="00451119"/>
    <w:rsid w:val="00451447"/>
    <w:rsid w:val="00451ACD"/>
    <w:rsid w:val="004533D6"/>
    <w:rsid w:val="00453E04"/>
    <w:rsid w:val="00454420"/>
    <w:rsid w:val="0046180F"/>
    <w:rsid w:val="00462FD8"/>
    <w:rsid w:val="00463267"/>
    <w:rsid w:val="00464611"/>
    <w:rsid w:val="00472EA7"/>
    <w:rsid w:val="0047443A"/>
    <w:rsid w:val="00476E14"/>
    <w:rsid w:val="0048008A"/>
    <w:rsid w:val="00484B61"/>
    <w:rsid w:val="00486967"/>
    <w:rsid w:val="004873FB"/>
    <w:rsid w:val="0049233E"/>
    <w:rsid w:val="004962CC"/>
    <w:rsid w:val="004A6495"/>
    <w:rsid w:val="004B0C11"/>
    <w:rsid w:val="004B5915"/>
    <w:rsid w:val="004B6AA8"/>
    <w:rsid w:val="004C0863"/>
    <w:rsid w:val="004D1F92"/>
    <w:rsid w:val="004D2B46"/>
    <w:rsid w:val="004D413E"/>
    <w:rsid w:val="004D52B6"/>
    <w:rsid w:val="004E2086"/>
    <w:rsid w:val="004E2310"/>
    <w:rsid w:val="004E2D49"/>
    <w:rsid w:val="004E2F0D"/>
    <w:rsid w:val="004E3766"/>
    <w:rsid w:val="004F128E"/>
    <w:rsid w:val="004F4F38"/>
    <w:rsid w:val="004F5FD0"/>
    <w:rsid w:val="0050175C"/>
    <w:rsid w:val="00502FBE"/>
    <w:rsid w:val="005055F8"/>
    <w:rsid w:val="00507362"/>
    <w:rsid w:val="00510C99"/>
    <w:rsid w:val="00511D05"/>
    <w:rsid w:val="00512F8C"/>
    <w:rsid w:val="00513759"/>
    <w:rsid w:val="005151FA"/>
    <w:rsid w:val="00523298"/>
    <w:rsid w:val="00523310"/>
    <w:rsid w:val="00523411"/>
    <w:rsid w:val="00524A70"/>
    <w:rsid w:val="00527DA4"/>
    <w:rsid w:val="00530ED5"/>
    <w:rsid w:val="00535551"/>
    <w:rsid w:val="00541DA2"/>
    <w:rsid w:val="00551D5E"/>
    <w:rsid w:val="00555E88"/>
    <w:rsid w:val="0056335F"/>
    <w:rsid w:val="005639AC"/>
    <w:rsid w:val="00566C97"/>
    <w:rsid w:val="00575119"/>
    <w:rsid w:val="005823EC"/>
    <w:rsid w:val="005904B5"/>
    <w:rsid w:val="005A413D"/>
    <w:rsid w:val="005A64BC"/>
    <w:rsid w:val="005A7181"/>
    <w:rsid w:val="005B1427"/>
    <w:rsid w:val="005B2CBF"/>
    <w:rsid w:val="005B51DB"/>
    <w:rsid w:val="005C1423"/>
    <w:rsid w:val="005C43C2"/>
    <w:rsid w:val="005C6C62"/>
    <w:rsid w:val="005D210F"/>
    <w:rsid w:val="005E0C2F"/>
    <w:rsid w:val="005E49E3"/>
    <w:rsid w:val="005E6B2E"/>
    <w:rsid w:val="005F0E09"/>
    <w:rsid w:val="005F13A5"/>
    <w:rsid w:val="005F50AD"/>
    <w:rsid w:val="0060098C"/>
    <w:rsid w:val="00601316"/>
    <w:rsid w:val="00607F38"/>
    <w:rsid w:val="00621A5D"/>
    <w:rsid w:val="00625222"/>
    <w:rsid w:val="0063024E"/>
    <w:rsid w:val="00630C2A"/>
    <w:rsid w:val="006322AD"/>
    <w:rsid w:val="006327D9"/>
    <w:rsid w:val="00635863"/>
    <w:rsid w:val="00640572"/>
    <w:rsid w:val="00642FE4"/>
    <w:rsid w:val="00644A0A"/>
    <w:rsid w:val="00652237"/>
    <w:rsid w:val="00661219"/>
    <w:rsid w:val="00676E2C"/>
    <w:rsid w:val="00682E33"/>
    <w:rsid w:val="00683852"/>
    <w:rsid w:val="00685014"/>
    <w:rsid w:val="0069137C"/>
    <w:rsid w:val="00691BC2"/>
    <w:rsid w:val="006A0AF6"/>
    <w:rsid w:val="006A1112"/>
    <w:rsid w:val="006A3E3D"/>
    <w:rsid w:val="006B14CD"/>
    <w:rsid w:val="006B1F89"/>
    <w:rsid w:val="006C1D2E"/>
    <w:rsid w:val="006C23D4"/>
    <w:rsid w:val="006C5436"/>
    <w:rsid w:val="006C5AEA"/>
    <w:rsid w:val="006D573B"/>
    <w:rsid w:val="006D57DD"/>
    <w:rsid w:val="006D59F7"/>
    <w:rsid w:val="006D6FFA"/>
    <w:rsid w:val="006E3909"/>
    <w:rsid w:val="006E39BD"/>
    <w:rsid w:val="006E72A5"/>
    <w:rsid w:val="006F7F60"/>
    <w:rsid w:val="007036D9"/>
    <w:rsid w:val="0070546F"/>
    <w:rsid w:val="00707AE7"/>
    <w:rsid w:val="00710B83"/>
    <w:rsid w:val="00710CE4"/>
    <w:rsid w:val="0071226A"/>
    <w:rsid w:val="00713E75"/>
    <w:rsid w:val="00713E7E"/>
    <w:rsid w:val="00714C49"/>
    <w:rsid w:val="0072120C"/>
    <w:rsid w:val="0072609C"/>
    <w:rsid w:val="00726B75"/>
    <w:rsid w:val="00732508"/>
    <w:rsid w:val="00740B9D"/>
    <w:rsid w:val="00745F7B"/>
    <w:rsid w:val="00752A46"/>
    <w:rsid w:val="00752AFC"/>
    <w:rsid w:val="0075389C"/>
    <w:rsid w:val="007560E8"/>
    <w:rsid w:val="00761E33"/>
    <w:rsid w:val="007663D1"/>
    <w:rsid w:val="00766A33"/>
    <w:rsid w:val="007700B5"/>
    <w:rsid w:val="00780D9C"/>
    <w:rsid w:val="00792F19"/>
    <w:rsid w:val="0079701A"/>
    <w:rsid w:val="007A0FDC"/>
    <w:rsid w:val="007A5368"/>
    <w:rsid w:val="007A60C0"/>
    <w:rsid w:val="007B1C4F"/>
    <w:rsid w:val="007B354C"/>
    <w:rsid w:val="007C097B"/>
    <w:rsid w:val="007D52FA"/>
    <w:rsid w:val="007D5D5F"/>
    <w:rsid w:val="007D7ECD"/>
    <w:rsid w:val="007E07A7"/>
    <w:rsid w:val="007E4C8A"/>
    <w:rsid w:val="007E5AFC"/>
    <w:rsid w:val="007E75C3"/>
    <w:rsid w:val="007F0A95"/>
    <w:rsid w:val="007F5FD0"/>
    <w:rsid w:val="008128B8"/>
    <w:rsid w:val="00815391"/>
    <w:rsid w:val="00815CC7"/>
    <w:rsid w:val="008166FE"/>
    <w:rsid w:val="008307D0"/>
    <w:rsid w:val="00830E4A"/>
    <w:rsid w:val="00835BCB"/>
    <w:rsid w:val="00850903"/>
    <w:rsid w:val="00850D86"/>
    <w:rsid w:val="00853D8C"/>
    <w:rsid w:val="00865DFE"/>
    <w:rsid w:val="00870122"/>
    <w:rsid w:val="0087493C"/>
    <w:rsid w:val="0087726F"/>
    <w:rsid w:val="00882634"/>
    <w:rsid w:val="00883D6B"/>
    <w:rsid w:val="00886160"/>
    <w:rsid w:val="00895E26"/>
    <w:rsid w:val="008A404B"/>
    <w:rsid w:val="008A4B6B"/>
    <w:rsid w:val="008B2926"/>
    <w:rsid w:val="008B6B28"/>
    <w:rsid w:val="008C40F1"/>
    <w:rsid w:val="008C4744"/>
    <w:rsid w:val="008C645B"/>
    <w:rsid w:val="008D0769"/>
    <w:rsid w:val="008D0F22"/>
    <w:rsid w:val="008D361A"/>
    <w:rsid w:val="008E251D"/>
    <w:rsid w:val="008E582E"/>
    <w:rsid w:val="008E7F4B"/>
    <w:rsid w:val="008F67EE"/>
    <w:rsid w:val="009000C4"/>
    <w:rsid w:val="00911E5A"/>
    <w:rsid w:val="00913C55"/>
    <w:rsid w:val="0092742B"/>
    <w:rsid w:val="00930DEE"/>
    <w:rsid w:val="0093106A"/>
    <w:rsid w:val="00932EAF"/>
    <w:rsid w:val="00934EED"/>
    <w:rsid w:val="00935D83"/>
    <w:rsid w:val="00935F63"/>
    <w:rsid w:val="00936418"/>
    <w:rsid w:val="00940FFD"/>
    <w:rsid w:val="00945A59"/>
    <w:rsid w:val="0094711E"/>
    <w:rsid w:val="0094752C"/>
    <w:rsid w:val="00950E5C"/>
    <w:rsid w:val="0095667D"/>
    <w:rsid w:val="0095690F"/>
    <w:rsid w:val="009612C8"/>
    <w:rsid w:val="009671CB"/>
    <w:rsid w:val="00967968"/>
    <w:rsid w:val="00982352"/>
    <w:rsid w:val="00982D88"/>
    <w:rsid w:val="00986E38"/>
    <w:rsid w:val="00992FF0"/>
    <w:rsid w:val="009A16DE"/>
    <w:rsid w:val="009B1543"/>
    <w:rsid w:val="009B5DA1"/>
    <w:rsid w:val="009B6EB6"/>
    <w:rsid w:val="009C1060"/>
    <w:rsid w:val="009C3BEC"/>
    <w:rsid w:val="009D18FB"/>
    <w:rsid w:val="009D1A24"/>
    <w:rsid w:val="009D30A0"/>
    <w:rsid w:val="009E21BE"/>
    <w:rsid w:val="009E30A1"/>
    <w:rsid w:val="009E33B2"/>
    <w:rsid w:val="009E4C87"/>
    <w:rsid w:val="009E4E8C"/>
    <w:rsid w:val="009E61D6"/>
    <w:rsid w:val="009F305F"/>
    <w:rsid w:val="009F57D2"/>
    <w:rsid w:val="009F72B6"/>
    <w:rsid w:val="009F7301"/>
    <w:rsid w:val="009F7F8B"/>
    <w:rsid w:val="00A008D0"/>
    <w:rsid w:val="00A02D8E"/>
    <w:rsid w:val="00A03549"/>
    <w:rsid w:val="00A07E48"/>
    <w:rsid w:val="00A12979"/>
    <w:rsid w:val="00A15988"/>
    <w:rsid w:val="00A26BA0"/>
    <w:rsid w:val="00A3623A"/>
    <w:rsid w:val="00A36550"/>
    <w:rsid w:val="00A41301"/>
    <w:rsid w:val="00A41F02"/>
    <w:rsid w:val="00A44A89"/>
    <w:rsid w:val="00A51BDB"/>
    <w:rsid w:val="00A52920"/>
    <w:rsid w:val="00A72769"/>
    <w:rsid w:val="00A7306D"/>
    <w:rsid w:val="00A76002"/>
    <w:rsid w:val="00A77107"/>
    <w:rsid w:val="00A77327"/>
    <w:rsid w:val="00A940F0"/>
    <w:rsid w:val="00AA0E81"/>
    <w:rsid w:val="00AA331B"/>
    <w:rsid w:val="00AA4F95"/>
    <w:rsid w:val="00AA64D2"/>
    <w:rsid w:val="00AA678F"/>
    <w:rsid w:val="00AA7B90"/>
    <w:rsid w:val="00AB2FDC"/>
    <w:rsid w:val="00AB43ED"/>
    <w:rsid w:val="00AC1749"/>
    <w:rsid w:val="00AC4F57"/>
    <w:rsid w:val="00AD0330"/>
    <w:rsid w:val="00AD6D59"/>
    <w:rsid w:val="00AE3F71"/>
    <w:rsid w:val="00AE5C03"/>
    <w:rsid w:val="00AE7D2C"/>
    <w:rsid w:val="00B01ECB"/>
    <w:rsid w:val="00B0284E"/>
    <w:rsid w:val="00B078D3"/>
    <w:rsid w:val="00B1079C"/>
    <w:rsid w:val="00B11FE0"/>
    <w:rsid w:val="00B13314"/>
    <w:rsid w:val="00B1344B"/>
    <w:rsid w:val="00B142D6"/>
    <w:rsid w:val="00B154A6"/>
    <w:rsid w:val="00B17378"/>
    <w:rsid w:val="00B21FA5"/>
    <w:rsid w:val="00B22229"/>
    <w:rsid w:val="00B25AC1"/>
    <w:rsid w:val="00B25BBF"/>
    <w:rsid w:val="00B343E6"/>
    <w:rsid w:val="00B4127B"/>
    <w:rsid w:val="00B413DD"/>
    <w:rsid w:val="00B45F26"/>
    <w:rsid w:val="00B50D6E"/>
    <w:rsid w:val="00B51477"/>
    <w:rsid w:val="00B51BC4"/>
    <w:rsid w:val="00B51E41"/>
    <w:rsid w:val="00B52E63"/>
    <w:rsid w:val="00B616DA"/>
    <w:rsid w:val="00B74383"/>
    <w:rsid w:val="00B7791A"/>
    <w:rsid w:val="00B8044D"/>
    <w:rsid w:val="00B8172C"/>
    <w:rsid w:val="00B83F95"/>
    <w:rsid w:val="00B8540A"/>
    <w:rsid w:val="00B8680C"/>
    <w:rsid w:val="00B90B93"/>
    <w:rsid w:val="00B93AD3"/>
    <w:rsid w:val="00BA20C9"/>
    <w:rsid w:val="00BA23F1"/>
    <w:rsid w:val="00BA57B5"/>
    <w:rsid w:val="00BB32FC"/>
    <w:rsid w:val="00BB3A0A"/>
    <w:rsid w:val="00BC3C31"/>
    <w:rsid w:val="00BD090E"/>
    <w:rsid w:val="00BD1274"/>
    <w:rsid w:val="00BD3FD5"/>
    <w:rsid w:val="00BD40F7"/>
    <w:rsid w:val="00BE05BB"/>
    <w:rsid w:val="00BF1A4D"/>
    <w:rsid w:val="00BF5F61"/>
    <w:rsid w:val="00C032BD"/>
    <w:rsid w:val="00C067DC"/>
    <w:rsid w:val="00C071DD"/>
    <w:rsid w:val="00C07F29"/>
    <w:rsid w:val="00C109CF"/>
    <w:rsid w:val="00C10B0C"/>
    <w:rsid w:val="00C15CC2"/>
    <w:rsid w:val="00C27290"/>
    <w:rsid w:val="00C34286"/>
    <w:rsid w:val="00C3452C"/>
    <w:rsid w:val="00C368F4"/>
    <w:rsid w:val="00C37490"/>
    <w:rsid w:val="00C401FD"/>
    <w:rsid w:val="00C4138F"/>
    <w:rsid w:val="00C4239E"/>
    <w:rsid w:val="00C43979"/>
    <w:rsid w:val="00C46089"/>
    <w:rsid w:val="00C464C9"/>
    <w:rsid w:val="00C500F7"/>
    <w:rsid w:val="00C50EAE"/>
    <w:rsid w:val="00C518AA"/>
    <w:rsid w:val="00C54E51"/>
    <w:rsid w:val="00C555C4"/>
    <w:rsid w:val="00C55714"/>
    <w:rsid w:val="00C56E63"/>
    <w:rsid w:val="00C65FD6"/>
    <w:rsid w:val="00C7266C"/>
    <w:rsid w:val="00C72856"/>
    <w:rsid w:val="00C7353D"/>
    <w:rsid w:val="00C77528"/>
    <w:rsid w:val="00C80E42"/>
    <w:rsid w:val="00C843E5"/>
    <w:rsid w:val="00C8637C"/>
    <w:rsid w:val="00C90E61"/>
    <w:rsid w:val="00C92914"/>
    <w:rsid w:val="00C95452"/>
    <w:rsid w:val="00C95AF8"/>
    <w:rsid w:val="00C97B0A"/>
    <w:rsid w:val="00CA1935"/>
    <w:rsid w:val="00CA1E51"/>
    <w:rsid w:val="00CA1F6C"/>
    <w:rsid w:val="00CA230C"/>
    <w:rsid w:val="00CA3BC6"/>
    <w:rsid w:val="00CB18E8"/>
    <w:rsid w:val="00CB42F9"/>
    <w:rsid w:val="00CB4BB2"/>
    <w:rsid w:val="00CC5EBA"/>
    <w:rsid w:val="00CC687D"/>
    <w:rsid w:val="00CD1F78"/>
    <w:rsid w:val="00CD763C"/>
    <w:rsid w:val="00CD7854"/>
    <w:rsid w:val="00CE0765"/>
    <w:rsid w:val="00CE4B22"/>
    <w:rsid w:val="00CE4D9A"/>
    <w:rsid w:val="00CE7904"/>
    <w:rsid w:val="00CF72D5"/>
    <w:rsid w:val="00CF7C91"/>
    <w:rsid w:val="00D05444"/>
    <w:rsid w:val="00D06A28"/>
    <w:rsid w:val="00D25E73"/>
    <w:rsid w:val="00D30431"/>
    <w:rsid w:val="00D30506"/>
    <w:rsid w:val="00D360D3"/>
    <w:rsid w:val="00D4342F"/>
    <w:rsid w:val="00D435A8"/>
    <w:rsid w:val="00D44A98"/>
    <w:rsid w:val="00D450FF"/>
    <w:rsid w:val="00D52223"/>
    <w:rsid w:val="00D658D1"/>
    <w:rsid w:val="00D67E5F"/>
    <w:rsid w:val="00D700F9"/>
    <w:rsid w:val="00D709EE"/>
    <w:rsid w:val="00D713D1"/>
    <w:rsid w:val="00D73555"/>
    <w:rsid w:val="00D74062"/>
    <w:rsid w:val="00D74C90"/>
    <w:rsid w:val="00D763B1"/>
    <w:rsid w:val="00D8284E"/>
    <w:rsid w:val="00D861E8"/>
    <w:rsid w:val="00D91C69"/>
    <w:rsid w:val="00D94B7F"/>
    <w:rsid w:val="00D964DA"/>
    <w:rsid w:val="00DA0527"/>
    <w:rsid w:val="00DA6955"/>
    <w:rsid w:val="00DA7BE3"/>
    <w:rsid w:val="00DB18CD"/>
    <w:rsid w:val="00DB3C15"/>
    <w:rsid w:val="00DB498E"/>
    <w:rsid w:val="00DB4BE6"/>
    <w:rsid w:val="00DB57F0"/>
    <w:rsid w:val="00DB5FF6"/>
    <w:rsid w:val="00DB7A28"/>
    <w:rsid w:val="00DC4276"/>
    <w:rsid w:val="00DC5B6B"/>
    <w:rsid w:val="00DC63D7"/>
    <w:rsid w:val="00DD227D"/>
    <w:rsid w:val="00DD27EE"/>
    <w:rsid w:val="00DE2BD8"/>
    <w:rsid w:val="00DF0182"/>
    <w:rsid w:val="00DF474B"/>
    <w:rsid w:val="00DF59FF"/>
    <w:rsid w:val="00DF6BA5"/>
    <w:rsid w:val="00E006C3"/>
    <w:rsid w:val="00E1233F"/>
    <w:rsid w:val="00E167E6"/>
    <w:rsid w:val="00E168D7"/>
    <w:rsid w:val="00E16A2B"/>
    <w:rsid w:val="00E17FAA"/>
    <w:rsid w:val="00E22E43"/>
    <w:rsid w:val="00E27CF4"/>
    <w:rsid w:val="00E41124"/>
    <w:rsid w:val="00E43B1A"/>
    <w:rsid w:val="00E4404E"/>
    <w:rsid w:val="00E44556"/>
    <w:rsid w:val="00E4486C"/>
    <w:rsid w:val="00E45883"/>
    <w:rsid w:val="00E47746"/>
    <w:rsid w:val="00E47992"/>
    <w:rsid w:val="00E50CC5"/>
    <w:rsid w:val="00E52082"/>
    <w:rsid w:val="00E537D2"/>
    <w:rsid w:val="00E57AAD"/>
    <w:rsid w:val="00E57CB7"/>
    <w:rsid w:val="00E57DB3"/>
    <w:rsid w:val="00E60456"/>
    <w:rsid w:val="00E6148D"/>
    <w:rsid w:val="00E647B9"/>
    <w:rsid w:val="00E6666C"/>
    <w:rsid w:val="00E713C8"/>
    <w:rsid w:val="00E71A01"/>
    <w:rsid w:val="00E74240"/>
    <w:rsid w:val="00E74CB1"/>
    <w:rsid w:val="00E75CF6"/>
    <w:rsid w:val="00E8081C"/>
    <w:rsid w:val="00E80F6C"/>
    <w:rsid w:val="00E83E35"/>
    <w:rsid w:val="00E91868"/>
    <w:rsid w:val="00E92AA2"/>
    <w:rsid w:val="00E93AF4"/>
    <w:rsid w:val="00E94523"/>
    <w:rsid w:val="00E95E9C"/>
    <w:rsid w:val="00EA02BE"/>
    <w:rsid w:val="00EA6EBE"/>
    <w:rsid w:val="00EB1352"/>
    <w:rsid w:val="00EB4D59"/>
    <w:rsid w:val="00EC4E34"/>
    <w:rsid w:val="00ED6DFC"/>
    <w:rsid w:val="00EE04A9"/>
    <w:rsid w:val="00EE06AC"/>
    <w:rsid w:val="00EE3509"/>
    <w:rsid w:val="00EF0E30"/>
    <w:rsid w:val="00EF4158"/>
    <w:rsid w:val="00F00808"/>
    <w:rsid w:val="00F035B7"/>
    <w:rsid w:val="00F05728"/>
    <w:rsid w:val="00F07F81"/>
    <w:rsid w:val="00F111D7"/>
    <w:rsid w:val="00F12004"/>
    <w:rsid w:val="00F12EC0"/>
    <w:rsid w:val="00F160D7"/>
    <w:rsid w:val="00F16736"/>
    <w:rsid w:val="00F20036"/>
    <w:rsid w:val="00F24100"/>
    <w:rsid w:val="00F25E33"/>
    <w:rsid w:val="00F32079"/>
    <w:rsid w:val="00F37A6B"/>
    <w:rsid w:val="00F41A05"/>
    <w:rsid w:val="00F50AFC"/>
    <w:rsid w:val="00F56F2B"/>
    <w:rsid w:val="00F600E4"/>
    <w:rsid w:val="00F66EC1"/>
    <w:rsid w:val="00F72579"/>
    <w:rsid w:val="00F773F9"/>
    <w:rsid w:val="00F819A9"/>
    <w:rsid w:val="00F8586C"/>
    <w:rsid w:val="00F86144"/>
    <w:rsid w:val="00F94735"/>
    <w:rsid w:val="00F965C0"/>
    <w:rsid w:val="00FA39CC"/>
    <w:rsid w:val="00FA5436"/>
    <w:rsid w:val="00FA58B5"/>
    <w:rsid w:val="00FA7C85"/>
    <w:rsid w:val="00FB0A8A"/>
    <w:rsid w:val="00FB3B06"/>
    <w:rsid w:val="00FB5B2E"/>
    <w:rsid w:val="00FD1103"/>
    <w:rsid w:val="00FD6000"/>
    <w:rsid w:val="00FD7BCF"/>
    <w:rsid w:val="00FE0E2C"/>
    <w:rsid w:val="00FE34DF"/>
    <w:rsid w:val="00FE752C"/>
    <w:rsid w:val="00FF12D0"/>
    <w:rsid w:val="00FF558A"/>
    <w:rsid w:val="00FF7C61"/>
    <w:rsid w:val="01F44C52"/>
    <w:rsid w:val="04070FD7"/>
    <w:rsid w:val="04AD49AF"/>
    <w:rsid w:val="079C35A2"/>
    <w:rsid w:val="07E57F8A"/>
    <w:rsid w:val="08D27DB0"/>
    <w:rsid w:val="09A901E7"/>
    <w:rsid w:val="09AA1EA3"/>
    <w:rsid w:val="09B47B48"/>
    <w:rsid w:val="0A4722C6"/>
    <w:rsid w:val="0AB83E86"/>
    <w:rsid w:val="0B1B1342"/>
    <w:rsid w:val="0B3C19E4"/>
    <w:rsid w:val="0B457729"/>
    <w:rsid w:val="0C5D6CB0"/>
    <w:rsid w:val="0F047AD5"/>
    <w:rsid w:val="10566193"/>
    <w:rsid w:val="10870524"/>
    <w:rsid w:val="113E1ECE"/>
    <w:rsid w:val="11590601"/>
    <w:rsid w:val="12445622"/>
    <w:rsid w:val="12D9586D"/>
    <w:rsid w:val="14F73442"/>
    <w:rsid w:val="15BB3FE0"/>
    <w:rsid w:val="181F6FEE"/>
    <w:rsid w:val="1ABC6140"/>
    <w:rsid w:val="1B7B1FFE"/>
    <w:rsid w:val="1C596267"/>
    <w:rsid w:val="1D217458"/>
    <w:rsid w:val="1D4B15AF"/>
    <w:rsid w:val="1DE673AB"/>
    <w:rsid w:val="1E065D08"/>
    <w:rsid w:val="1F881C91"/>
    <w:rsid w:val="1F8A53A7"/>
    <w:rsid w:val="22661437"/>
    <w:rsid w:val="23155FF5"/>
    <w:rsid w:val="232A4F25"/>
    <w:rsid w:val="27F018C7"/>
    <w:rsid w:val="280C59D4"/>
    <w:rsid w:val="2A1C1D38"/>
    <w:rsid w:val="2B7820CD"/>
    <w:rsid w:val="2B7D1323"/>
    <w:rsid w:val="2BF45A41"/>
    <w:rsid w:val="2CCE29DA"/>
    <w:rsid w:val="2D840453"/>
    <w:rsid w:val="301D1BA7"/>
    <w:rsid w:val="309B644C"/>
    <w:rsid w:val="321E3C3B"/>
    <w:rsid w:val="33B144DD"/>
    <w:rsid w:val="34195B0A"/>
    <w:rsid w:val="34FF30A8"/>
    <w:rsid w:val="359D100F"/>
    <w:rsid w:val="36EA36F6"/>
    <w:rsid w:val="377C34BF"/>
    <w:rsid w:val="38403605"/>
    <w:rsid w:val="384C3ABA"/>
    <w:rsid w:val="39CD7984"/>
    <w:rsid w:val="3B027975"/>
    <w:rsid w:val="3B9F54F4"/>
    <w:rsid w:val="3CE3374A"/>
    <w:rsid w:val="3D6873BC"/>
    <w:rsid w:val="3DA162D4"/>
    <w:rsid w:val="40755082"/>
    <w:rsid w:val="417D7548"/>
    <w:rsid w:val="423D7815"/>
    <w:rsid w:val="42497F67"/>
    <w:rsid w:val="430F6C0D"/>
    <w:rsid w:val="4393335D"/>
    <w:rsid w:val="43AA6122"/>
    <w:rsid w:val="44916B51"/>
    <w:rsid w:val="45227573"/>
    <w:rsid w:val="464A2417"/>
    <w:rsid w:val="46CC17F1"/>
    <w:rsid w:val="474D674C"/>
    <w:rsid w:val="48587A01"/>
    <w:rsid w:val="48EF052A"/>
    <w:rsid w:val="495711BC"/>
    <w:rsid w:val="49646C15"/>
    <w:rsid w:val="4D2E398B"/>
    <w:rsid w:val="4DA70238"/>
    <w:rsid w:val="4EBA7F34"/>
    <w:rsid w:val="50A2358F"/>
    <w:rsid w:val="51AC7161"/>
    <w:rsid w:val="51AF2A2C"/>
    <w:rsid w:val="52310356"/>
    <w:rsid w:val="544B1BD1"/>
    <w:rsid w:val="54A46C00"/>
    <w:rsid w:val="54F16968"/>
    <w:rsid w:val="55DB2445"/>
    <w:rsid w:val="57AB69E7"/>
    <w:rsid w:val="57B97182"/>
    <w:rsid w:val="57DE6F4C"/>
    <w:rsid w:val="585E0AFE"/>
    <w:rsid w:val="587E54D9"/>
    <w:rsid w:val="59C8705B"/>
    <w:rsid w:val="5C421161"/>
    <w:rsid w:val="5DAA6182"/>
    <w:rsid w:val="5DC32E6C"/>
    <w:rsid w:val="5F0F3C40"/>
    <w:rsid w:val="60184B53"/>
    <w:rsid w:val="61370E77"/>
    <w:rsid w:val="618757A4"/>
    <w:rsid w:val="61F45016"/>
    <w:rsid w:val="623E7BBD"/>
    <w:rsid w:val="641F6B07"/>
    <w:rsid w:val="655F15EF"/>
    <w:rsid w:val="656B4D08"/>
    <w:rsid w:val="66680A54"/>
    <w:rsid w:val="68AE46AB"/>
    <w:rsid w:val="68B4270D"/>
    <w:rsid w:val="68C673DF"/>
    <w:rsid w:val="6A366533"/>
    <w:rsid w:val="6A805665"/>
    <w:rsid w:val="6B19056F"/>
    <w:rsid w:val="6B992415"/>
    <w:rsid w:val="6CF406D1"/>
    <w:rsid w:val="6D335B0B"/>
    <w:rsid w:val="703219B2"/>
    <w:rsid w:val="70517456"/>
    <w:rsid w:val="714300F4"/>
    <w:rsid w:val="715A2DF4"/>
    <w:rsid w:val="71BC008E"/>
    <w:rsid w:val="723E1398"/>
    <w:rsid w:val="72A14A47"/>
    <w:rsid w:val="730C77B1"/>
    <w:rsid w:val="735D680B"/>
    <w:rsid w:val="73655BBF"/>
    <w:rsid w:val="73D60B71"/>
    <w:rsid w:val="7425434E"/>
    <w:rsid w:val="74964A72"/>
    <w:rsid w:val="75A476A3"/>
    <w:rsid w:val="791F22C6"/>
    <w:rsid w:val="7ACF29F8"/>
    <w:rsid w:val="7ADA0DE1"/>
    <w:rsid w:val="7F1864ED"/>
    <w:rsid w:val="7FDB5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1" w:name="heading 8"/>
    <w:lsdException w:qFormat="1" w:uiPriority="1"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1" w:name="Normal Indent"/>
    <w:lsdException w:uiPriority="1"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iPriority="1" w:name="caption"/>
    <w:lsdException w:uiPriority="1" w:name="table of figures"/>
    <w:lsdException w:uiPriority="1" w:name="envelope address"/>
    <w:lsdException w:qFormat="1" w:uiPriority="99" w:semiHidden="0" w:name="envelope return"/>
    <w:lsdException w:uiPriority="1" w:name="footnote reference"/>
    <w:lsdException w:qFormat="1" w:uiPriority="0" w:semiHidden="0" w:name="annotation reference"/>
    <w:lsdException w:uiPriority="1" w:name="line number"/>
    <w:lsdException w:qFormat="1" w:unhideWhenUsed="0" w:uiPriority="99" w:semiHidden="0" w:name="page number"/>
    <w:lsdException w:uiPriority="1" w:name="endnote reference"/>
    <w:lsdException w:uiPriority="1" w:name="endnote text"/>
    <w:lsdException w:qFormat="1" w:unhideWhenUsed="0" w:uiPriority="0" w:name="table of authorities"/>
    <w:lsdException w:uiPriority="1" w:name="macro"/>
    <w:lsdException w:qFormat="1" w:unhideWhenUsed="0" w:uiPriority="0" w:name="toa heading"/>
    <w:lsdException w:uiPriority="1" w:name="List"/>
    <w:lsdException w:uiPriority="1" w:name="List Bullet"/>
    <w:lsdException w:uiPriority="1" w:name="List Number"/>
    <w:lsdException w:uiPriority="1" w:name="List 2"/>
    <w:lsdException w:uiPriority="1" w:name="List 3"/>
    <w:lsdException w:uiPriority="1" w:name="List 4"/>
    <w:lsdException w:uiPriority="1" w:name="List 5"/>
    <w:lsdException w:uiPriority="1" w:name="List Bullet 2"/>
    <w:lsdException w:uiPriority="1" w:name="List Bullet 3"/>
    <w:lsdException w:uiPriority="1" w:name="List Bullet 4"/>
    <w:lsdException w:uiPriority="1" w:name="List Bullet 5"/>
    <w:lsdException w:uiPriority="1" w:name="List Number 2"/>
    <w:lsdException w:uiPriority="1" w:name="List Number 3"/>
    <w:lsdException w:uiPriority="1" w:name="List Number 4"/>
    <w:lsdException w:uiPriority="1" w:name="List Number 5"/>
    <w:lsdException w:qFormat="1" w:unhideWhenUsed="0" w:uiPriority="1" w:semiHidden="0" w:name="Title"/>
    <w:lsdException w:uiPriority="1" w:name="Closing"/>
    <w:lsdException w:uiPriority="1" w:name="Signature"/>
    <w:lsdException w:qFormat="1" w:uiPriority="1" w:name="Default Paragraph Font"/>
    <w:lsdException w:qFormat="1" w:unhideWhenUsed="0" w:uiPriority="0" w:semiHidden="0" w:name="Body Text"/>
    <w:lsdException w:qFormat="1" w:unhideWhenUsed="0" w:uiPriority="0" w:semiHidden="0" w:name="Body Text Indent"/>
    <w:lsdException w:uiPriority="1" w:name="List Continue"/>
    <w:lsdException w:uiPriority="1" w:name="List Continue 2"/>
    <w:lsdException w:uiPriority="1" w:name="List Continue 3"/>
    <w:lsdException w:uiPriority="1" w:name="List Continue 4"/>
    <w:lsdException w:uiPriority="1" w:name="List Continue 5"/>
    <w:lsdException w:uiPriority="1" w:name="Message Header"/>
    <w:lsdException w:qFormat="1" w:unhideWhenUsed="0" w:uiPriority="1" w:semiHidden="0" w:name="Subtitle"/>
    <w:lsdException w:uiPriority="1"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1"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qFormat="1" w:unhideWhenUsed="0" w:uiPriority="0" w:semiHidden="0" w:name="FollowedHyperlink"/>
    <w:lsdException w:qFormat="1" w:unhideWhenUsed="0" w:uiPriority="99"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1" w:name="E-mail Signature"/>
    <w:lsdException w:qFormat="1" w:unhideWhenUsed="0" w:uiPriority="0" w:semiHidden="0" w:name="Normal (Web)"/>
    <w:lsdException w:uiPriority="1" w:name="HTML Acronym"/>
    <w:lsdException w:uiPriority="1" w:name="HTML Address"/>
    <w:lsdException w:uiPriority="1" w:name="HTML Cite"/>
    <w:lsdException w:uiPriority="1" w:name="HTML Code"/>
    <w:lsdException w:uiPriority="1" w:name="HTML Definition"/>
    <w:lsdException w:uiPriority="1" w:name="HTML Keyboard"/>
    <w:lsdException w:qFormat="1" w:unhideWhenUsed="0" w:uiPriority="0" w:semiHidden="0" w:name="HTML Preformatted"/>
    <w:lsdException w:uiPriority="1" w:name="HTML Sample"/>
    <w:lsdException w:uiPriority="1" w:name="HTML Typewriter"/>
    <w:lsdException w:uiPriority="1" w:name="HTML Variable"/>
    <w:lsdException w:qFormat="1" w:uiPriority="99" w:name="Normal Table"/>
    <w:lsdException w:qFormat="1" w:uiPriority="99" w:semiHidden="0"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qFormat="1" w:unhideWhenUsed="0" w:uiPriority="99" w:semiHidden="0" w:name="Balloon Text"/>
    <w:lsdException w:unhideWhenUsed="0" w:uiPriority="1" w:semiHidden="0" w:name="Table Grid"/>
    <w:lsdException w:uiPriority="1"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5">
    <w:name w:val="heading 1"/>
    <w:basedOn w:val="1"/>
    <w:next w:val="1"/>
    <w:link w:val="104"/>
    <w:autoRedefine/>
    <w:qFormat/>
    <w:uiPriority w:val="99"/>
    <w:pPr>
      <w:keepNext/>
      <w:keepLines/>
      <w:spacing w:before="340" w:after="330" w:line="578" w:lineRule="auto"/>
      <w:outlineLvl w:val="0"/>
    </w:pPr>
    <w:rPr>
      <w:b/>
      <w:bCs/>
      <w:kern w:val="44"/>
      <w:sz w:val="30"/>
      <w:szCs w:val="44"/>
    </w:rPr>
  </w:style>
  <w:style w:type="paragraph" w:styleId="6">
    <w:name w:val="heading 2"/>
    <w:basedOn w:val="1"/>
    <w:next w:val="1"/>
    <w:link w:val="108"/>
    <w:autoRedefine/>
    <w:qFormat/>
    <w:uiPriority w:val="99"/>
    <w:pPr>
      <w:keepNext/>
      <w:keepLines/>
      <w:spacing w:before="260" w:after="260" w:line="416" w:lineRule="auto"/>
      <w:ind w:firstLine="628"/>
      <w:jc w:val="center"/>
      <w:outlineLvl w:val="1"/>
    </w:pPr>
    <w:rPr>
      <w:rFonts w:ascii="Arial" w:hAnsi="Arial" w:eastAsia="黑体"/>
      <w:b/>
      <w:bCs/>
      <w:sz w:val="32"/>
      <w:szCs w:val="32"/>
    </w:rPr>
  </w:style>
  <w:style w:type="paragraph" w:styleId="7">
    <w:name w:val="heading 3"/>
    <w:basedOn w:val="1"/>
    <w:next w:val="1"/>
    <w:link w:val="107"/>
    <w:autoRedefine/>
    <w:qFormat/>
    <w:uiPriority w:val="0"/>
    <w:pPr>
      <w:keepNext/>
      <w:keepLines/>
      <w:spacing w:before="260" w:after="260" w:line="416" w:lineRule="auto"/>
      <w:jc w:val="center"/>
      <w:outlineLvl w:val="2"/>
    </w:pPr>
    <w:rPr>
      <w:rFonts w:ascii="宋体"/>
      <w:b/>
      <w:bCs/>
      <w:sz w:val="32"/>
      <w:szCs w:val="32"/>
    </w:rPr>
  </w:style>
  <w:style w:type="paragraph" w:styleId="8">
    <w:name w:val="heading 4"/>
    <w:basedOn w:val="1"/>
    <w:next w:val="1"/>
    <w:link w:val="96"/>
    <w:autoRedefine/>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95"/>
    <w:autoRedefine/>
    <w:qFormat/>
    <w:uiPriority w:val="0"/>
    <w:pPr>
      <w:keepNext/>
      <w:outlineLvl w:val="4"/>
    </w:pPr>
    <w:rPr>
      <w:rFonts w:ascii="宋体" w:hAnsi="Arial"/>
      <w:bCs/>
      <w:sz w:val="28"/>
      <w:szCs w:val="20"/>
    </w:rPr>
  </w:style>
  <w:style w:type="paragraph" w:styleId="10">
    <w:name w:val="heading 6"/>
    <w:basedOn w:val="1"/>
    <w:next w:val="1"/>
    <w:link w:val="94"/>
    <w:autoRedefine/>
    <w:qFormat/>
    <w:uiPriority w:val="0"/>
    <w:pPr>
      <w:keepNext/>
      <w:autoSpaceDE w:val="0"/>
      <w:autoSpaceDN w:val="0"/>
      <w:adjustRightInd w:val="0"/>
      <w:spacing w:beforeLines="50" w:afterLines="50" w:line="300" w:lineRule="exact"/>
      <w:jc w:val="center"/>
      <w:outlineLvl w:val="5"/>
    </w:pPr>
    <w:rPr>
      <w:rFonts w:ascii="宋体" w:hAnsi="宋体"/>
      <w:kern w:val="0"/>
      <w:sz w:val="28"/>
      <w:szCs w:val="20"/>
    </w:rPr>
  </w:style>
  <w:style w:type="paragraph" w:styleId="11">
    <w:name w:val="heading 7"/>
    <w:basedOn w:val="1"/>
    <w:next w:val="1"/>
    <w:link w:val="93"/>
    <w:autoRedefine/>
    <w:qFormat/>
    <w:uiPriority w:val="0"/>
    <w:pPr>
      <w:keepNext/>
      <w:keepLines/>
      <w:spacing w:before="240" w:after="64" w:line="320" w:lineRule="auto"/>
      <w:ind w:right="-24" w:rightChars="-10" w:firstLine="464" w:firstLineChars="225"/>
      <w:jc w:val="left"/>
      <w:outlineLvl w:val="6"/>
    </w:pPr>
    <w:rPr>
      <w:rFonts w:ascii="Arial" w:hAnsi="Arial" w:eastAsia="仿宋_GB2312"/>
      <w:b/>
      <w:bCs/>
      <w:spacing w:val="-4"/>
      <w:sz w:val="24"/>
      <w:szCs w:val="24"/>
    </w:rPr>
  </w:style>
  <w:style w:type="character" w:default="1" w:styleId="51">
    <w:name w:val="Default Paragraph Font"/>
    <w:autoRedefine/>
    <w:semiHidden/>
    <w:unhideWhenUsed/>
    <w:qFormat/>
    <w:uiPriority w:val="1"/>
  </w:style>
  <w:style w:type="table" w:default="1" w:styleId="50">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unhideWhenUsed/>
    <w:qFormat/>
    <w:uiPriority w:val="0"/>
    <w:pPr>
      <w:spacing w:after="120"/>
      <w:ind w:left="420" w:leftChars="200" w:firstLine="420" w:firstLineChars="200"/>
    </w:pPr>
    <w:rPr>
      <w:rFonts w:ascii="Times New Roman" w:cstheme="minorBidi"/>
      <w:sz w:val="21"/>
      <w:szCs w:val="22"/>
    </w:rPr>
  </w:style>
  <w:style w:type="paragraph" w:styleId="3">
    <w:name w:val="Body Text Indent"/>
    <w:basedOn w:val="1"/>
    <w:next w:val="4"/>
    <w:link w:val="88"/>
    <w:autoRedefine/>
    <w:qFormat/>
    <w:uiPriority w:val="0"/>
    <w:pPr>
      <w:ind w:firstLine="645"/>
    </w:pPr>
    <w:rPr>
      <w:rFonts w:ascii="楷体_GB2312" w:eastAsia="楷体_GB2312"/>
      <w:sz w:val="32"/>
      <w:szCs w:val="20"/>
    </w:rPr>
  </w:style>
  <w:style w:type="paragraph" w:styleId="4">
    <w:name w:val="envelope return"/>
    <w:basedOn w:val="1"/>
    <w:autoRedefine/>
    <w:unhideWhenUsed/>
    <w:qFormat/>
    <w:uiPriority w:val="99"/>
    <w:pPr>
      <w:snapToGrid w:val="0"/>
    </w:pPr>
    <w:rPr>
      <w:rFonts w:ascii="Arial" w:hAnsi="Arial"/>
    </w:rPr>
  </w:style>
  <w:style w:type="paragraph" w:styleId="12">
    <w:name w:val="toc 7"/>
    <w:basedOn w:val="1"/>
    <w:next w:val="1"/>
    <w:autoRedefine/>
    <w:semiHidden/>
    <w:qFormat/>
    <w:uiPriority w:val="0"/>
    <w:pPr>
      <w:ind w:left="1260"/>
      <w:jc w:val="left"/>
    </w:pPr>
    <w:rPr>
      <w:szCs w:val="21"/>
    </w:rPr>
  </w:style>
  <w:style w:type="paragraph" w:styleId="13">
    <w:name w:val="table of authorities"/>
    <w:basedOn w:val="1"/>
    <w:next w:val="1"/>
    <w:autoRedefine/>
    <w:semiHidden/>
    <w:qFormat/>
    <w:uiPriority w:val="0"/>
    <w:pPr>
      <w:ind w:left="420" w:leftChars="200"/>
    </w:pPr>
    <w:rPr>
      <w:szCs w:val="20"/>
    </w:rPr>
  </w:style>
  <w:style w:type="paragraph" w:styleId="14">
    <w:name w:val="index 8"/>
    <w:basedOn w:val="1"/>
    <w:next w:val="1"/>
    <w:autoRedefine/>
    <w:semiHidden/>
    <w:qFormat/>
    <w:uiPriority w:val="0"/>
    <w:pPr>
      <w:ind w:left="1400" w:leftChars="1400"/>
    </w:pPr>
    <w:rPr>
      <w:szCs w:val="20"/>
    </w:rPr>
  </w:style>
  <w:style w:type="paragraph" w:styleId="15">
    <w:name w:val="index 5"/>
    <w:basedOn w:val="1"/>
    <w:next w:val="1"/>
    <w:autoRedefine/>
    <w:semiHidden/>
    <w:qFormat/>
    <w:uiPriority w:val="0"/>
    <w:pPr>
      <w:ind w:left="800" w:leftChars="800"/>
    </w:pPr>
    <w:rPr>
      <w:szCs w:val="20"/>
    </w:rPr>
  </w:style>
  <w:style w:type="paragraph" w:styleId="16">
    <w:name w:val="Document Map"/>
    <w:basedOn w:val="1"/>
    <w:link w:val="99"/>
    <w:autoRedefine/>
    <w:semiHidden/>
    <w:qFormat/>
    <w:uiPriority w:val="0"/>
    <w:pPr>
      <w:shd w:val="clear" w:color="auto" w:fill="000080"/>
    </w:pPr>
    <w:rPr>
      <w:szCs w:val="20"/>
    </w:rPr>
  </w:style>
  <w:style w:type="paragraph" w:styleId="17">
    <w:name w:val="toa heading"/>
    <w:basedOn w:val="1"/>
    <w:next w:val="1"/>
    <w:autoRedefine/>
    <w:semiHidden/>
    <w:qFormat/>
    <w:uiPriority w:val="0"/>
    <w:pPr>
      <w:spacing w:before="120"/>
    </w:pPr>
    <w:rPr>
      <w:rFonts w:ascii="Arial" w:hAnsi="Arial"/>
      <w:b/>
      <w:bCs/>
      <w:szCs w:val="24"/>
    </w:rPr>
  </w:style>
  <w:style w:type="paragraph" w:styleId="18">
    <w:name w:val="annotation text"/>
    <w:basedOn w:val="1"/>
    <w:link w:val="101"/>
    <w:autoRedefine/>
    <w:qFormat/>
    <w:uiPriority w:val="0"/>
    <w:pPr>
      <w:jc w:val="left"/>
    </w:pPr>
    <w:rPr>
      <w:szCs w:val="20"/>
    </w:rPr>
  </w:style>
  <w:style w:type="paragraph" w:styleId="19">
    <w:name w:val="index 6"/>
    <w:basedOn w:val="1"/>
    <w:next w:val="1"/>
    <w:autoRedefine/>
    <w:semiHidden/>
    <w:qFormat/>
    <w:uiPriority w:val="0"/>
    <w:pPr>
      <w:ind w:left="1000" w:leftChars="1000"/>
    </w:pPr>
    <w:rPr>
      <w:szCs w:val="20"/>
    </w:rPr>
  </w:style>
  <w:style w:type="paragraph" w:styleId="20">
    <w:name w:val="Body Text 3"/>
    <w:basedOn w:val="1"/>
    <w:link w:val="103"/>
    <w:autoRedefine/>
    <w:qFormat/>
    <w:uiPriority w:val="0"/>
    <w:rPr>
      <w:rFonts w:ascii="黑体" w:hAnsi="Arial" w:eastAsia="黑体"/>
      <w:b/>
      <w:sz w:val="28"/>
      <w:szCs w:val="20"/>
    </w:rPr>
  </w:style>
  <w:style w:type="paragraph" w:styleId="21">
    <w:name w:val="Body Text"/>
    <w:basedOn w:val="1"/>
    <w:link w:val="98"/>
    <w:autoRedefine/>
    <w:qFormat/>
    <w:uiPriority w:val="0"/>
    <w:rPr>
      <w:rFonts w:ascii="宋体" w:hAnsi="Arial"/>
      <w:sz w:val="28"/>
      <w:szCs w:val="20"/>
    </w:rPr>
  </w:style>
  <w:style w:type="paragraph" w:styleId="22">
    <w:name w:val="Block Text"/>
    <w:basedOn w:val="1"/>
    <w:autoRedefine/>
    <w:qFormat/>
    <w:uiPriority w:val="99"/>
    <w:pPr>
      <w:spacing w:after="156"/>
    </w:pPr>
    <w:rPr>
      <w:rFonts w:ascii="宋体"/>
    </w:rPr>
  </w:style>
  <w:style w:type="paragraph" w:styleId="23">
    <w:name w:val="index 4"/>
    <w:basedOn w:val="1"/>
    <w:next w:val="1"/>
    <w:autoRedefine/>
    <w:semiHidden/>
    <w:qFormat/>
    <w:uiPriority w:val="0"/>
    <w:pPr>
      <w:ind w:left="600" w:leftChars="600"/>
    </w:pPr>
    <w:rPr>
      <w:szCs w:val="20"/>
    </w:rPr>
  </w:style>
  <w:style w:type="paragraph" w:styleId="24">
    <w:name w:val="toc 5"/>
    <w:basedOn w:val="1"/>
    <w:next w:val="1"/>
    <w:autoRedefine/>
    <w:semiHidden/>
    <w:qFormat/>
    <w:uiPriority w:val="0"/>
    <w:pPr>
      <w:ind w:left="840"/>
      <w:jc w:val="left"/>
    </w:pPr>
    <w:rPr>
      <w:szCs w:val="21"/>
    </w:rPr>
  </w:style>
  <w:style w:type="paragraph" w:styleId="25">
    <w:name w:val="toc 3"/>
    <w:basedOn w:val="1"/>
    <w:next w:val="1"/>
    <w:autoRedefine/>
    <w:qFormat/>
    <w:uiPriority w:val="39"/>
    <w:pPr>
      <w:tabs>
        <w:tab w:val="right" w:leader="dot" w:pos="9403"/>
      </w:tabs>
      <w:spacing w:line="380" w:lineRule="exact"/>
      <w:ind w:left="420"/>
      <w:jc w:val="left"/>
    </w:pPr>
    <w:rPr>
      <w:i/>
      <w:iCs/>
      <w:szCs w:val="24"/>
    </w:rPr>
  </w:style>
  <w:style w:type="paragraph" w:styleId="26">
    <w:name w:val="Plain Text"/>
    <w:basedOn w:val="1"/>
    <w:link w:val="91"/>
    <w:autoRedefine/>
    <w:qFormat/>
    <w:uiPriority w:val="0"/>
    <w:rPr>
      <w:rFonts w:ascii="宋体" w:hAnsi="Courier New"/>
      <w:szCs w:val="20"/>
    </w:rPr>
  </w:style>
  <w:style w:type="paragraph" w:styleId="27">
    <w:name w:val="toc 8"/>
    <w:basedOn w:val="1"/>
    <w:next w:val="1"/>
    <w:autoRedefine/>
    <w:semiHidden/>
    <w:qFormat/>
    <w:uiPriority w:val="0"/>
    <w:pPr>
      <w:ind w:left="1470"/>
      <w:jc w:val="left"/>
    </w:pPr>
    <w:rPr>
      <w:szCs w:val="21"/>
    </w:rPr>
  </w:style>
  <w:style w:type="paragraph" w:styleId="28">
    <w:name w:val="index 3"/>
    <w:basedOn w:val="1"/>
    <w:next w:val="1"/>
    <w:autoRedefine/>
    <w:semiHidden/>
    <w:qFormat/>
    <w:uiPriority w:val="0"/>
    <w:pPr>
      <w:ind w:left="400" w:leftChars="400"/>
    </w:pPr>
    <w:rPr>
      <w:szCs w:val="20"/>
    </w:rPr>
  </w:style>
  <w:style w:type="paragraph" w:styleId="29">
    <w:name w:val="Date"/>
    <w:basedOn w:val="1"/>
    <w:next w:val="1"/>
    <w:link w:val="84"/>
    <w:autoRedefine/>
    <w:qFormat/>
    <w:uiPriority w:val="0"/>
    <w:rPr>
      <w:b/>
      <w:sz w:val="28"/>
      <w:szCs w:val="20"/>
    </w:rPr>
  </w:style>
  <w:style w:type="paragraph" w:styleId="30">
    <w:name w:val="Body Text Indent 2"/>
    <w:basedOn w:val="1"/>
    <w:link w:val="86"/>
    <w:autoRedefine/>
    <w:qFormat/>
    <w:uiPriority w:val="0"/>
    <w:pPr>
      <w:ind w:left="630" w:firstLine="645"/>
    </w:pPr>
    <w:rPr>
      <w:rFonts w:ascii="Arial" w:hAnsi="Arial" w:eastAsia="仿宋_GB2312"/>
      <w:sz w:val="32"/>
      <w:szCs w:val="20"/>
    </w:rPr>
  </w:style>
  <w:style w:type="paragraph" w:styleId="31">
    <w:name w:val="Balloon Text"/>
    <w:basedOn w:val="1"/>
    <w:link w:val="109"/>
    <w:autoRedefine/>
    <w:qFormat/>
    <w:uiPriority w:val="99"/>
    <w:rPr>
      <w:sz w:val="18"/>
      <w:szCs w:val="18"/>
    </w:rPr>
  </w:style>
  <w:style w:type="paragraph" w:styleId="32">
    <w:name w:val="footer"/>
    <w:basedOn w:val="1"/>
    <w:link w:val="92"/>
    <w:autoRedefine/>
    <w:qFormat/>
    <w:uiPriority w:val="99"/>
    <w:pPr>
      <w:tabs>
        <w:tab w:val="center" w:pos="4153"/>
        <w:tab w:val="right" w:pos="8306"/>
      </w:tabs>
      <w:snapToGrid w:val="0"/>
      <w:jc w:val="left"/>
    </w:pPr>
    <w:rPr>
      <w:sz w:val="18"/>
      <w:szCs w:val="20"/>
    </w:rPr>
  </w:style>
  <w:style w:type="paragraph" w:styleId="33">
    <w:name w:val="header"/>
    <w:basedOn w:val="1"/>
    <w:link w:val="102"/>
    <w:autoRedefine/>
    <w:qFormat/>
    <w:uiPriority w:val="0"/>
    <w:pPr>
      <w:pBdr>
        <w:bottom w:val="single" w:color="auto" w:sz="6" w:space="1"/>
      </w:pBdr>
      <w:tabs>
        <w:tab w:val="center" w:pos="4153"/>
        <w:tab w:val="right" w:pos="8306"/>
      </w:tabs>
      <w:snapToGrid w:val="0"/>
      <w:jc w:val="center"/>
    </w:pPr>
    <w:rPr>
      <w:sz w:val="18"/>
      <w:szCs w:val="20"/>
    </w:rPr>
  </w:style>
  <w:style w:type="paragraph" w:styleId="34">
    <w:name w:val="toc 1"/>
    <w:basedOn w:val="1"/>
    <w:next w:val="1"/>
    <w:autoRedefine/>
    <w:qFormat/>
    <w:uiPriority w:val="39"/>
    <w:pPr>
      <w:spacing w:before="120" w:after="120"/>
      <w:jc w:val="left"/>
    </w:pPr>
    <w:rPr>
      <w:caps/>
      <w:szCs w:val="24"/>
    </w:rPr>
  </w:style>
  <w:style w:type="paragraph" w:styleId="35">
    <w:name w:val="toc 4"/>
    <w:basedOn w:val="1"/>
    <w:next w:val="1"/>
    <w:autoRedefine/>
    <w:semiHidden/>
    <w:qFormat/>
    <w:uiPriority w:val="0"/>
    <w:pPr>
      <w:ind w:left="630"/>
      <w:jc w:val="left"/>
    </w:pPr>
    <w:rPr>
      <w:szCs w:val="21"/>
    </w:rPr>
  </w:style>
  <w:style w:type="paragraph" w:styleId="36">
    <w:name w:val="index heading"/>
    <w:basedOn w:val="1"/>
    <w:next w:val="37"/>
    <w:autoRedefine/>
    <w:semiHidden/>
    <w:qFormat/>
    <w:uiPriority w:val="0"/>
    <w:rPr>
      <w:szCs w:val="20"/>
    </w:rPr>
  </w:style>
  <w:style w:type="paragraph" w:styleId="37">
    <w:name w:val="index 1"/>
    <w:basedOn w:val="1"/>
    <w:next w:val="1"/>
    <w:autoRedefine/>
    <w:semiHidden/>
    <w:qFormat/>
    <w:uiPriority w:val="0"/>
    <w:pPr>
      <w:jc w:val="center"/>
    </w:pPr>
    <w:rPr>
      <w:rFonts w:ascii="仿宋_GB2312" w:eastAsia="仿宋_GB2312"/>
      <w:b/>
      <w:bCs/>
      <w:sz w:val="28"/>
      <w:szCs w:val="20"/>
    </w:rPr>
  </w:style>
  <w:style w:type="paragraph" w:styleId="38">
    <w:name w:val="toc 6"/>
    <w:basedOn w:val="1"/>
    <w:next w:val="1"/>
    <w:autoRedefine/>
    <w:semiHidden/>
    <w:qFormat/>
    <w:uiPriority w:val="0"/>
    <w:pPr>
      <w:ind w:left="1050"/>
      <w:jc w:val="left"/>
    </w:pPr>
    <w:rPr>
      <w:szCs w:val="21"/>
    </w:rPr>
  </w:style>
  <w:style w:type="paragraph" w:styleId="39">
    <w:name w:val="Body Text Indent 3"/>
    <w:basedOn w:val="1"/>
    <w:link w:val="97"/>
    <w:autoRedefine/>
    <w:qFormat/>
    <w:uiPriority w:val="0"/>
    <w:pPr>
      <w:ind w:firstLine="645"/>
    </w:pPr>
    <w:rPr>
      <w:rFonts w:ascii="仿宋_GB2312" w:hAnsi="Arial" w:eastAsia="仿宋_GB2312"/>
      <w:color w:val="000000"/>
      <w:sz w:val="30"/>
      <w:szCs w:val="20"/>
    </w:rPr>
  </w:style>
  <w:style w:type="paragraph" w:styleId="40">
    <w:name w:val="index 7"/>
    <w:basedOn w:val="1"/>
    <w:next w:val="1"/>
    <w:autoRedefine/>
    <w:semiHidden/>
    <w:qFormat/>
    <w:uiPriority w:val="0"/>
    <w:pPr>
      <w:ind w:left="1200" w:leftChars="1200"/>
    </w:pPr>
    <w:rPr>
      <w:szCs w:val="20"/>
    </w:rPr>
  </w:style>
  <w:style w:type="paragraph" w:styleId="41">
    <w:name w:val="index 9"/>
    <w:basedOn w:val="1"/>
    <w:next w:val="1"/>
    <w:autoRedefine/>
    <w:semiHidden/>
    <w:qFormat/>
    <w:uiPriority w:val="0"/>
    <w:pPr>
      <w:ind w:left="1600" w:leftChars="1600"/>
    </w:pPr>
    <w:rPr>
      <w:szCs w:val="20"/>
    </w:rPr>
  </w:style>
  <w:style w:type="paragraph" w:styleId="42">
    <w:name w:val="toc 2"/>
    <w:basedOn w:val="1"/>
    <w:next w:val="1"/>
    <w:autoRedefine/>
    <w:qFormat/>
    <w:uiPriority w:val="39"/>
    <w:pPr>
      <w:tabs>
        <w:tab w:val="right" w:leader="dot" w:pos="9403"/>
      </w:tabs>
      <w:ind w:left="210"/>
      <w:jc w:val="left"/>
    </w:pPr>
    <w:rPr>
      <w:smallCaps/>
      <w:sz w:val="28"/>
      <w:szCs w:val="24"/>
    </w:rPr>
  </w:style>
  <w:style w:type="paragraph" w:styleId="43">
    <w:name w:val="toc 9"/>
    <w:basedOn w:val="1"/>
    <w:next w:val="1"/>
    <w:autoRedefine/>
    <w:semiHidden/>
    <w:qFormat/>
    <w:uiPriority w:val="0"/>
    <w:pPr>
      <w:ind w:left="1680"/>
      <w:jc w:val="left"/>
    </w:pPr>
    <w:rPr>
      <w:szCs w:val="21"/>
    </w:rPr>
  </w:style>
  <w:style w:type="paragraph" w:styleId="44">
    <w:name w:val="Body Text 2"/>
    <w:basedOn w:val="1"/>
    <w:link w:val="85"/>
    <w:autoRedefine/>
    <w:qFormat/>
    <w:uiPriority w:val="0"/>
    <w:rPr>
      <w:rFonts w:ascii="仿宋_GB2312" w:eastAsia="仿宋_GB2312"/>
      <w:b/>
      <w:sz w:val="24"/>
      <w:szCs w:val="20"/>
    </w:rPr>
  </w:style>
  <w:style w:type="paragraph" w:styleId="45">
    <w:name w:val="HTML Preformatted"/>
    <w:basedOn w:val="1"/>
    <w:link w:val="90"/>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46">
    <w:name w:val="Normal (Web)"/>
    <w:basedOn w:val="1"/>
    <w:autoRedefine/>
    <w:qFormat/>
    <w:uiPriority w:val="0"/>
    <w:pPr>
      <w:widowControl/>
      <w:spacing w:before="100" w:beforeAutospacing="1" w:after="100" w:afterAutospacing="1"/>
      <w:jc w:val="left"/>
    </w:pPr>
    <w:rPr>
      <w:rFonts w:ascii="宋体" w:hAnsi="宋体"/>
      <w:kern w:val="0"/>
      <w:sz w:val="24"/>
      <w:szCs w:val="24"/>
    </w:rPr>
  </w:style>
  <w:style w:type="paragraph" w:styleId="47">
    <w:name w:val="index 2"/>
    <w:basedOn w:val="1"/>
    <w:next w:val="1"/>
    <w:autoRedefine/>
    <w:semiHidden/>
    <w:qFormat/>
    <w:uiPriority w:val="0"/>
    <w:pPr>
      <w:ind w:left="200" w:leftChars="200"/>
    </w:pPr>
    <w:rPr>
      <w:szCs w:val="20"/>
    </w:rPr>
  </w:style>
  <w:style w:type="paragraph" w:styleId="48">
    <w:name w:val="annotation subject"/>
    <w:basedOn w:val="18"/>
    <w:next w:val="18"/>
    <w:link w:val="89"/>
    <w:autoRedefine/>
    <w:unhideWhenUsed/>
    <w:qFormat/>
    <w:uiPriority w:val="99"/>
    <w:rPr>
      <w:b/>
      <w:bCs/>
      <w:szCs w:val="22"/>
    </w:rPr>
  </w:style>
  <w:style w:type="paragraph" w:styleId="49">
    <w:name w:val="Body Text First Indent"/>
    <w:basedOn w:val="1"/>
    <w:link w:val="110"/>
    <w:autoRedefine/>
    <w:qFormat/>
    <w:uiPriority w:val="0"/>
    <w:pPr>
      <w:autoSpaceDE w:val="0"/>
      <w:autoSpaceDN w:val="0"/>
      <w:adjustRightInd w:val="0"/>
      <w:spacing w:line="360" w:lineRule="auto"/>
      <w:ind w:right="-24" w:rightChars="-10" w:firstLine="425" w:firstLineChars="225"/>
    </w:pPr>
    <w:rPr>
      <w:rFonts w:ascii="Arial" w:hAnsi="Arial" w:eastAsia="仿宋_GB2312"/>
      <w:sz w:val="24"/>
      <w:szCs w:val="32"/>
    </w:rPr>
  </w:style>
  <w:style w:type="character" w:styleId="52">
    <w:name w:val="Strong"/>
    <w:autoRedefine/>
    <w:qFormat/>
    <w:uiPriority w:val="99"/>
    <w:rPr>
      <w:b/>
      <w:bCs/>
    </w:rPr>
  </w:style>
  <w:style w:type="character" w:styleId="53">
    <w:name w:val="page number"/>
    <w:autoRedefine/>
    <w:qFormat/>
    <w:uiPriority w:val="99"/>
  </w:style>
  <w:style w:type="character" w:styleId="54">
    <w:name w:val="FollowedHyperlink"/>
    <w:autoRedefine/>
    <w:qFormat/>
    <w:uiPriority w:val="0"/>
    <w:rPr>
      <w:color w:val="800080"/>
      <w:u w:val="single"/>
    </w:rPr>
  </w:style>
  <w:style w:type="character" w:styleId="55">
    <w:name w:val="Emphasis"/>
    <w:autoRedefine/>
    <w:qFormat/>
    <w:uiPriority w:val="0"/>
    <w:rPr>
      <w:color w:val="CC0033"/>
    </w:rPr>
  </w:style>
  <w:style w:type="character" w:styleId="56">
    <w:name w:val="Hyperlink"/>
    <w:autoRedefine/>
    <w:qFormat/>
    <w:uiPriority w:val="99"/>
    <w:rPr>
      <w:color w:val="0000FF"/>
      <w:u w:val="single"/>
    </w:rPr>
  </w:style>
  <w:style w:type="character" w:styleId="57">
    <w:name w:val="annotation reference"/>
    <w:autoRedefine/>
    <w:unhideWhenUsed/>
    <w:qFormat/>
    <w:uiPriority w:val="0"/>
    <w:rPr>
      <w:sz w:val="21"/>
      <w:szCs w:val="21"/>
    </w:rPr>
  </w:style>
  <w:style w:type="paragraph" w:customStyle="1" w:styleId="58">
    <w:name w:val="_Style 3"/>
    <w:basedOn w:val="1"/>
    <w:autoRedefine/>
    <w:qFormat/>
    <w:uiPriority w:val="0"/>
    <w:pPr>
      <w:ind w:firstLine="420" w:firstLineChars="200"/>
    </w:pPr>
  </w:style>
  <w:style w:type="paragraph" w:customStyle="1" w:styleId="59">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60">
    <w:name w:val="Char Char Char Char"/>
    <w:basedOn w:val="1"/>
    <w:autoRedefine/>
    <w:qFormat/>
    <w:uiPriority w:val="0"/>
    <w:pPr>
      <w:widowControl/>
      <w:spacing w:after="160" w:line="240" w:lineRule="exact"/>
      <w:jc w:val="left"/>
    </w:pPr>
    <w:rPr>
      <w:kern w:val="0"/>
      <w:sz w:val="24"/>
      <w:szCs w:val="24"/>
    </w:rPr>
  </w:style>
  <w:style w:type="paragraph" w:customStyle="1" w:styleId="61">
    <w:name w:val="样式1"/>
    <w:basedOn w:val="1"/>
    <w:link w:val="100"/>
    <w:autoRedefine/>
    <w:qFormat/>
    <w:uiPriority w:val="0"/>
    <w:pPr>
      <w:numPr>
        <w:ilvl w:val="0"/>
        <w:numId w:val="1"/>
      </w:numPr>
      <w:adjustRightInd w:val="0"/>
      <w:textAlignment w:val="baseline"/>
    </w:pPr>
    <w:rPr>
      <w:rFonts w:ascii="宋体" w:hAnsi="宋体"/>
      <w:kern w:val="0"/>
      <w:szCs w:val="20"/>
    </w:rPr>
  </w:style>
  <w:style w:type="paragraph" w:customStyle="1" w:styleId="62">
    <w:name w:val="一级标题"/>
    <w:basedOn w:val="1"/>
    <w:next w:val="63"/>
    <w:autoRedefine/>
    <w:qFormat/>
    <w:uiPriority w:val="0"/>
    <w:pPr>
      <w:numPr>
        <w:ilvl w:val="2"/>
        <w:numId w:val="2"/>
      </w:numPr>
      <w:tabs>
        <w:tab w:val="left" w:pos="425"/>
      </w:tabs>
      <w:spacing w:afterLines="100"/>
      <w:ind w:left="850" w:hanging="425"/>
      <w:outlineLvl w:val="0"/>
    </w:pPr>
    <w:rPr>
      <w:rFonts w:ascii="黑体" w:eastAsia="黑体"/>
      <w:sz w:val="30"/>
      <w:szCs w:val="28"/>
    </w:rPr>
  </w:style>
  <w:style w:type="paragraph" w:customStyle="1" w:styleId="63">
    <w:name w:val="二级标题"/>
    <w:basedOn w:val="1"/>
    <w:next w:val="64"/>
    <w:autoRedefine/>
    <w:qFormat/>
    <w:uiPriority w:val="0"/>
    <w:pPr>
      <w:numPr>
        <w:ilvl w:val="0"/>
        <w:numId w:val="2"/>
      </w:numPr>
      <w:tabs>
        <w:tab w:val="left" w:pos="992"/>
        <w:tab w:val="clear" w:pos="425"/>
      </w:tabs>
      <w:ind w:left="992" w:hanging="567"/>
      <w:outlineLvl w:val="1"/>
    </w:pPr>
    <w:rPr>
      <w:rFonts w:ascii="黑体" w:eastAsia="黑体"/>
      <w:sz w:val="28"/>
      <w:szCs w:val="24"/>
    </w:rPr>
  </w:style>
  <w:style w:type="paragraph" w:customStyle="1" w:styleId="64">
    <w:name w:val="文章正文"/>
    <w:basedOn w:val="1"/>
    <w:autoRedefine/>
    <w:qFormat/>
    <w:uiPriority w:val="0"/>
    <w:pPr>
      <w:numPr>
        <w:ilvl w:val="1"/>
        <w:numId w:val="2"/>
      </w:numPr>
      <w:spacing w:beforeLines="50" w:afterLines="50" w:line="320" w:lineRule="exact"/>
      <w:ind w:left="0" w:firstLine="200" w:firstLineChars="200"/>
    </w:pPr>
    <w:rPr>
      <w:rFonts w:ascii="仿宋_GB2312" w:eastAsia="仿宋_GB2312"/>
      <w:sz w:val="28"/>
      <w:szCs w:val="24"/>
    </w:rPr>
  </w:style>
  <w:style w:type="paragraph" w:customStyle="1" w:styleId="65">
    <w:name w:val="基本文字 Char"/>
    <w:basedOn w:val="1"/>
    <w:autoRedefine/>
    <w:qFormat/>
    <w:uiPriority w:val="0"/>
    <w:pPr>
      <w:spacing w:before="156" w:line="400" w:lineRule="atLeast"/>
      <w:ind w:firstLine="540" w:firstLineChars="225"/>
    </w:pPr>
    <w:rPr>
      <w:sz w:val="24"/>
      <w:szCs w:val="20"/>
    </w:rPr>
  </w:style>
  <w:style w:type="paragraph" w:customStyle="1" w:styleId="66">
    <w:name w:val="D&amp;L"/>
    <w:basedOn w:val="33"/>
    <w:autoRedefine/>
    <w:qFormat/>
    <w:uiPriority w:val="0"/>
    <w:pPr>
      <w:pBdr>
        <w:bottom w:val="thinThickSmallGap" w:color="auto" w:sz="18" w:space="1"/>
      </w:pBdr>
      <w:adjustRightInd w:val="0"/>
      <w:snapToGrid/>
      <w:spacing w:line="240" w:lineRule="atLeast"/>
      <w:textAlignment w:val="baseline"/>
    </w:pPr>
    <w:rPr>
      <w:kern w:val="0"/>
      <w:sz w:val="24"/>
    </w:rPr>
  </w:style>
  <w:style w:type="paragraph" w:customStyle="1" w:styleId="67">
    <w:name w:val="Char"/>
    <w:basedOn w:val="1"/>
    <w:autoRedefine/>
    <w:qFormat/>
    <w:uiPriority w:val="0"/>
    <w:rPr>
      <w:rFonts w:ascii="Tahoma" w:hAnsi="Tahoma"/>
      <w:sz w:val="24"/>
      <w:szCs w:val="20"/>
    </w:rPr>
  </w:style>
  <w:style w:type="paragraph" w:customStyle="1" w:styleId="68">
    <w:name w:val="font7"/>
    <w:basedOn w:val="1"/>
    <w:autoRedefine/>
    <w:qFormat/>
    <w:uiPriority w:val="0"/>
    <w:pPr>
      <w:widowControl/>
      <w:spacing w:before="100" w:beforeAutospacing="1" w:after="100" w:afterAutospacing="1"/>
      <w:jc w:val="left"/>
    </w:pPr>
    <w:rPr>
      <w:rFonts w:hint="eastAsia" w:ascii="幼圆" w:hAnsi="宋体" w:eastAsia="幼圆"/>
      <w:kern w:val="0"/>
      <w:sz w:val="32"/>
      <w:szCs w:val="32"/>
    </w:rPr>
  </w:style>
  <w:style w:type="paragraph" w:customStyle="1" w:styleId="69">
    <w:name w:val="Char Char Char Char Char Char Char1 Char"/>
    <w:basedOn w:val="1"/>
    <w:autoRedefine/>
    <w:qFormat/>
    <w:uiPriority w:val="0"/>
    <w:rPr>
      <w:rFonts w:ascii="Tahoma" w:hAnsi="Tahoma"/>
      <w:sz w:val="24"/>
      <w:szCs w:val="20"/>
    </w:rPr>
  </w:style>
  <w:style w:type="paragraph" w:customStyle="1" w:styleId="70">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71">
    <w:name w:val="正文_0"/>
    <w:autoRedefine/>
    <w:qFormat/>
    <w:uiPriority w:val="0"/>
    <w:pPr>
      <w:widowControl w:val="0"/>
      <w:jc w:val="both"/>
    </w:pPr>
    <w:rPr>
      <w:rFonts w:ascii="Tahoma" w:hAnsi="Tahoma" w:eastAsia="宋体" w:cs="Tahoma"/>
      <w:kern w:val="2"/>
      <w:sz w:val="21"/>
      <w:szCs w:val="22"/>
      <w:lang w:val="en-US" w:eastAsia="zh-CN" w:bidi="ar-SA"/>
    </w:rPr>
  </w:style>
  <w:style w:type="paragraph" w:customStyle="1" w:styleId="72">
    <w:name w:val="font8"/>
    <w:basedOn w:val="1"/>
    <w:autoRedefine/>
    <w:qFormat/>
    <w:uiPriority w:val="0"/>
    <w:pPr>
      <w:widowControl/>
      <w:spacing w:before="100" w:beforeAutospacing="1" w:after="100" w:afterAutospacing="1"/>
      <w:jc w:val="left"/>
    </w:pPr>
    <w:rPr>
      <w:rFonts w:hint="eastAsia" w:ascii="宋体" w:hAnsi="宋体"/>
      <w:color w:val="000000"/>
      <w:kern w:val="0"/>
      <w:sz w:val="32"/>
      <w:szCs w:val="32"/>
    </w:rPr>
  </w:style>
  <w:style w:type="paragraph" w:customStyle="1" w:styleId="73">
    <w:name w:val="正文（缩进）"/>
    <w:basedOn w:val="1"/>
    <w:autoRedefine/>
    <w:qFormat/>
    <w:uiPriority w:val="0"/>
    <w:pPr>
      <w:widowControl/>
      <w:spacing w:before="156" w:after="156"/>
      <w:ind w:firstLine="480" w:firstLineChars="200"/>
      <w:jc w:val="left"/>
    </w:pPr>
    <w:rPr>
      <w:rFonts w:ascii="仿宋_GB2312" w:eastAsia="仿宋_GB2312"/>
      <w:kern w:val="0"/>
      <w:sz w:val="24"/>
      <w:szCs w:val="24"/>
    </w:rPr>
  </w:style>
  <w:style w:type="paragraph" w:customStyle="1" w:styleId="74">
    <w:name w:val="font9"/>
    <w:basedOn w:val="1"/>
    <w:autoRedefine/>
    <w:qFormat/>
    <w:uiPriority w:val="0"/>
    <w:pPr>
      <w:widowControl/>
      <w:spacing w:before="100" w:beforeAutospacing="1" w:after="100" w:afterAutospacing="1"/>
      <w:jc w:val="left"/>
    </w:pPr>
    <w:rPr>
      <w:rFonts w:hint="eastAsia" w:ascii="幼圆" w:hAnsi="宋体" w:eastAsia="幼圆"/>
      <w:kern w:val="0"/>
      <w:sz w:val="32"/>
      <w:szCs w:val="32"/>
    </w:rPr>
  </w:style>
  <w:style w:type="paragraph" w:customStyle="1" w:styleId="75">
    <w:name w:val="xl3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76">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7">
    <w:name w:val="font6"/>
    <w:basedOn w:val="1"/>
    <w:autoRedefine/>
    <w:qFormat/>
    <w:uiPriority w:val="99"/>
    <w:pPr>
      <w:widowControl/>
      <w:spacing w:before="100" w:beforeAutospacing="1" w:after="100" w:afterAutospacing="1"/>
      <w:jc w:val="left"/>
    </w:pPr>
    <w:rPr>
      <w:rFonts w:hint="eastAsia" w:ascii="宋体" w:hAnsi="宋体"/>
      <w:kern w:val="0"/>
      <w:sz w:val="18"/>
      <w:szCs w:val="18"/>
    </w:rPr>
  </w:style>
  <w:style w:type="paragraph" w:styleId="78">
    <w:name w:val="List Paragraph"/>
    <w:basedOn w:val="1"/>
    <w:autoRedefine/>
    <w:qFormat/>
    <w:uiPriority w:val="0"/>
    <w:pPr>
      <w:ind w:firstLine="420" w:firstLineChars="200"/>
    </w:pPr>
  </w:style>
  <w:style w:type="paragraph" w:customStyle="1" w:styleId="79">
    <w:name w:val="xl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幼圆" w:hAnsi="宋体" w:eastAsia="幼圆"/>
      <w:kern w:val="0"/>
      <w:sz w:val="32"/>
      <w:szCs w:val="32"/>
    </w:rPr>
  </w:style>
  <w:style w:type="paragraph" w:customStyle="1" w:styleId="80">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幼圆" w:hAnsi="宋体" w:eastAsia="幼圆"/>
      <w:kern w:val="0"/>
      <w:sz w:val="32"/>
      <w:szCs w:val="32"/>
    </w:rPr>
  </w:style>
  <w:style w:type="paragraph" w:customStyle="1" w:styleId="81">
    <w:name w:val="p0"/>
    <w:basedOn w:val="1"/>
    <w:autoRedefine/>
    <w:qFormat/>
    <w:uiPriority w:val="0"/>
    <w:pPr>
      <w:widowControl/>
    </w:pPr>
    <w:rPr>
      <w:kern w:val="0"/>
      <w:szCs w:val="21"/>
    </w:rPr>
  </w:style>
  <w:style w:type="paragraph" w:customStyle="1" w:styleId="82">
    <w:name w:val="SUR-需求定义-第4级"/>
    <w:basedOn w:val="8"/>
    <w:next w:val="1"/>
    <w:autoRedefine/>
    <w:qFormat/>
    <w:uiPriority w:val="0"/>
    <w:pPr>
      <w:numPr>
        <w:ilvl w:val="3"/>
        <w:numId w:val="3"/>
      </w:numPr>
      <w:tabs>
        <w:tab w:val="left" w:pos="1080"/>
        <w:tab w:val="clear" w:pos="2934"/>
      </w:tabs>
      <w:spacing w:before="0" w:after="0"/>
      <w:ind w:left="-283" w:firstLine="283"/>
      <w:jc w:val="left"/>
    </w:pPr>
    <w:rPr>
      <w:rFonts w:cs="Arial"/>
      <w:b w:val="0"/>
      <w:color w:val="0000FF"/>
      <w:sz w:val="24"/>
      <w:szCs w:val="24"/>
    </w:rPr>
  </w:style>
  <w:style w:type="paragraph" w:customStyle="1" w:styleId="83">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4">
    <w:name w:val="日期 Char"/>
    <w:link w:val="29"/>
    <w:autoRedefine/>
    <w:qFormat/>
    <w:uiPriority w:val="0"/>
    <w:rPr>
      <w:rFonts w:ascii="Times New Roman" w:hAnsi="Times New Roman"/>
      <w:b/>
      <w:kern w:val="2"/>
      <w:sz w:val="28"/>
    </w:rPr>
  </w:style>
  <w:style w:type="character" w:customStyle="1" w:styleId="85">
    <w:name w:val="正文文本 2 Char"/>
    <w:link w:val="44"/>
    <w:autoRedefine/>
    <w:qFormat/>
    <w:uiPriority w:val="0"/>
    <w:rPr>
      <w:rFonts w:ascii="仿宋_GB2312" w:hAnsi="Times New Roman" w:eastAsia="仿宋_GB2312"/>
      <w:b/>
      <w:kern w:val="2"/>
      <w:sz w:val="24"/>
    </w:rPr>
  </w:style>
  <w:style w:type="character" w:customStyle="1" w:styleId="86">
    <w:name w:val="正文文本缩进 2 Char"/>
    <w:link w:val="30"/>
    <w:autoRedefine/>
    <w:qFormat/>
    <w:uiPriority w:val="0"/>
    <w:rPr>
      <w:rFonts w:ascii="Arial" w:hAnsi="Arial" w:eastAsia="仿宋_GB2312"/>
      <w:kern w:val="2"/>
      <w:sz w:val="32"/>
    </w:rPr>
  </w:style>
  <w:style w:type="character" w:customStyle="1" w:styleId="87">
    <w:name w:val="Char Char1"/>
    <w:autoRedefine/>
    <w:qFormat/>
    <w:uiPriority w:val="99"/>
    <w:rPr>
      <w:rFonts w:cs="Times New Roman"/>
      <w:kern w:val="2"/>
      <w:sz w:val="18"/>
      <w:szCs w:val="18"/>
    </w:rPr>
  </w:style>
  <w:style w:type="character" w:customStyle="1" w:styleId="88">
    <w:name w:val="正文文本缩进 Char"/>
    <w:link w:val="3"/>
    <w:autoRedefine/>
    <w:qFormat/>
    <w:uiPriority w:val="0"/>
    <w:rPr>
      <w:rFonts w:ascii="楷体_GB2312" w:hAnsi="Times New Roman" w:eastAsia="楷体_GB2312"/>
      <w:kern w:val="2"/>
      <w:sz w:val="32"/>
    </w:rPr>
  </w:style>
  <w:style w:type="character" w:customStyle="1" w:styleId="89">
    <w:name w:val="批注主题 Char"/>
    <w:link w:val="48"/>
    <w:autoRedefine/>
    <w:semiHidden/>
    <w:qFormat/>
    <w:uiPriority w:val="99"/>
    <w:rPr>
      <w:rFonts w:ascii="Times New Roman" w:hAnsi="Times New Roman"/>
      <w:b/>
      <w:bCs/>
      <w:kern w:val="2"/>
      <w:sz w:val="21"/>
      <w:szCs w:val="22"/>
    </w:rPr>
  </w:style>
  <w:style w:type="character" w:customStyle="1" w:styleId="90">
    <w:name w:val="HTML 预设格式 Char"/>
    <w:link w:val="45"/>
    <w:autoRedefine/>
    <w:qFormat/>
    <w:uiPriority w:val="0"/>
    <w:rPr>
      <w:rFonts w:ascii="Arial" w:hAnsi="Arial"/>
      <w:sz w:val="24"/>
      <w:szCs w:val="24"/>
    </w:rPr>
  </w:style>
  <w:style w:type="character" w:customStyle="1" w:styleId="91">
    <w:name w:val="纯文本 Char1"/>
    <w:link w:val="26"/>
    <w:autoRedefine/>
    <w:qFormat/>
    <w:locked/>
    <w:uiPriority w:val="0"/>
    <w:rPr>
      <w:rFonts w:ascii="宋体" w:hAnsi="Courier New"/>
      <w:kern w:val="2"/>
      <w:sz w:val="21"/>
    </w:rPr>
  </w:style>
  <w:style w:type="character" w:customStyle="1" w:styleId="92">
    <w:name w:val="页脚 Char"/>
    <w:link w:val="32"/>
    <w:autoRedefine/>
    <w:qFormat/>
    <w:uiPriority w:val="99"/>
    <w:rPr>
      <w:rFonts w:ascii="Times New Roman" w:hAnsi="Times New Roman"/>
      <w:kern w:val="2"/>
      <w:sz w:val="18"/>
    </w:rPr>
  </w:style>
  <w:style w:type="character" w:customStyle="1" w:styleId="93">
    <w:name w:val="标题 7 Char"/>
    <w:link w:val="11"/>
    <w:autoRedefine/>
    <w:qFormat/>
    <w:uiPriority w:val="0"/>
    <w:rPr>
      <w:rFonts w:ascii="Arial" w:hAnsi="Arial" w:eastAsia="仿宋_GB2312" w:cs="Arial"/>
      <w:b/>
      <w:bCs/>
      <w:spacing w:val="-4"/>
      <w:kern w:val="2"/>
      <w:sz w:val="24"/>
      <w:szCs w:val="24"/>
    </w:rPr>
  </w:style>
  <w:style w:type="character" w:customStyle="1" w:styleId="94">
    <w:name w:val="标题 6 Char"/>
    <w:link w:val="10"/>
    <w:autoRedefine/>
    <w:qFormat/>
    <w:uiPriority w:val="0"/>
    <w:rPr>
      <w:rFonts w:ascii="宋体" w:hAnsi="宋体"/>
      <w:sz w:val="28"/>
    </w:rPr>
  </w:style>
  <w:style w:type="character" w:customStyle="1" w:styleId="95">
    <w:name w:val="标题 5 Char"/>
    <w:link w:val="9"/>
    <w:autoRedefine/>
    <w:qFormat/>
    <w:uiPriority w:val="0"/>
    <w:rPr>
      <w:rFonts w:ascii="宋体" w:hAnsi="Arial"/>
      <w:bCs/>
      <w:kern w:val="2"/>
      <w:sz w:val="28"/>
    </w:rPr>
  </w:style>
  <w:style w:type="character" w:customStyle="1" w:styleId="96">
    <w:name w:val="标题 4 Char"/>
    <w:link w:val="8"/>
    <w:autoRedefine/>
    <w:qFormat/>
    <w:uiPriority w:val="0"/>
    <w:rPr>
      <w:rFonts w:ascii="Arial" w:hAnsi="Arial" w:eastAsia="黑体"/>
      <w:b/>
      <w:bCs/>
      <w:kern w:val="2"/>
      <w:sz w:val="28"/>
      <w:szCs w:val="28"/>
    </w:rPr>
  </w:style>
  <w:style w:type="character" w:customStyle="1" w:styleId="97">
    <w:name w:val="正文文本缩进 3 Char"/>
    <w:link w:val="39"/>
    <w:autoRedefine/>
    <w:qFormat/>
    <w:uiPriority w:val="0"/>
    <w:rPr>
      <w:rFonts w:ascii="仿宋_GB2312" w:hAnsi="Arial" w:eastAsia="仿宋_GB2312"/>
      <w:color w:val="000000"/>
      <w:kern w:val="2"/>
      <w:sz w:val="30"/>
    </w:rPr>
  </w:style>
  <w:style w:type="character" w:customStyle="1" w:styleId="98">
    <w:name w:val="正文文本 Char"/>
    <w:link w:val="21"/>
    <w:autoRedefine/>
    <w:qFormat/>
    <w:uiPriority w:val="0"/>
    <w:rPr>
      <w:rFonts w:ascii="宋体" w:hAnsi="Arial"/>
      <w:kern w:val="2"/>
      <w:sz w:val="28"/>
    </w:rPr>
  </w:style>
  <w:style w:type="character" w:customStyle="1" w:styleId="99">
    <w:name w:val="文档结构图 Char"/>
    <w:link w:val="16"/>
    <w:autoRedefine/>
    <w:semiHidden/>
    <w:qFormat/>
    <w:uiPriority w:val="0"/>
    <w:rPr>
      <w:rFonts w:ascii="Times New Roman" w:hAnsi="Times New Roman"/>
      <w:kern w:val="2"/>
      <w:sz w:val="21"/>
      <w:shd w:val="clear" w:color="auto" w:fill="000080"/>
    </w:rPr>
  </w:style>
  <w:style w:type="character" w:customStyle="1" w:styleId="100">
    <w:name w:val="样式1 Char Char"/>
    <w:link w:val="61"/>
    <w:autoRedefine/>
    <w:qFormat/>
    <w:locked/>
    <w:uiPriority w:val="0"/>
    <w:rPr>
      <w:rFonts w:ascii="宋体" w:hAnsi="宋体"/>
      <w:sz w:val="21"/>
    </w:rPr>
  </w:style>
  <w:style w:type="character" w:customStyle="1" w:styleId="101">
    <w:name w:val="批注文字 Char"/>
    <w:link w:val="18"/>
    <w:autoRedefine/>
    <w:qFormat/>
    <w:uiPriority w:val="0"/>
    <w:rPr>
      <w:rFonts w:ascii="Times New Roman" w:hAnsi="Times New Roman"/>
      <w:kern w:val="2"/>
      <w:sz w:val="21"/>
    </w:rPr>
  </w:style>
  <w:style w:type="character" w:customStyle="1" w:styleId="102">
    <w:name w:val="页眉 Char"/>
    <w:link w:val="33"/>
    <w:autoRedefine/>
    <w:qFormat/>
    <w:uiPriority w:val="0"/>
    <w:rPr>
      <w:rFonts w:ascii="Times New Roman" w:hAnsi="Times New Roman"/>
      <w:kern w:val="2"/>
      <w:sz w:val="18"/>
    </w:rPr>
  </w:style>
  <w:style w:type="character" w:customStyle="1" w:styleId="103">
    <w:name w:val="正文文本 3 Char"/>
    <w:link w:val="20"/>
    <w:autoRedefine/>
    <w:qFormat/>
    <w:uiPriority w:val="0"/>
    <w:rPr>
      <w:rFonts w:ascii="黑体" w:hAnsi="Arial" w:eastAsia="黑体"/>
      <w:b/>
      <w:kern w:val="2"/>
      <w:sz w:val="28"/>
    </w:rPr>
  </w:style>
  <w:style w:type="character" w:customStyle="1" w:styleId="104">
    <w:name w:val="标题 1 Char"/>
    <w:link w:val="5"/>
    <w:autoRedefine/>
    <w:qFormat/>
    <w:uiPriority w:val="99"/>
    <w:rPr>
      <w:rFonts w:ascii="Times New Roman" w:hAnsi="Times New Roman"/>
      <w:b/>
      <w:bCs/>
      <w:kern w:val="44"/>
      <w:sz w:val="30"/>
      <w:szCs w:val="44"/>
    </w:rPr>
  </w:style>
  <w:style w:type="character" w:customStyle="1" w:styleId="105">
    <w:name w:val="Char Char"/>
    <w:autoRedefine/>
    <w:qFormat/>
    <w:uiPriority w:val="99"/>
    <w:rPr>
      <w:rFonts w:cs="Times New Roman"/>
      <w:kern w:val="2"/>
      <w:sz w:val="18"/>
      <w:szCs w:val="18"/>
    </w:rPr>
  </w:style>
  <w:style w:type="character" w:customStyle="1" w:styleId="106">
    <w:name w:val="HTML 预设格式 Char1"/>
    <w:autoRedefine/>
    <w:semiHidden/>
    <w:qFormat/>
    <w:uiPriority w:val="99"/>
    <w:rPr>
      <w:rFonts w:ascii="Courier New" w:hAnsi="Courier New" w:cs="Courier New"/>
      <w:kern w:val="2"/>
    </w:rPr>
  </w:style>
  <w:style w:type="character" w:customStyle="1" w:styleId="107">
    <w:name w:val="标题 3 Char"/>
    <w:link w:val="7"/>
    <w:autoRedefine/>
    <w:qFormat/>
    <w:uiPriority w:val="0"/>
    <w:rPr>
      <w:rFonts w:ascii="宋体" w:hAnsi="Times New Roman"/>
      <w:b/>
      <w:bCs/>
      <w:kern w:val="2"/>
      <w:sz w:val="32"/>
      <w:szCs w:val="32"/>
    </w:rPr>
  </w:style>
  <w:style w:type="character" w:customStyle="1" w:styleId="108">
    <w:name w:val="标题 2 Char"/>
    <w:link w:val="6"/>
    <w:autoRedefine/>
    <w:qFormat/>
    <w:uiPriority w:val="99"/>
    <w:rPr>
      <w:rFonts w:ascii="Arial" w:hAnsi="Arial" w:eastAsia="黑体"/>
      <w:b/>
      <w:bCs/>
      <w:kern w:val="2"/>
      <w:sz w:val="32"/>
      <w:szCs w:val="32"/>
    </w:rPr>
  </w:style>
  <w:style w:type="character" w:customStyle="1" w:styleId="109">
    <w:name w:val="批注框文本 Char"/>
    <w:link w:val="31"/>
    <w:autoRedefine/>
    <w:semiHidden/>
    <w:qFormat/>
    <w:uiPriority w:val="99"/>
    <w:rPr>
      <w:rFonts w:ascii="Times New Roman" w:hAnsi="Times New Roman"/>
      <w:kern w:val="2"/>
      <w:sz w:val="18"/>
      <w:szCs w:val="18"/>
    </w:rPr>
  </w:style>
  <w:style w:type="character" w:customStyle="1" w:styleId="110">
    <w:name w:val="正文首行缩进 Char"/>
    <w:link w:val="49"/>
    <w:autoRedefine/>
    <w:qFormat/>
    <w:uiPriority w:val="0"/>
    <w:rPr>
      <w:rFonts w:ascii="Arial" w:hAnsi="Arial" w:eastAsia="仿宋_GB2312" w:cs="Arial"/>
      <w:kern w:val="2"/>
      <w:sz w:val="24"/>
      <w:szCs w:val="32"/>
    </w:rPr>
  </w:style>
  <w:style w:type="character" w:customStyle="1" w:styleId="111">
    <w:name w:val="纯文本 Char"/>
    <w:autoRedefine/>
    <w:semiHidden/>
    <w:qFormat/>
    <w:uiPriority w:val="99"/>
    <w:rPr>
      <w:rFonts w:ascii="宋体" w:hAnsi="Courier New" w:cs="Courier New"/>
      <w:kern w:val="2"/>
      <w:sz w:val="21"/>
      <w:szCs w:val="21"/>
    </w:rPr>
  </w:style>
  <w:style w:type="paragraph" w:customStyle="1" w:styleId="112">
    <w:name w:val="列出段落1"/>
    <w:basedOn w:val="1"/>
    <w:autoRedefine/>
    <w:qFormat/>
    <w:uiPriority w:val="0"/>
    <w:pPr>
      <w:ind w:firstLine="420" w:firstLineChars="200"/>
    </w:pPr>
  </w:style>
  <w:style w:type="paragraph" w:customStyle="1" w:styleId="113">
    <w:name w:val="Normal_1"/>
    <w:autoRedefine/>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1C8D7B-C913-4948-A320-742049C803C8}">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36</Pages>
  <Words>15367</Words>
  <Characters>15957</Characters>
  <Lines>164</Lines>
  <Paragraphs>46</Paragraphs>
  <TotalTime>4</TotalTime>
  <ScaleCrop>false</ScaleCrop>
  <LinksUpToDate>false</LinksUpToDate>
  <CharactersWithSpaces>16910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2020-10-27T00:59:00Z</dcterms:created>
  <dc:creator>越友中</dc:creator>
  <cp:lastModifiedBy>耶！</cp:lastModifiedBy>
  <cp:lastPrinted>2019-06-21T00:52:00Z</cp:lastPrinted>
  <dcterms:modified xsi:type="dcterms:W3CDTF">2024-03-21T00:38:11Z</dcterms:modified>
  <cp:revision>243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FAE8EFBE030E49F09C21730D297FE0EC_13</vt:lpwstr>
  </property>
</Properties>
</file>