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b/>
          <w:color w:val="000000" w:themeColor="text1"/>
          <w:sz w:val="52"/>
          <w:szCs w:val="52"/>
          <w14:textFill>
            <w14:solidFill>
              <w14:schemeClr w14:val="tx1"/>
            </w14:solidFill>
          </w14:textFill>
        </w:rPr>
      </w:pPr>
      <w:r>
        <w:rPr>
          <w:rFonts w:hint="eastAsia" w:ascii="宋体" w:hAnsi="宋体"/>
          <w:b/>
          <w:bCs/>
          <w:color w:val="000000" w:themeColor="text1"/>
          <w:sz w:val="52"/>
          <w:szCs w:val="52"/>
          <w:lang w:val="en-US" w:eastAsia="zh-CN"/>
          <w14:textFill>
            <w14:solidFill>
              <w14:schemeClr w14:val="tx1"/>
            </w14:solidFill>
          </w14:textFill>
        </w:rPr>
        <w:t>服务</w:t>
      </w:r>
      <w:r>
        <w:rPr>
          <w:rFonts w:hint="eastAsia" w:ascii="宋体" w:hAnsi="宋体"/>
          <w:b/>
          <w:bCs/>
          <w:color w:val="000000" w:themeColor="text1"/>
          <w:sz w:val="52"/>
          <w:szCs w:val="52"/>
          <w14:textFill>
            <w14:solidFill>
              <w14:schemeClr w14:val="tx1"/>
            </w14:solidFill>
          </w14:textFill>
        </w:rPr>
        <w:t>类标准</w:t>
      </w:r>
      <w:r>
        <w:rPr>
          <w:rFonts w:hint="eastAsia" w:ascii="微软简标宋"/>
          <w:b/>
          <w:bCs/>
          <w:color w:val="000000" w:themeColor="text1"/>
          <w:sz w:val="52"/>
          <w14:textFill>
            <w14:solidFill>
              <w14:schemeClr w14:val="tx1"/>
            </w14:solidFill>
          </w14:textFill>
        </w:rPr>
        <w:t>招标文件</w:t>
      </w: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5220"/>
          <w:tab w:val="left" w:pos="8820"/>
        </w:tabs>
        <w:spacing w:line="500" w:lineRule="exact"/>
        <w:rPr>
          <w:rFonts w:ascii="微软简标宋"/>
          <w:bCs/>
          <w:color w:val="000000" w:themeColor="text1"/>
          <w:sz w:val="52"/>
          <w14:textFill>
            <w14:solidFill>
              <w14:schemeClr w14:val="tx1"/>
            </w14:solidFill>
          </w14:textFill>
        </w:rPr>
      </w:pPr>
      <w:r>
        <w:rPr>
          <w:rFonts w:ascii="微软简标宋"/>
          <w:bCs/>
          <w:color w:val="000000" w:themeColor="text1"/>
          <w:sz w:val="52"/>
          <w14:textFill>
            <w14:solidFill>
              <w14:schemeClr w14:val="tx1"/>
            </w14:solidFill>
          </w14:textFill>
        </w:rPr>
        <w:tab/>
      </w:r>
      <w:r>
        <w:rPr>
          <w:rFonts w:ascii="微软简标宋"/>
          <w:bCs/>
          <w:color w:val="000000" w:themeColor="text1"/>
          <w:sz w:val="52"/>
          <w14:textFill>
            <w14:solidFill>
              <w14:schemeClr w14:val="tx1"/>
            </w14:solidFill>
          </w14:textFill>
        </w:rPr>
        <w:tab/>
      </w:r>
    </w:p>
    <w:p>
      <w:pPr>
        <w:spacing w:line="360" w:lineRule="auto"/>
        <w:jc w:val="left"/>
        <w:rPr>
          <w:rFonts w:ascii="宋体" w:hAnsi="宋体"/>
          <w:color w:val="000000" w:themeColor="text1"/>
          <w:szCs w:val="21"/>
          <w14:textFill>
            <w14:solidFill>
              <w14:schemeClr w14:val="tx1"/>
            </w14:solidFill>
          </w14:textFill>
        </w:rPr>
      </w:pPr>
    </w:p>
    <w:p>
      <w:pPr>
        <w:widowControl/>
        <w:jc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drawing>
          <wp:inline distT="0" distB="0" distL="114300" distR="114300">
            <wp:extent cx="1349375" cy="1301750"/>
            <wp:effectExtent l="0" t="0" r="3175" b="12700"/>
            <wp:docPr id="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9"/>
                    <pic:cNvPicPr>
                      <a:picLocks noChangeAspect="1"/>
                    </pic:cNvPicPr>
                  </pic:nvPicPr>
                  <pic:blipFill>
                    <a:blip r:embed="rId10"/>
                    <a:stretch>
                      <a:fillRect/>
                    </a:stretch>
                  </pic:blipFill>
                  <pic:spPr>
                    <a:xfrm>
                      <a:off x="0" y="0"/>
                      <a:ext cx="1349375" cy="1301750"/>
                    </a:xfrm>
                    <a:prstGeom prst="rect">
                      <a:avLst/>
                    </a:prstGeom>
                    <a:noFill/>
                    <a:ln>
                      <a:noFill/>
                    </a:ln>
                  </pic:spPr>
                </pic:pic>
              </a:graphicData>
            </a:graphic>
          </wp:inline>
        </w:drawing>
      </w:r>
    </w:p>
    <w:p>
      <w:pPr>
        <w:tabs>
          <w:tab w:val="left" w:pos="2410"/>
        </w:tabs>
        <w:autoSpaceDE w:val="0"/>
        <w:autoSpaceDN w:val="0"/>
        <w:adjustRightInd w:val="0"/>
        <w:snapToGrid w:val="0"/>
        <w:spacing w:line="360" w:lineRule="auto"/>
        <w:rPr>
          <w:rFonts w:ascii="Arial Black" w:hAnsi="Arial Black"/>
          <w:color w:val="000000" w:themeColor="text1"/>
          <w:sz w:val="44"/>
          <w14:textFill>
            <w14:solidFill>
              <w14:schemeClr w14:val="tx1"/>
            </w14:solidFill>
          </w14:textFill>
        </w:rPr>
      </w:pPr>
    </w:p>
    <w:p>
      <w:pPr>
        <w:tabs>
          <w:tab w:val="left" w:pos="2410"/>
        </w:tabs>
        <w:autoSpaceDE w:val="0"/>
        <w:autoSpaceDN w:val="0"/>
        <w:adjustRightInd w:val="0"/>
        <w:snapToGrid w:val="0"/>
        <w:spacing w:line="360" w:lineRule="auto"/>
        <w:rPr>
          <w:rFonts w:ascii="宋体" w:hAnsi="DotumChe" w:cs="宋体"/>
          <w:b/>
          <w:color w:val="000000" w:themeColor="text1"/>
          <w:spacing w:val="20"/>
          <w:kern w:val="0"/>
          <w:sz w:val="36"/>
          <w:szCs w:val="36"/>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项目名称：</w:t>
      </w:r>
      <w:r>
        <w:rPr>
          <w:rFonts w:hint="eastAsia" w:ascii="宋体" w:hAnsi="DotumChe" w:cs="宋体"/>
          <w:b/>
          <w:color w:val="000000" w:themeColor="text1"/>
          <w:spacing w:val="20"/>
          <w:kern w:val="0"/>
          <w:sz w:val="28"/>
          <w:szCs w:val="28"/>
          <w:lang w:val="en-US" w:eastAsia="zh-CN"/>
          <w14:textFill>
            <w14:solidFill>
              <w14:schemeClr w14:val="tx1"/>
            </w14:solidFill>
          </w14:textFill>
        </w:rPr>
        <w:t>合肥体育产业投资有限公司人员外包</w:t>
      </w:r>
      <w:r>
        <w:rPr>
          <w:rFonts w:hint="eastAsia" w:ascii="宋体" w:hAnsi="DotumChe" w:cs="宋体"/>
          <w:b/>
          <w:color w:val="000000" w:themeColor="text1"/>
          <w:spacing w:val="20"/>
          <w:kern w:val="0"/>
          <w:sz w:val="28"/>
          <w:szCs w:val="28"/>
          <w14:textFill>
            <w14:solidFill>
              <w14:schemeClr w14:val="tx1"/>
            </w14:solidFill>
          </w14:textFill>
        </w:rPr>
        <w:t>服务</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项目编号：</w:t>
      </w:r>
      <w:r>
        <w:rPr>
          <w:rFonts w:hint="eastAsia" w:ascii="宋体" w:hAnsi="DotumChe" w:cs="宋体"/>
          <w:b/>
          <w:color w:val="000000" w:themeColor="text1"/>
          <w:spacing w:val="20"/>
          <w:kern w:val="0"/>
          <w:sz w:val="28"/>
          <w:szCs w:val="28"/>
          <w:lang w:val="en-US" w:eastAsia="zh-CN"/>
          <w14:textFill>
            <w14:solidFill>
              <w14:schemeClr w14:val="tx1"/>
            </w14:solidFill>
          </w14:textFill>
        </w:rPr>
        <w:t>2023TYGSCG51</w:t>
      </w:r>
      <w:r>
        <w:rPr>
          <w:rFonts w:hint="eastAsia" w:ascii="宋体" w:hAnsi="DotumChe" w:cs="宋体"/>
          <w:b/>
          <w:color w:val="000000" w:themeColor="text1"/>
          <w:spacing w:val="20"/>
          <w:kern w:val="0"/>
          <w:sz w:val="28"/>
          <w:szCs w:val="28"/>
          <w14:textFill>
            <w14:solidFill>
              <w14:schemeClr w14:val="tx1"/>
            </w14:solidFill>
          </w14:textFill>
        </w:rPr>
        <w:t>号</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 标 人：</w:t>
      </w:r>
      <w:r>
        <w:rPr>
          <w:rFonts w:hint="eastAsia" w:ascii="宋体" w:hAnsi="DotumChe" w:cs="宋体"/>
          <w:b/>
          <w:color w:val="000000" w:themeColor="text1"/>
          <w:spacing w:val="20"/>
          <w:kern w:val="0"/>
          <w:sz w:val="28"/>
          <w:szCs w:val="28"/>
          <w:lang w:val="en-US" w:eastAsia="zh-CN"/>
          <w14:textFill>
            <w14:solidFill>
              <w14:schemeClr w14:val="tx1"/>
            </w14:solidFill>
          </w14:textFill>
        </w:rPr>
        <w:t>合肥体育产业投资</w:t>
      </w:r>
      <w:r>
        <w:rPr>
          <w:rFonts w:hint="eastAsia" w:ascii="宋体" w:hAnsi="DotumChe" w:cs="宋体"/>
          <w:b/>
          <w:color w:val="000000" w:themeColor="text1"/>
          <w:spacing w:val="20"/>
          <w:kern w:val="0"/>
          <w:sz w:val="28"/>
          <w:szCs w:val="28"/>
          <w14:textFill>
            <w14:solidFill>
              <w14:schemeClr w14:val="tx1"/>
            </w14:solidFill>
          </w14:textFill>
        </w:rPr>
        <w:t>有限公司</w:t>
      </w:r>
    </w:p>
    <w:p>
      <w:pPr>
        <w:tabs>
          <w:tab w:val="left" w:pos="2410"/>
        </w:tabs>
        <w:autoSpaceDE w:val="0"/>
        <w:autoSpaceDN w:val="0"/>
        <w:adjustRightInd w:val="0"/>
        <w:snapToGrid w:val="0"/>
        <w:spacing w:line="360" w:lineRule="auto"/>
        <w:ind w:firstLine="1284" w:firstLineChars="400"/>
        <w:rPr>
          <w:rFonts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招标时间：202</w:t>
      </w:r>
      <w:r>
        <w:rPr>
          <w:rFonts w:hint="eastAsia" w:ascii="宋体" w:hAnsi="DotumChe" w:cs="宋体"/>
          <w:b/>
          <w:color w:val="000000" w:themeColor="text1"/>
          <w:spacing w:val="20"/>
          <w:kern w:val="0"/>
          <w:sz w:val="28"/>
          <w:szCs w:val="28"/>
          <w:lang w:val="en-US" w:eastAsia="zh-CN"/>
          <w14:textFill>
            <w14:solidFill>
              <w14:schemeClr w14:val="tx1"/>
            </w14:solidFill>
          </w14:textFill>
        </w:rPr>
        <w:t>3</w:t>
      </w:r>
      <w:r>
        <w:rPr>
          <w:rFonts w:hint="eastAsia" w:ascii="宋体" w:hAnsi="DotumChe" w:cs="宋体"/>
          <w:b/>
          <w:color w:val="000000" w:themeColor="text1"/>
          <w:spacing w:val="20"/>
          <w:kern w:val="0"/>
          <w:sz w:val="28"/>
          <w:szCs w:val="28"/>
          <w14:textFill>
            <w14:solidFill>
              <w14:schemeClr w14:val="tx1"/>
            </w14:solidFill>
          </w14:textFill>
        </w:rPr>
        <w:t>年</w:t>
      </w:r>
      <w:r>
        <w:rPr>
          <w:rFonts w:hint="eastAsia" w:ascii="宋体" w:hAnsi="DotumChe" w:cs="宋体"/>
          <w:b/>
          <w:color w:val="000000" w:themeColor="text1"/>
          <w:spacing w:val="20"/>
          <w:kern w:val="0"/>
          <w:sz w:val="28"/>
          <w:szCs w:val="28"/>
          <w:lang w:val="en-US" w:eastAsia="zh-CN"/>
          <w14:textFill>
            <w14:solidFill>
              <w14:schemeClr w14:val="tx1"/>
            </w14:solidFill>
          </w14:textFill>
        </w:rPr>
        <w:t>11</w:t>
      </w:r>
      <w:r>
        <w:rPr>
          <w:rFonts w:hint="eastAsia" w:ascii="宋体" w:hAnsi="DotumChe" w:cs="宋体"/>
          <w:b/>
          <w:color w:val="000000" w:themeColor="text1"/>
          <w:spacing w:val="20"/>
          <w:kern w:val="0"/>
          <w:sz w:val="28"/>
          <w:szCs w:val="28"/>
          <w14:textFill>
            <w14:solidFill>
              <w14:schemeClr w14:val="tx1"/>
            </w14:solidFill>
          </w14:textFill>
        </w:rPr>
        <w:t>月</w:t>
      </w:r>
    </w:p>
    <w:p>
      <w:pPr>
        <w:tabs>
          <w:tab w:val="left" w:pos="2410"/>
        </w:tabs>
        <w:autoSpaceDE w:val="0"/>
        <w:autoSpaceDN w:val="0"/>
        <w:adjustRightInd w:val="0"/>
        <w:snapToGrid w:val="0"/>
        <w:spacing w:line="360" w:lineRule="auto"/>
        <w:ind w:firstLine="1257" w:firstLineChars="348"/>
        <w:rPr>
          <w:rFonts w:ascii="宋体" w:hAnsi="DotumChe" w:cs="宋体"/>
          <w:b/>
          <w:color w:val="000000" w:themeColor="text1"/>
          <w:spacing w:val="20"/>
          <w:kern w:val="0"/>
          <w:sz w:val="32"/>
          <w:szCs w:val="32"/>
          <w14:textFill>
            <w14:solidFill>
              <w14:schemeClr w14:val="tx1"/>
            </w14:solidFill>
          </w14:textFill>
        </w:rPr>
      </w:pPr>
    </w:p>
    <w:p>
      <w:pPr>
        <w:pStyle w:val="50"/>
        <w:rPr>
          <w:rFonts w:ascii="宋体" w:hAnsi="DotumChe" w:cs="宋体"/>
          <w:b/>
          <w:color w:val="000000" w:themeColor="text1"/>
          <w:spacing w:val="20"/>
          <w:kern w:val="0"/>
          <w:sz w:val="32"/>
          <w:szCs w:val="32"/>
          <w14:textFill>
            <w14:solidFill>
              <w14:schemeClr w14:val="tx1"/>
            </w14:solidFill>
          </w14:textFill>
        </w:rPr>
      </w:pPr>
    </w:p>
    <w:p>
      <w:pPr>
        <w:pStyle w:val="50"/>
        <w:rPr>
          <w:rFonts w:ascii="宋体" w:hAnsi="DotumChe" w:cs="宋体"/>
          <w:b/>
          <w:color w:val="000000" w:themeColor="text1"/>
          <w:spacing w:val="20"/>
          <w:kern w:val="0"/>
          <w:sz w:val="32"/>
          <w:szCs w:val="32"/>
          <w14:textFill>
            <w14:solidFill>
              <w14:schemeClr w14:val="tx1"/>
            </w14:solidFill>
          </w14:textFill>
        </w:rPr>
      </w:pPr>
    </w:p>
    <w:p>
      <w:pPr>
        <w:spacing w:before="240" w:beforeLines="100" w:line="440" w:lineRule="exact"/>
        <w:jc w:val="center"/>
        <w:rPr>
          <w:rFonts w:ascii="黑体" w:hAnsi="宋体" w:eastAsia="黑体"/>
          <w:b/>
          <w:i w:val="0"/>
          <w:iCs w:val="0"/>
          <w:color w:val="000000" w:themeColor="text1"/>
          <w:sz w:val="32"/>
          <w14:textFill>
            <w14:solidFill>
              <w14:schemeClr w14:val="tx1"/>
            </w14:solidFill>
          </w14:textFill>
        </w:rPr>
      </w:pPr>
      <w:r>
        <w:rPr>
          <w:rFonts w:hint="eastAsia" w:ascii="黑体" w:hAnsi="宋体" w:eastAsia="黑体"/>
          <w:b/>
          <w:i w:val="0"/>
          <w:iCs w:val="0"/>
          <w:color w:val="000000" w:themeColor="text1"/>
          <w:sz w:val="32"/>
          <w14:textFill>
            <w14:solidFill>
              <w14:schemeClr w14:val="tx1"/>
            </w14:solidFill>
          </w14:textFill>
        </w:rPr>
        <w:t>目    录</w:t>
      </w:r>
    </w:p>
    <w:p>
      <w:pPr>
        <w:pStyle w:val="34"/>
        <w:tabs>
          <w:tab w:val="right" w:leader="dot" w:pos="9413"/>
        </w:tabs>
        <w:rPr>
          <w:i w:val="0"/>
          <w:iCs w:val="0"/>
        </w:rPr>
      </w:pPr>
      <w:bookmarkStart w:id="0" w:name="_Hlt526418134"/>
      <w:bookmarkEnd w:id="0"/>
      <w:bookmarkStart w:id="1" w:name="_Hlt519045295"/>
      <w:bookmarkEnd w:id="1"/>
      <w:bookmarkStart w:id="2" w:name="_Hlt533241375"/>
      <w:bookmarkEnd w:id="2"/>
      <w:r>
        <w:rPr>
          <w:rFonts w:hint="eastAsia" w:ascii="宋体" w:hAnsi="宋体" w:cs="宋体"/>
          <w:i w:val="0"/>
          <w:iCs w:val="0"/>
          <w:color w:val="000000" w:themeColor="text1"/>
          <w:sz w:val="28"/>
          <w:szCs w:val="28"/>
          <w14:textFill>
            <w14:solidFill>
              <w14:schemeClr w14:val="tx1"/>
            </w14:solidFill>
          </w14:textFill>
        </w:rPr>
        <w:fldChar w:fldCharType="begin"/>
      </w:r>
      <w:r>
        <w:rPr>
          <w:rFonts w:hint="eastAsia" w:ascii="宋体" w:hAnsi="宋体" w:cs="宋体"/>
          <w:i w:val="0"/>
          <w:iCs w:val="0"/>
          <w:color w:val="000000" w:themeColor="text1"/>
          <w:sz w:val="28"/>
          <w:szCs w:val="28"/>
          <w14:textFill>
            <w14:solidFill>
              <w14:schemeClr w14:val="tx1"/>
            </w14:solidFill>
          </w14:textFill>
        </w:rPr>
        <w:instrText xml:space="preserve">TOC \o "1-3" \h \u </w:instrText>
      </w:r>
      <w:r>
        <w:rPr>
          <w:rFonts w:hint="eastAsia" w:ascii="宋体" w:hAnsi="宋体" w:cs="宋体"/>
          <w:i w:val="0"/>
          <w:iCs w:val="0"/>
          <w:color w:val="000000" w:themeColor="text1"/>
          <w:sz w:val="28"/>
          <w:szCs w:val="28"/>
          <w14:textFill>
            <w14:solidFill>
              <w14:schemeClr w14:val="tx1"/>
            </w14:solidFill>
          </w14:textFill>
        </w:rPr>
        <w:fldChar w:fldCharType="separate"/>
      </w: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_Toc16593 </w:instrText>
      </w:r>
      <w:r>
        <w:rPr>
          <w:rFonts w:hint="eastAsia" w:ascii="宋体" w:hAnsi="宋体" w:cs="宋体"/>
          <w:i w:val="0"/>
          <w:iCs w:val="0"/>
          <w:szCs w:val="28"/>
        </w:rPr>
        <w:fldChar w:fldCharType="separate"/>
      </w:r>
      <w:r>
        <w:rPr>
          <w:rFonts w:hint="eastAsia" w:ascii="宋体" w:hAnsi="宋体"/>
          <w:bCs/>
          <w:i w:val="0"/>
          <w:iCs w:val="0"/>
          <w:szCs w:val="32"/>
        </w:rPr>
        <w:t>第一章 投标邀请（招标公告）</w:t>
      </w:r>
      <w:r>
        <w:rPr>
          <w:i w:val="0"/>
          <w:iCs w:val="0"/>
        </w:rPr>
        <w:tab/>
      </w:r>
      <w:r>
        <w:rPr>
          <w:i w:val="0"/>
          <w:iCs w:val="0"/>
        </w:rPr>
        <w:fldChar w:fldCharType="begin"/>
      </w:r>
      <w:r>
        <w:rPr>
          <w:i w:val="0"/>
          <w:iCs w:val="0"/>
        </w:rPr>
        <w:instrText xml:space="preserve"> PAGEREF _Toc16593 \h </w:instrText>
      </w:r>
      <w:r>
        <w:rPr>
          <w:i w:val="0"/>
          <w:iCs w:val="0"/>
        </w:rPr>
        <w:fldChar w:fldCharType="separate"/>
      </w:r>
      <w:r>
        <w:rPr>
          <w:i w:val="0"/>
          <w:iCs w:val="0"/>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_Toc5822 </w:instrText>
      </w:r>
      <w:r>
        <w:rPr>
          <w:rFonts w:hint="eastAsia" w:ascii="宋体" w:hAnsi="宋体" w:cs="宋体"/>
          <w:i w:val="0"/>
          <w:iCs w:val="0"/>
          <w:szCs w:val="28"/>
        </w:rPr>
        <w:fldChar w:fldCharType="separate"/>
      </w:r>
      <w:r>
        <w:rPr>
          <w:rFonts w:hint="eastAsia" w:ascii="宋体" w:hAnsi="宋体"/>
          <w:bCs/>
          <w:i w:val="0"/>
          <w:iCs w:val="0"/>
          <w:szCs w:val="32"/>
        </w:rPr>
        <w:t>第二章 投标人须知前附表</w:t>
      </w:r>
      <w:r>
        <w:rPr>
          <w:i w:val="0"/>
          <w:iCs w:val="0"/>
        </w:rPr>
        <w:tab/>
      </w:r>
      <w:r>
        <w:rPr>
          <w:i w:val="0"/>
          <w:iCs w:val="0"/>
        </w:rPr>
        <w:fldChar w:fldCharType="begin"/>
      </w:r>
      <w:r>
        <w:rPr>
          <w:i w:val="0"/>
          <w:iCs w:val="0"/>
        </w:rPr>
        <w:instrText xml:space="preserve"> PAGEREF _Toc5822 \h </w:instrText>
      </w:r>
      <w:r>
        <w:rPr>
          <w:i w:val="0"/>
          <w:iCs w:val="0"/>
        </w:rPr>
        <w:fldChar w:fldCharType="separate"/>
      </w:r>
      <w:r>
        <w:rPr>
          <w:i w:val="0"/>
          <w:iCs w:val="0"/>
        </w:rPr>
        <w:t>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_Toc25871 </w:instrText>
      </w:r>
      <w:r>
        <w:rPr>
          <w:rFonts w:hint="eastAsia" w:ascii="宋体" w:hAnsi="宋体" w:cs="宋体"/>
          <w:i w:val="0"/>
          <w:iCs w:val="0"/>
          <w:szCs w:val="28"/>
        </w:rPr>
        <w:fldChar w:fldCharType="separate"/>
      </w:r>
      <w:r>
        <w:rPr>
          <w:rFonts w:hint="eastAsia" w:ascii="宋体" w:hAnsi="宋体"/>
          <w:i w:val="0"/>
          <w:iCs w:val="0"/>
        </w:rPr>
        <w:t>第三章 投标人须知</w:t>
      </w:r>
      <w:r>
        <w:rPr>
          <w:i w:val="0"/>
          <w:iCs w:val="0"/>
        </w:rPr>
        <w:tab/>
      </w:r>
      <w:r>
        <w:rPr>
          <w:i w:val="0"/>
          <w:iCs w:val="0"/>
        </w:rPr>
        <w:fldChar w:fldCharType="begin"/>
      </w:r>
      <w:r>
        <w:rPr>
          <w:i w:val="0"/>
          <w:iCs w:val="0"/>
        </w:rPr>
        <w:instrText xml:space="preserve"> PAGEREF _Toc25871 \h </w:instrText>
      </w:r>
      <w:r>
        <w:rPr>
          <w:i w:val="0"/>
          <w:iCs w:val="0"/>
        </w:rPr>
        <w:fldChar w:fldCharType="separate"/>
      </w:r>
      <w:r>
        <w:rPr>
          <w:i w:val="0"/>
          <w:iCs w:val="0"/>
        </w:rPr>
        <w:t>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_Toc23746 </w:instrText>
      </w:r>
      <w:r>
        <w:rPr>
          <w:rFonts w:hint="eastAsia" w:ascii="宋体" w:hAnsi="宋体" w:cs="宋体"/>
          <w:i w:val="0"/>
          <w:iCs w:val="0"/>
          <w:szCs w:val="28"/>
        </w:rPr>
        <w:fldChar w:fldCharType="separate"/>
      </w:r>
      <w:r>
        <w:rPr>
          <w:rFonts w:hint="eastAsia" w:ascii="宋体" w:hAnsi="宋体"/>
          <w:bCs/>
          <w:i w:val="0"/>
          <w:iCs w:val="0"/>
          <w:szCs w:val="32"/>
        </w:rPr>
        <w:t>一．投标文件的编制</w:t>
      </w:r>
      <w:r>
        <w:rPr>
          <w:i w:val="0"/>
          <w:iCs w:val="0"/>
        </w:rPr>
        <w:tab/>
      </w:r>
      <w:r>
        <w:rPr>
          <w:i w:val="0"/>
          <w:iCs w:val="0"/>
        </w:rPr>
        <w:fldChar w:fldCharType="begin"/>
      </w:r>
      <w:r>
        <w:rPr>
          <w:i w:val="0"/>
          <w:iCs w:val="0"/>
        </w:rPr>
        <w:instrText xml:space="preserve"> PAGEREF _Toc23746 \h </w:instrText>
      </w:r>
      <w:r>
        <w:rPr>
          <w:i w:val="0"/>
          <w:iCs w:val="0"/>
        </w:rPr>
        <w:fldChar w:fldCharType="separate"/>
      </w:r>
      <w:r>
        <w:rPr>
          <w:i w:val="0"/>
          <w:iCs w:val="0"/>
        </w:rPr>
        <w:t>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_Toc5344 </w:instrText>
      </w:r>
      <w:r>
        <w:rPr>
          <w:rFonts w:hint="eastAsia" w:ascii="宋体" w:hAnsi="宋体" w:cs="宋体"/>
          <w:i w:val="0"/>
          <w:iCs w:val="0"/>
          <w:szCs w:val="28"/>
        </w:rPr>
        <w:fldChar w:fldCharType="separate"/>
      </w:r>
      <w:r>
        <w:rPr>
          <w:rFonts w:hint="eastAsia" w:ascii="宋体" w:hAnsi="宋体"/>
          <w:bCs/>
          <w:i w:val="0"/>
          <w:iCs w:val="0"/>
          <w:szCs w:val="32"/>
        </w:rPr>
        <w:t>二．投标保证金的缴纳</w:t>
      </w:r>
      <w:r>
        <w:rPr>
          <w:i w:val="0"/>
          <w:iCs w:val="0"/>
        </w:rPr>
        <w:tab/>
      </w:r>
      <w:r>
        <w:rPr>
          <w:rFonts w:hint="eastAsia"/>
          <w:i w:val="0"/>
          <w:iCs w:val="0"/>
          <w:lang w:val="en-US" w:eastAsia="zh-CN"/>
        </w:rPr>
        <w:t>7</w:t>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_Toc31055 </w:instrText>
      </w:r>
      <w:r>
        <w:rPr>
          <w:rFonts w:hint="eastAsia" w:ascii="宋体" w:hAnsi="宋体" w:cs="宋体"/>
          <w:i w:val="0"/>
          <w:iCs w:val="0"/>
          <w:szCs w:val="28"/>
        </w:rPr>
        <w:fldChar w:fldCharType="separate"/>
      </w:r>
      <w:r>
        <w:rPr>
          <w:rFonts w:hint="eastAsia" w:ascii="宋体" w:hAnsi="宋体"/>
          <w:bCs/>
          <w:i w:val="0"/>
          <w:iCs w:val="0"/>
          <w:szCs w:val="32"/>
        </w:rPr>
        <w:t>三．投标文件的递交</w:t>
      </w:r>
      <w:r>
        <w:rPr>
          <w:i w:val="0"/>
          <w:iCs w:val="0"/>
        </w:rPr>
        <w:tab/>
      </w:r>
      <w:r>
        <w:rPr>
          <w:i w:val="0"/>
          <w:iCs w:val="0"/>
        </w:rPr>
        <w:fldChar w:fldCharType="begin"/>
      </w:r>
      <w:r>
        <w:rPr>
          <w:i w:val="0"/>
          <w:iCs w:val="0"/>
        </w:rPr>
        <w:instrText xml:space="preserve"> PAGEREF _Toc31055 \h </w:instrText>
      </w:r>
      <w:r>
        <w:rPr>
          <w:i w:val="0"/>
          <w:iCs w:val="0"/>
        </w:rPr>
        <w:fldChar w:fldCharType="separate"/>
      </w:r>
      <w:r>
        <w:rPr>
          <w:i w:val="0"/>
          <w:iCs w:val="0"/>
        </w:rPr>
        <w:t>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_Toc9817 </w:instrText>
      </w:r>
      <w:r>
        <w:rPr>
          <w:rFonts w:hint="eastAsia" w:ascii="宋体" w:hAnsi="宋体" w:cs="宋体"/>
          <w:i w:val="0"/>
          <w:iCs w:val="0"/>
          <w:szCs w:val="28"/>
        </w:rPr>
        <w:fldChar w:fldCharType="separate"/>
      </w:r>
      <w:r>
        <w:rPr>
          <w:rFonts w:hint="eastAsia" w:ascii="宋体" w:hAnsi="宋体"/>
          <w:bCs/>
          <w:i w:val="0"/>
          <w:iCs w:val="0"/>
          <w:szCs w:val="32"/>
        </w:rPr>
        <w:t>四．开标、评标及定标</w:t>
      </w:r>
      <w:r>
        <w:rPr>
          <w:i w:val="0"/>
          <w:iCs w:val="0"/>
        </w:rPr>
        <w:tab/>
      </w:r>
      <w:r>
        <w:rPr>
          <w:i w:val="0"/>
          <w:iCs w:val="0"/>
        </w:rPr>
        <w:fldChar w:fldCharType="begin"/>
      </w:r>
      <w:r>
        <w:rPr>
          <w:i w:val="0"/>
          <w:iCs w:val="0"/>
        </w:rPr>
        <w:instrText xml:space="preserve"> PAGEREF _Toc9817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_Toc20006 </w:instrText>
      </w:r>
      <w:r>
        <w:rPr>
          <w:rFonts w:hint="eastAsia" w:ascii="宋体" w:hAnsi="宋体" w:cs="宋体"/>
          <w:i w:val="0"/>
          <w:iCs w:val="0"/>
          <w:szCs w:val="28"/>
        </w:rPr>
        <w:fldChar w:fldCharType="separate"/>
      </w:r>
      <w:r>
        <w:rPr>
          <w:rFonts w:hint="eastAsia" w:ascii="宋体" w:hAnsi="宋体"/>
          <w:bCs/>
          <w:i w:val="0"/>
          <w:iCs w:val="0"/>
          <w:szCs w:val="32"/>
        </w:rPr>
        <w:t>六．投标文件的澄清</w:t>
      </w:r>
      <w:r>
        <w:rPr>
          <w:i w:val="0"/>
          <w:iCs w:val="0"/>
        </w:rPr>
        <w:tab/>
      </w:r>
      <w:r>
        <w:rPr>
          <w:i w:val="0"/>
          <w:iCs w:val="0"/>
        </w:rPr>
        <w:fldChar w:fldCharType="begin"/>
      </w:r>
      <w:r>
        <w:rPr>
          <w:i w:val="0"/>
          <w:iCs w:val="0"/>
        </w:rPr>
        <w:instrText xml:space="preserve"> PAGEREF _Toc20006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_Toc20524 </w:instrText>
      </w:r>
      <w:r>
        <w:rPr>
          <w:rFonts w:hint="eastAsia" w:ascii="宋体" w:hAnsi="宋体" w:cs="宋体"/>
          <w:i w:val="0"/>
          <w:iCs w:val="0"/>
          <w:szCs w:val="28"/>
        </w:rPr>
        <w:fldChar w:fldCharType="separate"/>
      </w:r>
      <w:r>
        <w:rPr>
          <w:rFonts w:hint="eastAsia" w:ascii="宋体" w:hAnsi="宋体"/>
          <w:bCs/>
          <w:i w:val="0"/>
          <w:iCs w:val="0"/>
          <w:szCs w:val="32"/>
        </w:rPr>
        <w:t>七.中标通知书</w:t>
      </w:r>
      <w:r>
        <w:rPr>
          <w:i w:val="0"/>
          <w:iCs w:val="0"/>
        </w:rPr>
        <w:tab/>
      </w:r>
      <w:r>
        <w:rPr>
          <w:i w:val="0"/>
          <w:iCs w:val="0"/>
        </w:rPr>
        <w:fldChar w:fldCharType="begin"/>
      </w:r>
      <w:r>
        <w:rPr>
          <w:i w:val="0"/>
          <w:iCs w:val="0"/>
        </w:rPr>
        <w:instrText xml:space="preserve"> PAGEREF _Toc20524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_Toc2884 </w:instrText>
      </w:r>
      <w:r>
        <w:rPr>
          <w:rFonts w:hint="eastAsia" w:ascii="宋体" w:hAnsi="宋体" w:cs="宋体"/>
          <w:i w:val="0"/>
          <w:iCs w:val="0"/>
          <w:szCs w:val="28"/>
        </w:rPr>
        <w:fldChar w:fldCharType="separate"/>
      </w:r>
      <w:r>
        <w:rPr>
          <w:rFonts w:hint="eastAsia" w:ascii="宋体" w:hAnsi="宋体"/>
          <w:bCs/>
          <w:i w:val="0"/>
          <w:iCs w:val="0"/>
          <w:szCs w:val="32"/>
        </w:rPr>
        <w:t>八.异议处理</w:t>
      </w:r>
      <w:r>
        <w:rPr>
          <w:i w:val="0"/>
          <w:iCs w:val="0"/>
        </w:rPr>
        <w:tab/>
      </w:r>
      <w:r>
        <w:rPr>
          <w:i w:val="0"/>
          <w:iCs w:val="0"/>
        </w:rPr>
        <w:fldChar w:fldCharType="begin"/>
      </w:r>
      <w:r>
        <w:rPr>
          <w:i w:val="0"/>
          <w:iCs w:val="0"/>
        </w:rPr>
        <w:instrText xml:space="preserve"> PAGEREF _Toc2884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_Toc20014 </w:instrText>
      </w:r>
      <w:r>
        <w:rPr>
          <w:rFonts w:hint="eastAsia" w:ascii="宋体" w:hAnsi="宋体" w:cs="宋体"/>
          <w:i w:val="0"/>
          <w:iCs w:val="0"/>
          <w:szCs w:val="28"/>
        </w:rPr>
        <w:fldChar w:fldCharType="separate"/>
      </w:r>
      <w:r>
        <w:rPr>
          <w:rFonts w:hint="eastAsia" w:ascii="宋体" w:hAnsi="宋体"/>
          <w:bCs/>
          <w:i w:val="0"/>
          <w:iCs w:val="0"/>
          <w:szCs w:val="32"/>
        </w:rPr>
        <w:t>九．签订合同</w:t>
      </w:r>
      <w:r>
        <w:rPr>
          <w:i w:val="0"/>
          <w:iCs w:val="0"/>
        </w:rPr>
        <w:tab/>
      </w:r>
      <w:r>
        <w:rPr>
          <w:i w:val="0"/>
          <w:iCs w:val="0"/>
        </w:rPr>
        <w:fldChar w:fldCharType="begin"/>
      </w:r>
      <w:r>
        <w:rPr>
          <w:i w:val="0"/>
          <w:iCs w:val="0"/>
        </w:rPr>
        <w:instrText xml:space="preserve"> PAGEREF _Toc20014 \h </w:instrText>
      </w:r>
      <w:r>
        <w:rPr>
          <w:i w:val="0"/>
          <w:iCs w:val="0"/>
        </w:rPr>
        <w:fldChar w:fldCharType="separate"/>
      </w:r>
      <w:r>
        <w:rPr>
          <w:i w:val="0"/>
          <w:iCs w:val="0"/>
        </w:rPr>
        <w:t>11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_Toc16845 </w:instrText>
      </w:r>
      <w:r>
        <w:rPr>
          <w:rFonts w:hint="eastAsia" w:ascii="宋体" w:hAnsi="宋体" w:cs="宋体"/>
          <w:i w:val="0"/>
          <w:iCs w:val="0"/>
          <w:szCs w:val="28"/>
        </w:rPr>
        <w:fldChar w:fldCharType="separate"/>
      </w:r>
      <w:r>
        <w:rPr>
          <w:rFonts w:hint="eastAsia" w:ascii="宋体" w:hAnsi="宋体"/>
          <w:i w:val="0"/>
          <w:iCs w:val="0"/>
        </w:rPr>
        <w:t xml:space="preserve">第四章 </w:t>
      </w:r>
      <w:r>
        <w:rPr>
          <w:rFonts w:hint="eastAsia" w:ascii="宋体" w:hAnsi="宋体"/>
          <w:i w:val="0"/>
          <w:iCs w:val="0"/>
          <w:szCs w:val="36"/>
        </w:rPr>
        <w:t>招标需求</w:t>
      </w:r>
      <w:r>
        <w:rPr>
          <w:i w:val="0"/>
          <w:iCs w:val="0"/>
        </w:rPr>
        <w:tab/>
      </w:r>
      <w:r>
        <w:rPr>
          <w:i w:val="0"/>
          <w:iCs w:val="0"/>
        </w:rPr>
        <w:fldChar w:fldCharType="begin"/>
      </w:r>
      <w:r>
        <w:rPr>
          <w:i w:val="0"/>
          <w:iCs w:val="0"/>
        </w:rPr>
        <w:instrText xml:space="preserve"> PAGEREF _Toc16845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_Toc9997 </w:instrText>
      </w:r>
      <w:r>
        <w:rPr>
          <w:rFonts w:hint="eastAsia" w:ascii="宋体" w:hAnsi="宋体" w:cs="宋体"/>
          <w:i w:val="0"/>
          <w:iCs w:val="0"/>
          <w:szCs w:val="28"/>
        </w:rPr>
        <w:fldChar w:fldCharType="separate"/>
      </w:r>
      <w:r>
        <w:rPr>
          <w:rFonts w:hint="eastAsia" w:ascii="宋体" w:hAnsi="宋体"/>
          <w:i w:val="0"/>
          <w:iCs w:val="0"/>
        </w:rPr>
        <w:t>第五章 评标办法</w:t>
      </w:r>
      <w:r>
        <w:rPr>
          <w:i w:val="0"/>
          <w:iCs w:val="0"/>
        </w:rPr>
        <w:tab/>
      </w:r>
      <w:r>
        <w:rPr>
          <w:i w:val="0"/>
          <w:iCs w:val="0"/>
        </w:rPr>
        <w:fldChar w:fldCharType="begin"/>
      </w:r>
      <w:r>
        <w:rPr>
          <w:i w:val="0"/>
          <w:iCs w:val="0"/>
        </w:rPr>
        <w:instrText xml:space="preserve"> PAGEREF _Toc9997 \h </w:instrText>
      </w:r>
      <w:r>
        <w:rPr>
          <w:i w:val="0"/>
          <w:iCs w:val="0"/>
        </w:rPr>
        <w:fldChar w:fldCharType="separate"/>
      </w:r>
      <w:r>
        <w:rPr>
          <w:rFonts w:hint="eastAsia"/>
          <w:b/>
          <w:lang w:val="en-US" w:eastAsia="zh-CN"/>
        </w:rPr>
        <w:t>14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_Toc5990 </w:instrText>
      </w:r>
      <w:r>
        <w:rPr>
          <w:rFonts w:hint="eastAsia" w:ascii="宋体" w:hAnsi="宋体" w:cs="宋体"/>
          <w:i w:val="0"/>
          <w:iCs w:val="0"/>
          <w:szCs w:val="28"/>
        </w:rPr>
        <w:fldChar w:fldCharType="separate"/>
      </w:r>
      <w:r>
        <w:rPr>
          <w:rFonts w:hint="eastAsia" w:ascii="宋体" w:hAnsi="宋体"/>
          <w:i w:val="0"/>
          <w:iCs w:val="0"/>
        </w:rPr>
        <w:t xml:space="preserve">第六章 </w:t>
      </w:r>
      <w:r>
        <w:rPr>
          <w:rFonts w:ascii="宋体" w:hAnsi="宋体"/>
          <w:i w:val="0"/>
          <w:iCs w:val="0"/>
        </w:rPr>
        <w:t>合同</w:t>
      </w:r>
      <w:r>
        <w:rPr>
          <w:i w:val="0"/>
          <w:iCs w:val="0"/>
        </w:rPr>
        <w:tab/>
      </w:r>
      <w:r>
        <w:rPr>
          <w:i w:val="0"/>
          <w:iCs w:val="0"/>
        </w:rPr>
        <w:fldChar w:fldCharType="begin"/>
      </w:r>
      <w:r>
        <w:rPr>
          <w:i w:val="0"/>
          <w:iCs w:val="0"/>
        </w:rPr>
        <w:instrText xml:space="preserve"> PAGEREF _Toc5990 \h </w:instrText>
      </w:r>
      <w:r>
        <w:rPr>
          <w:i w:val="0"/>
          <w:iCs w:val="0"/>
        </w:rPr>
        <w:fldChar w:fldCharType="separate"/>
      </w:r>
      <w:r>
        <w:rPr>
          <w:i w:val="0"/>
          <w:iCs w:val="0"/>
        </w:rPr>
        <w:t>22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_Toc1217 </w:instrText>
      </w:r>
      <w:r>
        <w:rPr>
          <w:rFonts w:hint="eastAsia" w:ascii="宋体" w:hAnsi="宋体" w:cs="宋体"/>
          <w:i w:val="0"/>
          <w:iCs w:val="0"/>
          <w:szCs w:val="28"/>
        </w:rPr>
        <w:fldChar w:fldCharType="separate"/>
      </w:r>
      <w:r>
        <w:rPr>
          <w:rFonts w:hint="eastAsia" w:ascii="宋体" w:hAnsi="宋体"/>
          <w:bCs/>
          <w:i w:val="0"/>
          <w:iCs w:val="0"/>
          <w:szCs w:val="32"/>
          <w:lang w:val="zh-CN"/>
        </w:rPr>
        <w:t>第七章 投标文件格式</w:t>
      </w:r>
      <w:r>
        <w:rPr>
          <w:i w:val="0"/>
          <w:iCs w:val="0"/>
        </w:rPr>
        <w:tab/>
      </w:r>
      <w:r>
        <w:rPr>
          <w:i w:val="0"/>
          <w:iCs w:val="0"/>
        </w:rPr>
        <w:fldChar w:fldCharType="begin"/>
      </w:r>
      <w:r>
        <w:rPr>
          <w:i w:val="0"/>
          <w:iCs w:val="0"/>
        </w:rPr>
        <w:instrText xml:space="preserve"> PAGEREF _Toc1217 \h </w:instrText>
      </w:r>
      <w:r>
        <w:rPr>
          <w:i w:val="0"/>
          <w:iCs w:val="0"/>
        </w:rPr>
        <w:fldChar w:fldCharType="separate"/>
      </w:r>
      <w:r>
        <w:rPr>
          <w:i w:val="0"/>
          <w:iCs w:val="0"/>
        </w:rPr>
        <w:t>27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_Toc25959 </w:instrText>
      </w:r>
      <w:r>
        <w:rPr>
          <w:rFonts w:hint="eastAsia" w:ascii="宋体" w:hAnsi="宋体" w:cs="宋体"/>
          <w:i w:val="0"/>
          <w:iCs w:val="0"/>
          <w:szCs w:val="28"/>
        </w:rPr>
        <w:fldChar w:fldCharType="separate"/>
      </w:r>
      <w:r>
        <w:rPr>
          <w:rFonts w:hint="eastAsia" w:ascii="宋体" w:hAnsi="宋体"/>
          <w:bCs/>
          <w:i w:val="0"/>
          <w:iCs w:val="0"/>
          <w:szCs w:val="32"/>
          <w:lang w:val="zh-CN"/>
        </w:rPr>
        <w:t>一．投标函</w:t>
      </w:r>
      <w:r>
        <w:rPr>
          <w:i w:val="0"/>
          <w:iCs w:val="0"/>
        </w:rPr>
        <w:tab/>
      </w:r>
      <w:r>
        <w:rPr>
          <w:rFonts w:hint="eastAsia"/>
          <w:i w:val="0"/>
          <w:iCs w:val="0"/>
          <w:lang w:val="en-US" w:eastAsia="zh-CN"/>
        </w:rPr>
        <w:t>2</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8</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_Toc23937 </w:instrText>
      </w:r>
      <w:r>
        <w:rPr>
          <w:rFonts w:hint="eastAsia" w:ascii="宋体" w:hAnsi="宋体" w:cs="宋体"/>
          <w:i w:val="0"/>
          <w:iCs w:val="0"/>
          <w:szCs w:val="28"/>
        </w:rPr>
        <w:fldChar w:fldCharType="separate"/>
      </w:r>
      <w:r>
        <w:rPr>
          <w:rFonts w:hint="eastAsia" w:ascii="宋体" w:hAnsi="宋体"/>
          <w:bCs/>
          <w:i w:val="0"/>
          <w:iCs w:val="0"/>
          <w:szCs w:val="32"/>
          <w:lang w:val="zh-CN"/>
        </w:rPr>
        <w:t>二．投标人情况综合简介</w:t>
      </w:r>
      <w:r>
        <w:rPr>
          <w:i w:val="0"/>
          <w:iCs w:val="0"/>
        </w:rPr>
        <w:tab/>
      </w:r>
      <w:r>
        <w:rPr>
          <w:rFonts w:hint="eastAsia"/>
          <w:i w:val="0"/>
          <w:iCs w:val="0"/>
          <w:lang w:val="en-US" w:eastAsia="zh-CN"/>
        </w:rPr>
        <w:t>2</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9</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_Toc10885 </w:instrText>
      </w:r>
      <w:r>
        <w:rPr>
          <w:rFonts w:hint="eastAsia" w:ascii="宋体" w:hAnsi="宋体" w:cs="宋体"/>
          <w:i w:val="0"/>
          <w:iCs w:val="0"/>
          <w:szCs w:val="28"/>
        </w:rPr>
        <w:fldChar w:fldCharType="separate"/>
      </w:r>
      <w:r>
        <w:rPr>
          <w:rFonts w:hint="eastAsia" w:ascii="宋体" w:hAnsi="宋体"/>
          <w:bCs/>
          <w:i w:val="0"/>
          <w:iCs w:val="0"/>
          <w:szCs w:val="32"/>
          <w:lang w:val="zh-CN"/>
        </w:rPr>
        <w:t>三．开标一览表</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0</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_Toc22836 </w:instrText>
      </w:r>
      <w:r>
        <w:rPr>
          <w:rFonts w:hint="eastAsia" w:ascii="宋体" w:hAnsi="宋体" w:cs="宋体"/>
          <w:i w:val="0"/>
          <w:iCs w:val="0"/>
          <w:szCs w:val="28"/>
        </w:rPr>
        <w:fldChar w:fldCharType="separate"/>
      </w:r>
      <w:r>
        <w:rPr>
          <w:rFonts w:hint="eastAsia" w:ascii="宋体" w:hAnsi="宋体"/>
          <w:bCs/>
          <w:i w:val="0"/>
          <w:iCs w:val="0"/>
          <w:szCs w:val="32"/>
          <w:lang w:val="zh-CN"/>
        </w:rPr>
        <w:t>四．</w:t>
      </w:r>
      <w:r>
        <w:rPr>
          <w:rFonts w:hint="eastAsia" w:ascii="宋体" w:hAnsi="宋体"/>
          <w:bCs/>
          <w:i w:val="0"/>
          <w:iCs w:val="0"/>
          <w:szCs w:val="32"/>
          <w:lang w:val="en-US" w:eastAsia="zh-CN"/>
        </w:rPr>
        <w:t>投标人信用承诺</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1</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_Toc10981 </w:instrText>
      </w:r>
      <w:r>
        <w:rPr>
          <w:rFonts w:hint="eastAsia" w:ascii="宋体" w:hAnsi="宋体" w:cs="宋体"/>
          <w:i w:val="0"/>
          <w:iCs w:val="0"/>
          <w:szCs w:val="28"/>
        </w:rPr>
        <w:fldChar w:fldCharType="separate"/>
      </w:r>
      <w:r>
        <w:rPr>
          <w:rFonts w:hint="eastAsia" w:hAnsi="宋体"/>
          <w:i w:val="0"/>
          <w:iCs w:val="0"/>
        </w:rPr>
        <w:t>五.</w:t>
      </w:r>
      <w:r>
        <w:rPr>
          <w:rFonts w:hint="eastAsia" w:ascii="宋体" w:hAnsi="宋体" w:cs="宋体"/>
          <w:bCs/>
          <w:i w:val="0"/>
          <w:iCs w:val="0"/>
          <w:szCs w:val="28"/>
          <w:lang w:val="en-US" w:eastAsia="zh-CN"/>
        </w:rPr>
        <w:t>投标业绩</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2</w:t>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_Toc32709 </w:instrText>
      </w:r>
      <w:r>
        <w:rPr>
          <w:rFonts w:hint="eastAsia" w:ascii="宋体" w:hAnsi="宋体" w:cs="宋体"/>
          <w:i w:val="0"/>
          <w:iCs w:val="0"/>
          <w:szCs w:val="28"/>
        </w:rPr>
        <w:fldChar w:fldCharType="separate"/>
      </w:r>
      <w:r>
        <w:rPr>
          <w:rFonts w:hint="eastAsia" w:ascii="宋体" w:hAnsi="宋体"/>
          <w:bCs/>
          <w:i w:val="0"/>
          <w:iCs w:val="0"/>
          <w:szCs w:val="32"/>
          <w:lang w:val="zh-CN"/>
        </w:rPr>
        <w:t>六．</w:t>
      </w:r>
      <w:r>
        <w:rPr>
          <w:rFonts w:hint="eastAsia" w:ascii="宋体" w:hAnsi="宋体" w:cs="宋体"/>
          <w:bCs/>
          <w:i w:val="0"/>
          <w:iCs w:val="0"/>
          <w:szCs w:val="28"/>
          <w:lang w:val="en-US" w:eastAsia="zh-CN"/>
        </w:rPr>
        <w:t>拟投标本项目的人员情况</w:t>
      </w:r>
      <w:r>
        <w:rPr>
          <w:i w:val="0"/>
          <w:iCs w:val="0"/>
        </w:rPr>
        <w:tab/>
      </w:r>
      <w:r>
        <w:rPr>
          <w:i w:val="0"/>
          <w:iCs w:val="0"/>
        </w:rPr>
        <w:fldChar w:fldCharType="begin"/>
      </w:r>
      <w:r>
        <w:rPr>
          <w:i w:val="0"/>
          <w:iCs w:val="0"/>
        </w:rPr>
        <w:instrText xml:space="preserve"> PAGEREF _Toc32709 \h </w:instrText>
      </w:r>
      <w:r>
        <w:rPr>
          <w:i w:val="0"/>
          <w:iCs w:val="0"/>
        </w:rPr>
        <w:fldChar w:fldCharType="separate"/>
      </w:r>
      <w:r>
        <w:rPr>
          <w:rFonts w:hint="eastAsia"/>
          <w:i w:val="0"/>
          <w:iCs w:val="0"/>
          <w:lang w:val="en-US" w:eastAsia="zh-CN"/>
        </w:rPr>
        <w:t>33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_Toc14779 </w:instrText>
      </w:r>
      <w:r>
        <w:rPr>
          <w:rFonts w:hint="eastAsia" w:ascii="宋体" w:hAnsi="宋体" w:cs="宋体"/>
          <w:i w:val="0"/>
          <w:iCs w:val="0"/>
          <w:szCs w:val="28"/>
        </w:rPr>
        <w:fldChar w:fldCharType="separate"/>
      </w:r>
      <w:r>
        <w:rPr>
          <w:rFonts w:hint="eastAsia" w:ascii="宋体" w:hAnsi="宋体" w:cs="宋体"/>
          <w:bCs/>
          <w:i w:val="0"/>
          <w:iCs w:val="0"/>
          <w:szCs w:val="28"/>
          <w:lang w:val="zh-CN"/>
        </w:rPr>
        <w:t>七．</w:t>
      </w:r>
      <w:r>
        <w:rPr>
          <w:rFonts w:hint="eastAsia" w:ascii="宋体" w:hAnsi="宋体" w:cs="宋体"/>
          <w:bCs/>
          <w:i w:val="0"/>
          <w:iCs w:val="0"/>
          <w:szCs w:val="28"/>
          <w:lang w:val="en-US" w:eastAsia="zh-CN"/>
        </w:rPr>
        <w:t>服务方案</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3</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_Toc24259 </w:instrText>
      </w:r>
      <w:r>
        <w:rPr>
          <w:rFonts w:hint="eastAsia" w:ascii="宋体" w:hAnsi="宋体" w:cs="宋体"/>
          <w:i w:val="0"/>
          <w:iCs w:val="0"/>
          <w:szCs w:val="28"/>
        </w:rPr>
        <w:fldChar w:fldCharType="separate"/>
      </w:r>
      <w:r>
        <w:rPr>
          <w:rFonts w:hint="eastAsia" w:ascii="宋体" w:hAnsi="宋体" w:cs="宋体"/>
          <w:bCs/>
          <w:i w:val="0"/>
          <w:iCs w:val="0"/>
          <w:szCs w:val="28"/>
          <w:lang w:val="zh-CN"/>
        </w:rPr>
        <w:t xml:space="preserve">八. </w:t>
      </w:r>
      <w:r>
        <w:rPr>
          <w:rFonts w:hint="eastAsia" w:ascii="宋体" w:hAnsi="宋体" w:cs="宋体"/>
          <w:bCs/>
          <w:i w:val="0"/>
          <w:iCs w:val="0"/>
          <w:szCs w:val="28"/>
          <w:lang w:val="en-US" w:eastAsia="zh-CN"/>
        </w:rPr>
        <w:t>有关证明文件</w:t>
      </w:r>
      <w:r>
        <w:rPr>
          <w:i w:val="0"/>
          <w:iCs w:val="0"/>
        </w:rPr>
        <w:tab/>
      </w:r>
      <w:r>
        <w:rPr>
          <w:i w:val="0"/>
          <w:iCs w:val="0"/>
        </w:rPr>
        <w:fldChar w:fldCharType="begin"/>
      </w:r>
      <w:r>
        <w:rPr>
          <w:i w:val="0"/>
          <w:iCs w:val="0"/>
        </w:rPr>
        <w:instrText xml:space="preserve"> PAGEREF _Toc24259 \h </w:instrText>
      </w:r>
      <w:r>
        <w:rPr>
          <w:i w:val="0"/>
          <w:iCs w:val="0"/>
        </w:rPr>
        <w:fldChar w:fldCharType="separate"/>
      </w:r>
      <w:r>
        <w:rPr>
          <w:rFonts w:hint="eastAsia"/>
          <w:i w:val="0"/>
          <w:iCs w:val="0"/>
          <w:lang w:val="en-US" w:eastAsia="zh-CN"/>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3</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_Toc16606 </w:instrText>
      </w:r>
      <w:r>
        <w:rPr>
          <w:rFonts w:hint="eastAsia" w:ascii="宋体" w:hAnsi="宋体" w:cs="宋体"/>
          <w:i w:val="0"/>
          <w:iCs w:val="0"/>
          <w:szCs w:val="28"/>
        </w:rPr>
        <w:fldChar w:fldCharType="separate"/>
      </w:r>
      <w:r>
        <w:rPr>
          <w:rFonts w:hint="eastAsia" w:ascii="宋体" w:hAnsi="宋体"/>
          <w:bCs/>
          <w:i w:val="0"/>
          <w:iCs w:val="0"/>
          <w:szCs w:val="32"/>
          <w:lang w:val="zh-CN"/>
        </w:rPr>
        <w:t>九．</w:t>
      </w:r>
      <w:r>
        <w:rPr>
          <w:rFonts w:hint="eastAsia" w:ascii="宋体" w:hAnsi="宋体"/>
          <w:bCs/>
          <w:i w:val="0"/>
          <w:iCs w:val="0"/>
          <w:szCs w:val="32"/>
          <w:lang w:val="en-US" w:eastAsia="zh-CN"/>
        </w:rPr>
        <w:t>投标授权书</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4</w:t>
      </w:r>
    </w:p>
    <w:p>
      <w:pPr>
        <w:pStyle w:val="25"/>
        <w:tabs>
          <w:tab w:val="right" w:leader="dot" w:pos="9413"/>
          <w:tab w:val="clear" w:pos="9403"/>
        </w:tabs>
        <w:rPr>
          <w:rFonts w:hint="eastAsia" w:eastAsia="宋体"/>
          <w:i w:val="0"/>
          <w:iCs w:val="0"/>
          <w:lang w:val="en-US" w:eastAsia="zh-CN"/>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_Toc2343 </w:instrText>
      </w:r>
      <w:r>
        <w:rPr>
          <w:rFonts w:hint="eastAsia" w:ascii="宋体" w:hAnsi="宋体" w:cs="宋体"/>
          <w:i w:val="0"/>
          <w:iCs w:val="0"/>
          <w:szCs w:val="28"/>
        </w:rPr>
        <w:fldChar w:fldCharType="separate"/>
      </w:r>
      <w:r>
        <w:rPr>
          <w:rFonts w:hint="eastAsia" w:ascii="宋体" w:hAnsi="宋体"/>
          <w:bCs/>
          <w:i w:val="0"/>
          <w:iCs w:val="0"/>
          <w:szCs w:val="32"/>
          <w:lang w:val="zh-CN"/>
        </w:rPr>
        <w:t>十．</w:t>
      </w:r>
      <w:r>
        <w:rPr>
          <w:rFonts w:hint="eastAsia" w:ascii="宋体" w:hAnsi="宋体"/>
          <w:bCs/>
          <w:i w:val="0"/>
          <w:iCs w:val="0"/>
          <w:szCs w:val="32"/>
          <w:lang w:val="en-US" w:eastAsia="zh-CN"/>
        </w:rPr>
        <w:t>投标人认为需要提供的其他资料</w:t>
      </w:r>
      <w:r>
        <w:rPr>
          <w:i w:val="0"/>
          <w:iCs w:val="0"/>
        </w:rPr>
        <w:tab/>
      </w:r>
      <w:r>
        <w:rPr>
          <w:rFonts w:hint="eastAsia"/>
          <w:i w:val="0"/>
          <w:iCs w:val="0"/>
          <w:lang w:val="en-US" w:eastAsia="zh-CN"/>
        </w:rPr>
        <w:t>3</w:t>
      </w:r>
      <w:r>
        <w:rPr>
          <w:rFonts w:hint="eastAsia" w:ascii="宋体" w:hAnsi="宋体" w:cs="宋体"/>
          <w:i w:val="0"/>
          <w:iCs w:val="0"/>
          <w:color w:val="000000" w:themeColor="text1"/>
          <w:szCs w:val="28"/>
          <w14:textFill>
            <w14:solidFill>
              <w14:schemeClr w14:val="tx1"/>
            </w14:solidFill>
          </w14:textFill>
        </w:rPr>
        <w:fldChar w:fldCharType="end"/>
      </w:r>
      <w:r>
        <w:rPr>
          <w:rFonts w:hint="eastAsia" w:ascii="宋体" w:hAnsi="宋体" w:cs="宋体"/>
          <w:i w:val="0"/>
          <w:iCs w:val="0"/>
          <w:color w:val="000000" w:themeColor="text1"/>
          <w:szCs w:val="28"/>
          <w:lang w:val="en-US" w:eastAsia="zh-CN"/>
          <w14:textFill>
            <w14:solidFill>
              <w14:schemeClr w14:val="tx1"/>
            </w14:solidFill>
          </w14:textFill>
        </w:rPr>
        <w:t>5</w:t>
      </w:r>
    </w:p>
    <w:p>
      <w:pPr>
        <w:pStyle w:val="25"/>
        <w:tabs>
          <w:tab w:val="right" w:leader="dot" w:pos="9413"/>
          <w:tab w:val="clear" w:pos="9403"/>
        </w:tabs>
        <w:rPr>
          <w:rFonts w:hint="eastAsia" w:eastAsia="宋体"/>
          <w:i w:val="0"/>
          <w:iCs w:val="0"/>
          <w:lang w:val="en-US" w:eastAsia="zh-CN"/>
        </w:rPr>
      </w:pPr>
    </w:p>
    <w:p>
      <w:pPr>
        <w:pStyle w:val="25"/>
        <w:tabs>
          <w:tab w:val="right" w:leader="dot" w:pos="9413"/>
          <w:tab w:val="clear" w:pos="9403"/>
        </w:tabs>
        <w:rPr>
          <w:i w:val="0"/>
          <w:iCs w:val="0"/>
        </w:rPr>
      </w:pPr>
    </w:p>
    <w:p>
      <w:pPr>
        <w:pStyle w:val="25"/>
        <w:tabs>
          <w:tab w:val="right" w:leader="dot" w:pos="9413"/>
          <w:tab w:val="clear" w:pos="9403"/>
        </w:tabs>
        <w:rPr>
          <w:i w:val="0"/>
          <w:iCs w:val="0"/>
        </w:rPr>
      </w:pPr>
    </w:p>
    <w:p>
      <w:pPr>
        <w:spacing w:line="440" w:lineRule="exact"/>
        <w:outlineLvl w:val="0"/>
        <w:rPr>
          <w:rFonts w:ascii="宋体" w:hAnsi="宋体" w:cs="宋体"/>
          <w:color w:val="000000" w:themeColor="text1"/>
          <w:sz w:val="28"/>
          <w:szCs w:val="28"/>
          <w14:textFill>
            <w14:solidFill>
              <w14:schemeClr w14:val="tx1"/>
            </w14:solidFill>
          </w14:textFill>
        </w:rPr>
      </w:pPr>
      <w:r>
        <w:rPr>
          <w:rFonts w:hint="eastAsia" w:ascii="宋体" w:hAnsi="宋体" w:cs="宋体"/>
          <w:i w:val="0"/>
          <w:iCs w:val="0"/>
          <w:color w:val="000000" w:themeColor="text1"/>
          <w:szCs w:val="28"/>
          <w14:textFill>
            <w14:solidFill>
              <w14:schemeClr w14:val="tx1"/>
            </w14:solidFill>
          </w14:textFill>
        </w:rPr>
        <w:fldChar w:fldCharType="end"/>
      </w:r>
      <w:bookmarkStart w:id="3" w:name="_Toc7187420"/>
    </w:p>
    <w:p>
      <w:pPr>
        <w:spacing w:line="440" w:lineRule="exact"/>
        <w:outlineLvl w:val="0"/>
        <w:rPr>
          <w:rFonts w:ascii="宋体" w:hAnsi="宋体" w:cs="宋体"/>
          <w:color w:val="000000" w:themeColor="text1"/>
          <w:sz w:val="28"/>
          <w:szCs w:val="28"/>
          <w14:textFill>
            <w14:solidFill>
              <w14:schemeClr w14:val="tx1"/>
            </w14:solidFill>
          </w14:textFill>
        </w:rPr>
      </w:pPr>
    </w:p>
    <w:p>
      <w:pPr>
        <w:spacing w:line="440" w:lineRule="exact"/>
        <w:jc w:val="center"/>
        <w:outlineLvl w:val="0"/>
        <w:rPr>
          <w:rFonts w:ascii="宋体" w:hAnsi="宋体" w:cs="宋体"/>
          <w:color w:val="000000" w:themeColor="text1"/>
          <w:sz w:val="28"/>
          <w:szCs w:val="28"/>
          <w14:textFill>
            <w14:solidFill>
              <w14:schemeClr w14:val="tx1"/>
            </w14:solidFill>
          </w14:textFill>
        </w:rPr>
      </w:pPr>
    </w:p>
    <w:p>
      <w:pPr>
        <w:spacing w:line="360" w:lineRule="auto"/>
        <w:outlineLvl w:val="0"/>
        <w:rPr>
          <w:rFonts w:ascii="宋体" w:hAnsi="宋体"/>
          <w:b/>
          <w:bCs/>
          <w:color w:val="000000" w:themeColor="text1"/>
          <w:sz w:val="32"/>
          <w:szCs w:val="32"/>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4" w:name="_Toc16593"/>
    </w:p>
    <w:p>
      <w:pPr>
        <w:spacing w:line="360" w:lineRule="auto"/>
        <w:jc w:val="center"/>
        <w:outlineLvl w:val="0"/>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第一章 投标邀请（招标公告）</w:t>
      </w:r>
      <w:bookmarkEnd w:id="3"/>
      <w:bookmarkEnd w:id="4"/>
    </w:p>
    <w:p>
      <w:pPr>
        <w:tabs>
          <w:tab w:val="left" w:pos="2410"/>
        </w:tabs>
        <w:autoSpaceDE w:val="0"/>
        <w:autoSpaceDN w:val="0"/>
        <w:adjustRightInd w:val="0"/>
        <w:snapToGrid w:val="0"/>
        <w:spacing w:line="360" w:lineRule="auto"/>
        <w:ind w:firstLine="482" w:firstLineChars="200"/>
        <w:rPr>
          <w:rFonts w:ascii="宋体" w:hAnsi="DotumChe" w:cs="宋体"/>
          <w:b/>
          <w:color w:val="000000" w:themeColor="text1"/>
          <w:spacing w:val="20"/>
          <w:kern w:val="0"/>
          <w:sz w:val="24"/>
          <w:szCs w:val="24"/>
          <w14:textFill>
            <w14:solidFill>
              <w14:schemeClr w14:val="tx1"/>
            </w14:solidFill>
          </w14:textFill>
        </w:rPr>
      </w:pPr>
      <w:bookmarkStart w:id="5" w:name="_Hlt510343011"/>
      <w:bookmarkStart w:id="6" w:name="_Hlt510342998"/>
      <w:r>
        <w:rPr>
          <w:rFonts w:hint="eastAsia" w:ascii="宋体" w:hAnsi="宋体"/>
          <w:b/>
          <w:color w:val="000000" w:themeColor="text1"/>
          <w:sz w:val="24"/>
          <w:szCs w:val="24"/>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现对</w:t>
      </w:r>
      <w:r>
        <w:rPr>
          <w:rFonts w:hint="eastAsia" w:ascii="宋体" w:hAnsi="宋体"/>
          <w:b/>
          <w:bCs/>
          <w:color w:val="000000" w:themeColor="text1"/>
          <w:sz w:val="24"/>
          <w:szCs w:val="24"/>
          <w:lang w:eastAsia="zh-CN"/>
          <w14:textFill>
            <w14:solidFill>
              <w14:schemeClr w14:val="tx1"/>
            </w14:solidFill>
          </w14:textFill>
        </w:rPr>
        <w:t>合肥体育产业投资有限公司人员外包服务</w:t>
      </w:r>
      <w:r>
        <w:rPr>
          <w:rFonts w:hint="eastAsia" w:ascii="宋体" w:hAnsi="宋体"/>
          <w:bCs/>
          <w:color w:val="000000" w:themeColor="text1"/>
          <w:sz w:val="24"/>
          <w:szCs w:val="24"/>
          <w14:textFill>
            <w14:solidFill>
              <w14:schemeClr w14:val="tx1"/>
            </w14:solidFill>
          </w14:textFill>
        </w:rPr>
        <w:t>（以下简称：本项目）</w:t>
      </w:r>
      <w:r>
        <w:rPr>
          <w:rFonts w:hint="eastAsia" w:ascii="宋体" w:hAnsi="宋体"/>
          <w:color w:val="000000" w:themeColor="text1"/>
          <w:sz w:val="24"/>
          <w:szCs w:val="24"/>
          <w14:textFill>
            <w14:solidFill>
              <w14:schemeClr w14:val="tx1"/>
            </w14:solidFill>
          </w14:textFill>
        </w:rPr>
        <w:t>进行公开招标，欢迎具备条件的投标人参加投标。</w:t>
      </w:r>
    </w:p>
    <w:p>
      <w:pPr>
        <w:autoSpaceDE w:val="0"/>
        <w:autoSpaceDN w:val="0"/>
        <w:adjustRightInd w:val="0"/>
        <w:spacing w:line="360" w:lineRule="auto"/>
        <w:ind w:firstLine="200"/>
        <w:jc w:val="lef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一、项目名称及内容</w:t>
      </w:r>
    </w:p>
    <w:p>
      <w:pPr>
        <w:tabs>
          <w:tab w:val="left" w:pos="2410"/>
        </w:tabs>
        <w:autoSpaceDE w:val="0"/>
        <w:autoSpaceDN w:val="0"/>
        <w:adjustRightInd w:val="0"/>
        <w:snapToGrid w:val="0"/>
        <w:spacing w:line="360" w:lineRule="auto"/>
        <w:ind w:firstLine="240" w:firstLineChars="100"/>
        <w:rPr>
          <w:rFonts w:hint="eastAsia"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1.项目编号：202</w:t>
      </w:r>
      <w:r>
        <w:rPr>
          <w:rFonts w:hint="eastAsia" w:ascii="宋体" w:hAnsi="宋体"/>
          <w:color w:val="000000" w:themeColor="text1"/>
          <w:sz w:val="24"/>
          <w:szCs w:val="18"/>
          <w:lang w:val="en-US" w:eastAsia="zh-CN"/>
          <w14:textFill>
            <w14:solidFill>
              <w14:schemeClr w14:val="tx1"/>
            </w14:solidFill>
          </w14:textFill>
        </w:rPr>
        <w:t>3TYGSCG51</w:t>
      </w:r>
      <w:r>
        <w:rPr>
          <w:rFonts w:hint="eastAsia" w:ascii="宋体" w:hAnsi="宋体"/>
          <w:color w:val="000000" w:themeColor="text1"/>
          <w:sz w:val="24"/>
          <w:szCs w:val="18"/>
          <w14:textFill>
            <w14:solidFill>
              <w14:schemeClr w14:val="tx1"/>
            </w14:solidFill>
          </w14:textFill>
        </w:rPr>
        <w:t>号</w:t>
      </w:r>
    </w:p>
    <w:p>
      <w:pPr>
        <w:autoSpaceDE w:val="0"/>
        <w:autoSpaceDN w:val="0"/>
        <w:adjustRightInd w:val="0"/>
        <w:spacing w:line="360" w:lineRule="auto"/>
        <w:ind w:left="1681" w:leftChars="114" w:hanging="1442" w:hangingChars="601"/>
        <w:jc w:val="left"/>
        <w:rPr>
          <w:rFonts w:hint="eastAsia" w:ascii="宋体" w:hAnsi="宋体"/>
          <w:color w:val="000000" w:themeColor="text1"/>
          <w:sz w:val="24"/>
          <w:szCs w:val="18"/>
          <w:lang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2.项目名称：</w:t>
      </w:r>
      <w:r>
        <w:rPr>
          <w:rFonts w:hint="eastAsia" w:ascii="宋体" w:hAnsi="宋体"/>
          <w:color w:val="000000" w:themeColor="text1"/>
          <w:sz w:val="24"/>
          <w:szCs w:val="18"/>
          <w:lang w:eastAsia="zh-CN"/>
          <w14:textFill>
            <w14:solidFill>
              <w14:schemeClr w14:val="tx1"/>
            </w14:solidFill>
          </w14:textFill>
        </w:rPr>
        <w:t>合肥体育产业投资有限公司人员外包服务</w:t>
      </w:r>
    </w:p>
    <w:p>
      <w:pPr>
        <w:autoSpaceDE w:val="0"/>
        <w:autoSpaceDN w:val="0"/>
        <w:adjustRightInd w:val="0"/>
        <w:spacing w:line="360" w:lineRule="auto"/>
        <w:ind w:left="1681" w:leftChars="114" w:hanging="1442" w:hangingChars="601"/>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3.项目地点：合肥体育中心</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4.项目单位：合肥体育产业投资有限公司 </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5.项目概况：详见招标需求</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000000" w:themeColor="text1"/>
          <w:sz w:val="24"/>
          <w:szCs w:val="18"/>
          <w14:textFill>
            <w14:solidFill>
              <w14:schemeClr w14:val="tx1"/>
            </w14:solidFill>
          </w14:textFill>
        </w:rPr>
        <w:t>6.资金来源</w:t>
      </w:r>
      <w:r>
        <w:rPr>
          <w:rFonts w:hint="eastAsia" w:ascii="宋体" w:hAnsi="宋体"/>
          <w:color w:val="auto"/>
          <w:sz w:val="24"/>
          <w:szCs w:val="18"/>
        </w:rPr>
        <w:t>：自筹</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7.项目概算:贰拾</w:t>
      </w:r>
      <w:r>
        <w:rPr>
          <w:rFonts w:hint="eastAsia" w:ascii="宋体" w:hAnsi="宋体"/>
          <w:color w:val="auto"/>
          <w:sz w:val="24"/>
          <w:szCs w:val="18"/>
          <w:lang w:val="en-US" w:eastAsia="zh-CN"/>
        </w:rPr>
        <w:t>柒</w:t>
      </w:r>
      <w:r>
        <w:rPr>
          <w:rFonts w:hint="eastAsia" w:ascii="宋体" w:hAnsi="宋体"/>
          <w:color w:val="auto"/>
          <w:sz w:val="24"/>
          <w:szCs w:val="18"/>
        </w:rPr>
        <w:t>万元整（</w:t>
      </w:r>
      <w:r>
        <w:rPr>
          <w:rFonts w:ascii="宋体" w:hAnsi="宋体"/>
          <w:color w:val="auto"/>
          <w:sz w:val="24"/>
          <w:szCs w:val="18"/>
        </w:rPr>
        <w:t>¥</w:t>
      </w:r>
      <w:r>
        <w:rPr>
          <w:rFonts w:hint="eastAsia" w:ascii="宋体" w:hAnsi="宋体"/>
          <w:color w:val="auto"/>
          <w:sz w:val="24"/>
          <w:szCs w:val="18"/>
          <w:lang w:val="en-US" w:eastAsia="zh-CN"/>
        </w:rPr>
        <w:t>270</w:t>
      </w:r>
      <w:r>
        <w:rPr>
          <w:rFonts w:hint="eastAsia" w:ascii="宋体" w:hAnsi="宋体"/>
          <w:color w:val="auto"/>
          <w:sz w:val="24"/>
          <w:szCs w:val="18"/>
        </w:rPr>
        <w:t>,000</w:t>
      </w:r>
      <w:r>
        <w:rPr>
          <w:rFonts w:ascii="宋体" w:hAnsi="宋体"/>
          <w:color w:val="auto"/>
          <w:sz w:val="24"/>
          <w:szCs w:val="18"/>
        </w:rPr>
        <w:t>.00</w:t>
      </w:r>
      <w:r>
        <w:rPr>
          <w:rFonts w:hint="eastAsia" w:ascii="宋体" w:hAnsi="宋体"/>
          <w:color w:val="auto"/>
          <w:sz w:val="24"/>
          <w:szCs w:val="18"/>
        </w:rPr>
        <w:t>）</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8.项目类别：</w:t>
      </w:r>
      <w:r>
        <w:rPr>
          <w:rFonts w:hint="eastAsia" w:ascii="宋体" w:hAnsi="宋体"/>
          <w:color w:val="auto"/>
          <w:sz w:val="24"/>
          <w:szCs w:val="18"/>
          <w:lang w:val="en-US" w:eastAsia="zh-CN"/>
        </w:rPr>
        <w:t>服务</w:t>
      </w:r>
      <w:r>
        <w:rPr>
          <w:rFonts w:hint="eastAsia" w:ascii="宋体" w:hAnsi="宋体"/>
          <w:color w:val="auto"/>
          <w:sz w:val="24"/>
          <w:szCs w:val="18"/>
        </w:rPr>
        <w:t>类</w:t>
      </w:r>
    </w:p>
    <w:p>
      <w:pPr>
        <w:numPr>
          <w:ilvl w:val="0"/>
          <w:numId w:val="4"/>
        </w:numPr>
        <w:autoSpaceDE w:val="0"/>
        <w:autoSpaceDN w:val="0"/>
        <w:adjustRightInd w:val="0"/>
        <w:spacing w:line="360" w:lineRule="auto"/>
        <w:jc w:val="left"/>
        <w:rPr>
          <w:rFonts w:ascii="宋体" w:hAnsi="宋体"/>
          <w:b/>
          <w:bCs/>
          <w:color w:val="auto"/>
          <w:sz w:val="24"/>
          <w:szCs w:val="24"/>
        </w:rPr>
      </w:pPr>
      <w:r>
        <w:rPr>
          <w:rFonts w:hint="eastAsia" w:ascii="宋体" w:hAnsi="宋体"/>
          <w:b/>
          <w:bCs/>
          <w:color w:val="auto"/>
          <w:sz w:val="24"/>
          <w:szCs w:val="24"/>
        </w:rPr>
        <w:t>投标人资格</w:t>
      </w:r>
    </w:p>
    <w:p>
      <w:pPr>
        <w:autoSpaceDE w:val="0"/>
        <w:autoSpaceDN w:val="0"/>
        <w:adjustRightInd w:val="0"/>
        <w:spacing w:line="360" w:lineRule="auto"/>
        <w:jc w:val="left"/>
        <w:rPr>
          <w:rFonts w:hint="eastAsia" w:ascii="宋体" w:hAnsi="宋体" w:cs="宋体"/>
          <w:color w:val="000000"/>
          <w:sz w:val="24"/>
          <w:szCs w:val="24"/>
        </w:rPr>
      </w:pPr>
      <w:r>
        <w:rPr>
          <w:rFonts w:hint="eastAsia" w:ascii="宋体" w:hAnsi="宋体" w:cs="宋体"/>
          <w:color w:val="000000"/>
          <w:sz w:val="24"/>
          <w:szCs w:val="24"/>
        </w:rPr>
        <w:t>1.具有独立承担民事责任的能力；</w:t>
      </w:r>
    </w:p>
    <w:p>
      <w:pPr>
        <w:autoSpaceDE w:val="0"/>
        <w:autoSpaceDN w:val="0"/>
        <w:adjustRightInd w:val="0"/>
        <w:spacing w:line="360" w:lineRule="auto"/>
        <w:jc w:val="left"/>
        <w:rPr>
          <w:rFonts w:hint="eastAsia" w:ascii="宋体" w:hAnsi="宋体" w:cs="宋体"/>
          <w:color w:val="000000"/>
          <w:sz w:val="24"/>
          <w:szCs w:val="24"/>
        </w:rPr>
      </w:pPr>
      <w:r>
        <w:rPr>
          <w:rFonts w:hint="eastAsia" w:ascii="宋体" w:hAnsi="宋体" w:cs="宋体"/>
          <w:color w:val="000000"/>
          <w:sz w:val="24"/>
          <w:szCs w:val="24"/>
        </w:rPr>
        <w:t>2.投标人资质要求：投标人须具备人力资源服务许可证；</w:t>
      </w:r>
    </w:p>
    <w:p>
      <w:pPr>
        <w:autoSpaceDE w:val="0"/>
        <w:autoSpaceDN w:val="0"/>
        <w:adjustRightInd w:val="0"/>
        <w:spacing w:line="360" w:lineRule="auto"/>
        <w:jc w:val="left"/>
        <w:rPr>
          <w:rFonts w:hint="eastAsia" w:ascii="宋体" w:hAnsi="宋体" w:cs="宋体"/>
          <w:color w:val="000000"/>
          <w:sz w:val="24"/>
          <w:szCs w:val="24"/>
        </w:rPr>
      </w:pPr>
      <w:r>
        <w:rPr>
          <w:rFonts w:hint="eastAsia" w:ascii="宋体" w:hAnsi="宋体" w:cs="宋体"/>
          <w:color w:val="000000"/>
          <w:sz w:val="24"/>
          <w:szCs w:val="24"/>
        </w:rPr>
        <w:t>3.业绩要求：投标人须具备</w:t>
      </w:r>
      <w:r>
        <w:rPr>
          <w:rFonts w:hint="eastAsia" w:ascii="宋体" w:hAnsi="宋体" w:cs="宋体"/>
          <w:color w:val="000000"/>
          <w:sz w:val="24"/>
          <w:szCs w:val="24"/>
          <w:lang w:val="en-US" w:eastAsia="zh-CN"/>
        </w:rPr>
        <w:t>1个20</w:t>
      </w:r>
      <w:r>
        <w:rPr>
          <w:rFonts w:hint="eastAsia" w:asciiTheme="minorEastAsia" w:hAnsiTheme="minorEastAsia" w:eastAsiaTheme="minorEastAsia" w:cstheme="minorEastAsia"/>
          <w:bCs/>
          <w:color w:val="auto"/>
          <w:sz w:val="24"/>
          <w:szCs w:val="24"/>
          <w:highlight w:val="none"/>
        </w:rPr>
        <w:t>20年1月1日（以合同签订时间为准）以来，</w:t>
      </w:r>
      <w:r>
        <w:rPr>
          <w:rFonts w:hint="eastAsia" w:asciiTheme="minorEastAsia" w:hAnsiTheme="minorEastAsia" w:eastAsiaTheme="minorEastAsia" w:cstheme="minorEastAsia"/>
          <w:bCs/>
          <w:color w:val="auto"/>
          <w:sz w:val="24"/>
          <w:szCs w:val="24"/>
          <w:highlight w:val="none"/>
          <w:lang w:val="en-US" w:eastAsia="zh-CN"/>
        </w:rPr>
        <w:t>人力资源</w:t>
      </w:r>
      <w:r>
        <w:rPr>
          <w:rFonts w:hint="eastAsia" w:asciiTheme="minorEastAsia" w:hAnsiTheme="minorEastAsia" w:eastAsiaTheme="minorEastAsia" w:cstheme="minorEastAsia"/>
          <w:bCs/>
          <w:color w:val="auto"/>
          <w:sz w:val="24"/>
          <w:szCs w:val="24"/>
          <w:highlight w:val="none"/>
        </w:rPr>
        <w:t>服务外包业绩</w:t>
      </w:r>
      <w:r>
        <w:rPr>
          <w:rFonts w:hint="eastAsia" w:asciiTheme="minorEastAsia" w:hAnsiTheme="minorEastAsia" w:eastAsiaTheme="minorEastAsia" w:cstheme="minorEastAsia"/>
          <w:bCs/>
          <w:color w:val="auto"/>
          <w:sz w:val="24"/>
          <w:szCs w:val="24"/>
          <w:highlight w:val="none"/>
          <w:lang w:val="en-US" w:eastAsia="zh-CN"/>
        </w:rPr>
        <w:t>，且单个合同总额在300万以上或服务费在15万以上的业绩</w:t>
      </w:r>
      <w:r>
        <w:rPr>
          <w:rFonts w:hint="eastAsia" w:ascii="宋体" w:hAnsi="宋体" w:cs="宋体"/>
          <w:color w:val="000000"/>
          <w:sz w:val="24"/>
          <w:szCs w:val="24"/>
        </w:rPr>
        <w:t>；</w:t>
      </w:r>
    </w:p>
    <w:p>
      <w:pPr>
        <w:autoSpaceDE w:val="0"/>
        <w:autoSpaceDN w:val="0"/>
        <w:adjustRightInd w:val="0"/>
        <w:spacing w:line="360" w:lineRule="auto"/>
        <w:jc w:val="left"/>
        <w:rPr>
          <w:rFonts w:ascii="宋体" w:hAnsi="宋体" w:cs="宋体"/>
          <w:color w:val="000000"/>
          <w:sz w:val="24"/>
          <w:szCs w:val="24"/>
        </w:rPr>
      </w:pPr>
      <w:r>
        <w:rPr>
          <w:rFonts w:hint="eastAsia" w:ascii="宋体" w:hAnsi="宋体" w:cs="宋体"/>
          <w:color w:val="000000"/>
          <w:sz w:val="24"/>
          <w:szCs w:val="24"/>
        </w:rPr>
        <w:t>4.本项目不接受联合体投标；</w:t>
      </w:r>
    </w:p>
    <w:p>
      <w:pPr>
        <w:autoSpaceDE w:val="0"/>
        <w:autoSpaceDN w:val="0"/>
        <w:adjustRightInd w:val="0"/>
        <w:spacing w:line="360" w:lineRule="auto"/>
        <w:jc w:val="left"/>
        <w:rPr>
          <w:rFonts w:hint="eastAsia" w:ascii="宋体" w:hAnsi="宋体"/>
          <w:color w:val="000000"/>
          <w:sz w:val="24"/>
          <w:szCs w:val="18"/>
        </w:rPr>
      </w:pPr>
      <w:r>
        <w:rPr>
          <w:rFonts w:ascii="宋体" w:hAnsi="宋体" w:cs="宋体"/>
          <w:color w:val="000000"/>
          <w:sz w:val="24"/>
          <w:szCs w:val="24"/>
        </w:rPr>
        <w:t>5.</w:t>
      </w:r>
      <w:r>
        <w:rPr>
          <w:rFonts w:hint="eastAsia" w:ascii="宋体" w:hAnsi="宋体"/>
          <w:color w:val="000000"/>
          <w:sz w:val="24"/>
          <w:szCs w:val="18"/>
        </w:rPr>
        <w:t>符合下列情形之一：</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1)开标日前两年内未被合肥市及其所辖县（市）公共资源交易监督管理局记不良行为记录或记不良行为记录累计未满10分的。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2)最近一次被合肥市及其所辖县（市）公共资源交易监督管理局记不良行为记录累计记分达10分(含10分)到15分且公布日距开标日超过6个月。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3)最近一次被合肥市及其所辖县（市）公共资源交易监督管理局记不良行为记录累计记分达15分(含15分)到20分且公布日距开标日超过12个月。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4)最近一次被合肥市及其所辖县（市）公共资源交易监督管理局记不良行为记录累计记分达20分(含20分)及以上且公布日距开标日超过24个月。</w:t>
      </w:r>
    </w:p>
    <w:p>
      <w:pPr>
        <w:autoSpaceDE w:val="0"/>
        <w:autoSpaceDN w:val="0"/>
        <w:adjustRightInd w:val="0"/>
        <w:spacing w:line="360" w:lineRule="auto"/>
        <w:ind w:firstLine="200"/>
        <w:jc w:val="left"/>
        <w:rPr>
          <w:rFonts w:hint="eastAsia" w:ascii="宋体" w:hAnsi="宋体"/>
          <w:color w:val="000000"/>
          <w:sz w:val="24"/>
          <w:szCs w:val="18"/>
        </w:rPr>
      </w:pPr>
      <w:r>
        <w:rPr>
          <w:rFonts w:ascii="宋体" w:hAnsi="宋体"/>
          <w:color w:val="000000"/>
          <w:sz w:val="24"/>
          <w:szCs w:val="18"/>
        </w:rPr>
        <w:t>6</w:t>
      </w:r>
      <w:r>
        <w:rPr>
          <w:rFonts w:hint="eastAsia" w:ascii="宋体" w:hAnsi="宋体"/>
          <w:color w:val="000000"/>
          <w:sz w:val="24"/>
          <w:szCs w:val="18"/>
        </w:rPr>
        <w:t>.投标人存在以下不良信用记录情形之一的，不得推荐为中标候选人，不得确定为中标人：</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1）投标人被人民法院列入失信被执行人的；</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 xml:space="preserve">2）投标人或其法定代表人或拟派项目经理（项目负责人）被人民检察院列入行贿犯罪档案的； </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3）投标人被工商行政管理部门列入企业经营异常名录的；</w:t>
      </w:r>
    </w:p>
    <w:p>
      <w:pPr>
        <w:autoSpaceDE w:val="0"/>
        <w:autoSpaceDN w:val="0"/>
        <w:adjustRightInd w:val="0"/>
        <w:spacing w:line="360" w:lineRule="auto"/>
        <w:ind w:firstLine="200"/>
        <w:jc w:val="left"/>
        <w:rPr>
          <w:rFonts w:hint="eastAsia" w:ascii="宋体" w:hAnsi="宋体"/>
          <w:color w:val="000000"/>
          <w:sz w:val="24"/>
          <w:szCs w:val="18"/>
        </w:rPr>
      </w:pPr>
      <w:r>
        <w:rPr>
          <w:rFonts w:hint="eastAsia" w:ascii="宋体" w:hAnsi="宋体"/>
          <w:color w:val="000000"/>
          <w:sz w:val="24"/>
          <w:szCs w:val="18"/>
        </w:rPr>
        <w:t>4）投标人被税务部门列入重大税收违法案件当事人名单的。</w:t>
      </w:r>
    </w:p>
    <w:p>
      <w:pPr>
        <w:autoSpaceDE w:val="0"/>
        <w:autoSpaceDN w:val="0"/>
        <w:adjustRightInd w:val="0"/>
        <w:spacing w:line="460" w:lineRule="exact"/>
        <w:ind w:firstLine="241" w:firstLineChars="100"/>
        <w:jc w:val="left"/>
        <w:rPr>
          <w:rFonts w:ascii="宋体" w:hAnsi="宋体"/>
          <w:b/>
          <w:bCs/>
          <w:color w:val="auto"/>
          <w:sz w:val="24"/>
          <w:szCs w:val="24"/>
        </w:rPr>
      </w:pPr>
      <w:r>
        <w:rPr>
          <w:rFonts w:hint="eastAsia" w:ascii="宋体" w:hAnsi="宋体"/>
          <w:b/>
          <w:bCs/>
          <w:color w:val="auto"/>
          <w:sz w:val="24"/>
          <w:szCs w:val="24"/>
        </w:rPr>
        <w:t>三、投标报名</w:t>
      </w:r>
    </w:p>
    <w:p>
      <w:pPr>
        <w:autoSpaceDE w:val="0"/>
        <w:autoSpaceDN w:val="0"/>
        <w:adjustRightInd w:val="0"/>
        <w:spacing w:line="360" w:lineRule="auto"/>
        <w:ind w:firstLine="200"/>
        <w:jc w:val="left"/>
        <w:rPr>
          <w:rFonts w:hint="eastAsia" w:ascii="宋体" w:hAnsi="宋体"/>
          <w:color w:val="000000" w:themeColor="text1"/>
          <w:sz w:val="24"/>
          <w:szCs w:val="18"/>
          <w14:textFill>
            <w14:solidFill>
              <w14:schemeClr w14:val="tx1"/>
            </w14:solidFill>
          </w14:textFill>
        </w:rPr>
      </w:pPr>
      <w:r>
        <w:rPr>
          <w:rFonts w:hint="eastAsia" w:ascii="宋体" w:hAnsi="宋体"/>
          <w:bCs/>
          <w:color w:val="auto"/>
          <w:sz w:val="24"/>
          <w:szCs w:val="24"/>
        </w:rPr>
        <w:t>1.</w:t>
      </w:r>
      <w:r>
        <w:rPr>
          <w:rFonts w:hint="eastAsia" w:ascii="宋体" w:hAnsi="宋体" w:cs="宋体"/>
          <w:color w:val="auto"/>
          <w:kern w:val="0"/>
          <w:sz w:val="24"/>
          <w:szCs w:val="24"/>
        </w:rPr>
        <w:t>报名日期：</w:t>
      </w:r>
      <w:r>
        <w:rPr>
          <w:rFonts w:hint="eastAsia" w:ascii="宋体" w:hAnsi="宋体"/>
          <w:color w:val="C00000"/>
          <w:sz w:val="24"/>
          <w:szCs w:val="18"/>
        </w:rPr>
        <w:t>202</w:t>
      </w:r>
      <w:r>
        <w:rPr>
          <w:rFonts w:hint="eastAsia" w:ascii="宋体" w:hAnsi="宋体"/>
          <w:color w:val="C00000"/>
          <w:sz w:val="24"/>
          <w:szCs w:val="18"/>
          <w:lang w:val="en-US" w:eastAsia="zh-CN"/>
        </w:rPr>
        <w:t>3</w:t>
      </w:r>
      <w:r>
        <w:rPr>
          <w:rFonts w:hint="eastAsia" w:ascii="宋体" w:hAnsi="宋体"/>
          <w:color w:val="C00000"/>
          <w:sz w:val="24"/>
          <w:szCs w:val="18"/>
        </w:rPr>
        <w:t>年</w:t>
      </w:r>
      <w:r>
        <w:rPr>
          <w:rFonts w:hint="eastAsia" w:ascii="宋体" w:hAnsi="宋体"/>
          <w:color w:val="C00000"/>
          <w:sz w:val="24"/>
          <w:szCs w:val="18"/>
          <w:lang w:val="en-US" w:eastAsia="zh-CN"/>
        </w:rPr>
        <w:t>11</w:t>
      </w:r>
      <w:r>
        <w:rPr>
          <w:rFonts w:hint="eastAsia" w:ascii="宋体" w:hAnsi="宋体"/>
          <w:color w:val="C00000"/>
          <w:sz w:val="24"/>
          <w:szCs w:val="18"/>
        </w:rPr>
        <w:t>月</w:t>
      </w:r>
      <w:r>
        <w:rPr>
          <w:rFonts w:hint="eastAsia" w:ascii="宋体" w:hAnsi="宋体"/>
          <w:color w:val="C00000"/>
          <w:sz w:val="24"/>
          <w:szCs w:val="18"/>
          <w:lang w:val="en-US" w:eastAsia="zh-CN"/>
        </w:rPr>
        <w:t>22</w:t>
      </w:r>
      <w:r>
        <w:rPr>
          <w:rFonts w:hint="eastAsia" w:ascii="宋体" w:hAnsi="宋体"/>
          <w:color w:val="C00000"/>
          <w:sz w:val="24"/>
          <w:szCs w:val="18"/>
        </w:rPr>
        <w:t>日上午09:00至20</w:t>
      </w:r>
      <w:r>
        <w:rPr>
          <w:rFonts w:hint="eastAsia" w:ascii="宋体" w:hAnsi="宋体"/>
          <w:color w:val="C00000"/>
          <w:sz w:val="24"/>
          <w:szCs w:val="18"/>
          <w:lang w:val="en-US" w:eastAsia="zh-CN"/>
        </w:rPr>
        <w:t>23</w:t>
      </w:r>
      <w:r>
        <w:rPr>
          <w:rFonts w:hint="eastAsia" w:ascii="宋体" w:hAnsi="宋体"/>
          <w:color w:val="C00000"/>
          <w:sz w:val="24"/>
          <w:szCs w:val="18"/>
        </w:rPr>
        <w:t>年</w:t>
      </w:r>
      <w:r>
        <w:rPr>
          <w:rFonts w:hint="eastAsia" w:ascii="宋体" w:hAnsi="宋体"/>
          <w:color w:val="C00000"/>
          <w:sz w:val="24"/>
          <w:szCs w:val="18"/>
          <w:lang w:val="en-US" w:eastAsia="zh-CN"/>
        </w:rPr>
        <w:t>11</w:t>
      </w:r>
      <w:r>
        <w:rPr>
          <w:rFonts w:hint="eastAsia" w:ascii="宋体" w:hAnsi="宋体"/>
          <w:color w:val="C00000"/>
          <w:sz w:val="24"/>
          <w:szCs w:val="18"/>
        </w:rPr>
        <w:t>月</w:t>
      </w:r>
      <w:r>
        <w:rPr>
          <w:rFonts w:hint="eastAsia" w:ascii="宋体" w:hAnsi="宋体"/>
          <w:color w:val="C00000"/>
          <w:sz w:val="24"/>
          <w:szCs w:val="18"/>
          <w:lang w:val="en-US" w:eastAsia="zh-CN"/>
        </w:rPr>
        <w:t>28</w:t>
      </w:r>
      <w:r>
        <w:rPr>
          <w:rFonts w:hint="eastAsia" w:ascii="宋体" w:hAnsi="宋体"/>
          <w:color w:val="C00000"/>
          <w:sz w:val="24"/>
          <w:szCs w:val="18"/>
        </w:rPr>
        <w:t>日下午17:00</w:t>
      </w:r>
    </w:p>
    <w:p>
      <w:pPr>
        <w:autoSpaceDE w:val="0"/>
        <w:autoSpaceDN w:val="0"/>
        <w:adjustRightInd w:val="0"/>
        <w:spacing w:line="360" w:lineRule="auto"/>
        <w:ind w:firstLine="200"/>
        <w:jc w:val="left"/>
        <w:rPr>
          <w:rFonts w:hint="eastAsia" w:ascii="宋体" w:hAnsi="宋体" w:cs="宋体"/>
          <w:color w:val="auto"/>
          <w:kern w:val="0"/>
          <w:sz w:val="24"/>
          <w:szCs w:val="24"/>
        </w:rPr>
      </w:pPr>
      <w:r>
        <w:rPr>
          <w:rFonts w:hint="eastAsia" w:ascii="宋体" w:hAnsi="宋体" w:cs="宋体"/>
          <w:color w:val="auto"/>
          <w:kern w:val="0"/>
          <w:sz w:val="24"/>
          <w:szCs w:val="24"/>
        </w:rPr>
        <w:t>2.领取方法：登录合肥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有限公司网站http://www.hftycy.com/下载标书</w:t>
      </w:r>
    </w:p>
    <w:p>
      <w:pPr>
        <w:autoSpaceDE w:val="0"/>
        <w:autoSpaceDN w:val="0"/>
        <w:adjustRightInd w:val="0"/>
        <w:spacing w:line="360" w:lineRule="auto"/>
        <w:ind w:firstLine="200"/>
        <w:jc w:val="left"/>
        <w:rPr>
          <w:rFonts w:hint="eastAsia" w:ascii="宋体" w:hAnsi="宋体"/>
          <w:color w:val="000000"/>
          <w:sz w:val="24"/>
          <w:szCs w:val="24"/>
        </w:rPr>
      </w:pPr>
      <w:r>
        <w:rPr>
          <w:rFonts w:hint="eastAsia" w:ascii="宋体" w:hAnsi="宋体" w:cs="宋体"/>
          <w:color w:val="auto"/>
          <w:kern w:val="0"/>
          <w:sz w:val="24"/>
          <w:szCs w:val="24"/>
          <w:lang w:val="en-US" w:eastAsia="zh-CN"/>
        </w:rPr>
        <w:t>3</w:t>
      </w:r>
      <w:r>
        <w:rPr>
          <w:rFonts w:hint="eastAsia" w:ascii="宋体" w:hAnsi="宋体"/>
          <w:color w:val="000000"/>
          <w:sz w:val="24"/>
          <w:szCs w:val="24"/>
        </w:rPr>
        <w:t>.报名方法：下载附件《投标报名信息表》并完整填写信息后在规定的报名日期内发送至邮箱：</w:t>
      </w:r>
      <w:r>
        <w:rPr>
          <w:rFonts w:hint="eastAsia" w:ascii="宋体" w:hAnsi="宋体"/>
          <w:color w:val="000000"/>
          <w:sz w:val="24"/>
          <w:szCs w:val="24"/>
          <w:u w:val="single"/>
          <w:lang w:val="en-US" w:eastAsia="zh-CN"/>
        </w:rPr>
        <w:t>361365751</w:t>
      </w:r>
      <w:r>
        <w:rPr>
          <w:rFonts w:hint="eastAsia" w:ascii="宋体" w:hAnsi="宋体"/>
          <w:color w:val="000000"/>
          <w:sz w:val="24"/>
          <w:szCs w:val="24"/>
          <w:u w:val="single"/>
        </w:rPr>
        <w:t>@qq.com</w:t>
      </w:r>
    </w:p>
    <w:p>
      <w:pPr>
        <w:pStyle w:val="50"/>
        <w:ind w:left="0" w:leftChars="0" w:firstLine="210" w:firstLineChars="100"/>
        <w:rPr>
          <w:rFonts w:hint="default" w:eastAsia="楷体_GB2312"/>
          <w:lang w:val="en-US" w:eastAsia="zh-CN"/>
        </w:rPr>
      </w:pP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四、投标保证金</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投标保证金缴纳详见第二章投标人须知前附表</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五、开标时间及地点</w:t>
      </w:r>
    </w:p>
    <w:p>
      <w:pPr>
        <w:autoSpaceDE w:val="0"/>
        <w:autoSpaceDN w:val="0"/>
        <w:adjustRightInd w:val="0"/>
        <w:spacing w:line="360" w:lineRule="auto"/>
        <w:ind w:firstLine="200"/>
        <w:jc w:val="left"/>
        <w:rPr>
          <w:rFonts w:hint="eastAsia" w:ascii="宋体" w:hAnsi="宋体" w:cs="宋体"/>
          <w:color w:val="C00000"/>
          <w:kern w:val="0"/>
          <w:sz w:val="24"/>
          <w:szCs w:val="24"/>
        </w:rPr>
      </w:pPr>
      <w:r>
        <w:rPr>
          <w:rFonts w:hint="eastAsia" w:ascii="宋体" w:hAnsi="宋体" w:cs="宋体"/>
          <w:color w:val="auto"/>
          <w:kern w:val="0"/>
          <w:sz w:val="24"/>
          <w:szCs w:val="24"/>
        </w:rPr>
        <w:t>1.开标时间：</w:t>
      </w:r>
      <w:r>
        <w:rPr>
          <w:rFonts w:hint="eastAsia" w:ascii="宋体" w:hAnsi="宋体" w:cs="宋体"/>
          <w:color w:val="C00000"/>
          <w:kern w:val="0"/>
          <w:sz w:val="24"/>
          <w:szCs w:val="24"/>
        </w:rPr>
        <w:t>202</w:t>
      </w:r>
      <w:r>
        <w:rPr>
          <w:rFonts w:hint="eastAsia" w:ascii="宋体" w:hAnsi="宋体" w:cs="宋体"/>
          <w:color w:val="C00000"/>
          <w:kern w:val="0"/>
          <w:sz w:val="24"/>
          <w:szCs w:val="24"/>
          <w:lang w:val="en-US" w:eastAsia="zh-CN"/>
        </w:rPr>
        <w:t>3</w:t>
      </w:r>
      <w:r>
        <w:rPr>
          <w:rFonts w:hint="eastAsia" w:ascii="宋体" w:hAnsi="宋体" w:cs="宋体"/>
          <w:color w:val="C00000"/>
          <w:kern w:val="0"/>
          <w:sz w:val="24"/>
          <w:szCs w:val="24"/>
        </w:rPr>
        <w:t>年</w:t>
      </w:r>
      <w:r>
        <w:rPr>
          <w:rFonts w:hint="eastAsia" w:ascii="宋体" w:hAnsi="宋体" w:cs="宋体"/>
          <w:color w:val="C00000"/>
          <w:kern w:val="0"/>
          <w:sz w:val="24"/>
          <w:szCs w:val="24"/>
          <w:lang w:val="en-US" w:eastAsia="zh-CN"/>
        </w:rPr>
        <w:t>11</w:t>
      </w:r>
      <w:r>
        <w:rPr>
          <w:rFonts w:hint="eastAsia" w:ascii="宋体" w:hAnsi="宋体" w:cs="宋体"/>
          <w:color w:val="C00000"/>
          <w:kern w:val="0"/>
          <w:sz w:val="24"/>
          <w:szCs w:val="24"/>
        </w:rPr>
        <w:t>月</w:t>
      </w:r>
      <w:r>
        <w:rPr>
          <w:rFonts w:hint="eastAsia" w:ascii="宋体" w:hAnsi="宋体" w:cs="宋体"/>
          <w:color w:val="C00000"/>
          <w:kern w:val="0"/>
          <w:sz w:val="24"/>
          <w:szCs w:val="24"/>
          <w:lang w:val="en-US" w:eastAsia="zh-CN"/>
        </w:rPr>
        <w:t>29</w:t>
      </w:r>
      <w:r>
        <w:rPr>
          <w:rFonts w:hint="eastAsia" w:ascii="宋体" w:hAnsi="宋体" w:cs="宋体"/>
          <w:color w:val="C00000"/>
          <w:kern w:val="0"/>
          <w:sz w:val="24"/>
          <w:szCs w:val="24"/>
        </w:rPr>
        <w:t>日</w:t>
      </w:r>
      <w:r>
        <w:rPr>
          <w:rFonts w:hint="eastAsia" w:ascii="宋体" w:hAnsi="宋体" w:cs="宋体"/>
          <w:color w:val="C00000"/>
          <w:kern w:val="0"/>
          <w:sz w:val="24"/>
          <w:szCs w:val="24"/>
          <w:lang w:val="en-US" w:eastAsia="zh-CN"/>
        </w:rPr>
        <w:t>9</w:t>
      </w:r>
      <w:r>
        <w:rPr>
          <w:rFonts w:hint="eastAsia" w:ascii="宋体" w:hAnsi="宋体" w:cs="宋体"/>
          <w:color w:val="C00000"/>
          <w:kern w:val="0"/>
          <w:sz w:val="24"/>
          <w:szCs w:val="24"/>
        </w:rPr>
        <w:t>：00</w:t>
      </w:r>
    </w:p>
    <w:p>
      <w:pPr>
        <w:autoSpaceDE w:val="0"/>
        <w:autoSpaceDN w:val="0"/>
        <w:adjustRightInd w:val="0"/>
        <w:spacing w:line="360" w:lineRule="auto"/>
        <w:ind w:firstLine="2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2.开标地点：</w:t>
      </w:r>
      <w:r>
        <w:rPr>
          <w:rFonts w:hint="eastAsia" w:ascii="宋体" w:hAnsi="宋体" w:cs="宋体"/>
          <w:color w:val="auto"/>
          <w:kern w:val="0"/>
          <w:sz w:val="24"/>
          <w:szCs w:val="24"/>
          <w:lang w:val="en-US" w:eastAsia="zh-CN"/>
        </w:rPr>
        <w:t>合肥体育中心主体育场贵宾区一层体育公司办公室会议室</w:t>
      </w:r>
    </w:p>
    <w:p>
      <w:pPr>
        <w:autoSpaceDE w:val="0"/>
        <w:autoSpaceDN w:val="0"/>
        <w:adjustRightInd w:val="0"/>
        <w:spacing w:line="360" w:lineRule="auto"/>
        <w:ind w:firstLine="200"/>
        <w:jc w:val="left"/>
        <w:rPr>
          <w:rFonts w:hint="eastAsia" w:ascii="宋体" w:hAnsi="宋体" w:cs="宋体"/>
          <w:b/>
          <w:color w:val="auto"/>
          <w:kern w:val="0"/>
          <w:sz w:val="24"/>
          <w:szCs w:val="24"/>
        </w:rPr>
      </w:pPr>
      <w:r>
        <w:rPr>
          <w:rFonts w:hint="eastAsia" w:ascii="宋体" w:hAnsi="宋体" w:cs="宋体"/>
          <w:b/>
          <w:color w:val="auto"/>
          <w:kern w:val="0"/>
          <w:sz w:val="24"/>
          <w:szCs w:val="24"/>
        </w:rPr>
        <w:t>六、投标截止时间</w:t>
      </w:r>
    </w:p>
    <w:p>
      <w:pPr>
        <w:autoSpaceDE w:val="0"/>
        <w:autoSpaceDN w:val="0"/>
        <w:adjustRightInd w:val="0"/>
        <w:spacing w:line="360" w:lineRule="auto"/>
        <w:ind w:firstLine="200"/>
        <w:jc w:val="left"/>
        <w:rPr>
          <w:rFonts w:hint="eastAsia" w:ascii="宋体" w:hAnsi="宋体" w:cs="宋体"/>
          <w:color w:val="C00000"/>
          <w:kern w:val="0"/>
          <w:sz w:val="24"/>
          <w:szCs w:val="24"/>
        </w:rPr>
      </w:pPr>
      <w:r>
        <w:rPr>
          <w:rFonts w:hint="eastAsia" w:ascii="宋体" w:hAnsi="宋体" w:cs="宋体"/>
          <w:color w:val="C00000"/>
          <w:kern w:val="0"/>
          <w:sz w:val="24"/>
          <w:szCs w:val="24"/>
        </w:rPr>
        <w:t>202</w:t>
      </w:r>
      <w:r>
        <w:rPr>
          <w:rFonts w:hint="eastAsia" w:ascii="宋体" w:hAnsi="宋体" w:cs="宋体"/>
          <w:color w:val="C00000"/>
          <w:kern w:val="0"/>
          <w:sz w:val="24"/>
          <w:szCs w:val="24"/>
          <w:lang w:val="en-US" w:eastAsia="zh-CN"/>
        </w:rPr>
        <w:t>3</w:t>
      </w:r>
      <w:r>
        <w:rPr>
          <w:rFonts w:hint="eastAsia" w:ascii="宋体" w:hAnsi="宋体" w:cs="宋体"/>
          <w:color w:val="C00000"/>
          <w:kern w:val="0"/>
          <w:sz w:val="24"/>
          <w:szCs w:val="24"/>
        </w:rPr>
        <w:t>年</w:t>
      </w:r>
      <w:r>
        <w:rPr>
          <w:rFonts w:hint="eastAsia" w:ascii="宋体" w:hAnsi="宋体" w:cs="宋体"/>
          <w:color w:val="C00000"/>
          <w:kern w:val="0"/>
          <w:sz w:val="24"/>
          <w:szCs w:val="24"/>
          <w:lang w:val="en-US" w:eastAsia="zh-CN"/>
        </w:rPr>
        <w:t>11</w:t>
      </w:r>
      <w:r>
        <w:rPr>
          <w:rFonts w:hint="eastAsia" w:ascii="宋体" w:hAnsi="宋体" w:cs="宋体"/>
          <w:color w:val="C00000"/>
          <w:kern w:val="0"/>
          <w:sz w:val="24"/>
          <w:szCs w:val="24"/>
        </w:rPr>
        <w:t>月</w:t>
      </w:r>
      <w:r>
        <w:rPr>
          <w:rFonts w:hint="eastAsia" w:ascii="宋体" w:hAnsi="宋体" w:cs="宋体"/>
          <w:color w:val="C00000"/>
          <w:kern w:val="0"/>
          <w:sz w:val="24"/>
          <w:szCs w:val="24"/>
          <w:lang w:val="en-US" w:eastAsia="zh-CN"/>
        </w:rPr>
        <w:t>29</w:t>
      </w:r>
      <w:r>
        <w:rPr>
          <w:rFonts w:hint="eastAsia" w:ascii="宋体" w:hAnsi="宋体" w:cs="宋体"/>
          <w:color w:val="C00000"/>
          <w:kern w:val="0"/>
          <w:sz w:val="24"/>
          <w:szCs w:val="24"/>
        </w:rPr>
        <w:t>日</w:t>
      </w:r>
      <w:r>
        <w:rPr>
          <w:rFonts w:hint="eastAsia" w:ascii="宋体" w:hAnsi="宋体" w:cs="宋体"/>
          <w:color w:val="C00000"/>
          <w:kern w:val="0"/>
          <w:sz w:val="24"/>
          <w:szCs w:val="24"/>
          <w:lang w:val="en-US" w:eastAsia="zh-CN"/>
        </w:rPr>
        <w:t>9</w:t>
      </w:r>
      <w:r>
        <w:rPr>
          <w:rFonts w:hint="eastAsia" w:ascii="宋体" w:hAnsi="宋体" w:cs="宋体"/>
          <w:color w:val="C00000"/>
          <w:kern w:val="0"/>
          <w:sz w:val="24"/>
          <w:szCs w:val="24"/>
        </w:rPr>
        <w:t>：00</w:t>
      </w:r>
    </w:p>
    <w:p>
      <w:pPr>
        <w:autoSpaceDE w:val="0"/>
        <w:autoSpaceDN w:val="0"/>
        <w:adjustRightInd w:val="0"/>
        <w:spacing w:line="360" w:lineRule="auto"/>
        <w:ind w:firstLine="241" w:firstLineChars="100"/>
        <w:jc w:val="left"/>
        <w:rPr>
          <w:rFonts w:ascii="宋体" w:hAnsi="宋体" w:cs="宋体"/>
          <w:b/>
          <w:color w:val="auto"/>
          <w:kern w:val="0"/>
          <w:sz w:val="24"/>
          <w:szCs w:val="24"/>
        </w:rPr>
      </w:pPr>
      <w:r>
        <w:rPr>
          <w:rFonts w:hint="eastAsia" w:ascii="宋体" w:hAnsi="宋体" w:cs="宋体"/>
          <w:b/>
          <w:color w:val="auto"/>
          <w:kern w:val="0"/>
          <w:sz w:val="24"/>
          <w:szCs w:val="24"/>
        </w:rPr>
        <w:t>七、联系方法</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招 标 人：合肥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w:t>
      </w:r>
    </w:p>
    <w:p>
      <w:pPr>
        <w:autoSpaceDE w:val="0"/>
        <w:autoSpaceDN w:val="0"/>
        <w:adjustRightInd w:val="0"/>
        <w:spacing w:line="360" w:lineRule="auto"/>
        <w:ind w:firstLine="2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地    址：</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投标咨询</w:t>
      </w:r>
      <w:r>
        <w:rPr>
          <w:rFonts w:hint="eastAsia" w:ascii="宋体" w:hAnsi="宋体" w:cs="宋体"/>
          <w:color w:val="auto"/>
          <w:kern w:val="0"/>
          <w:sz w:val="24"/>
          <w:szCs w:val="24"/>
        </w:rPr>
        <w:t>联系人：</w:t>
      </w:r>
      <w:r>
        <w:rPr>
          <w:rFonts w:hint="eastAsia" w:ascii="宋体" w:hAnsi="宋体" w:cs="宋体"/>
          <w:color w:val="auto"/>
          <w:kern w:val="0"/>
          <w:sz w:val="24"/>
          <w:szCs w:val="24"/>
          <w:lang w:val="en-US" w:eastAsia="zh-CN"/>
        </w:rPr>
        <w:t>孙</w:t>
      </w:r>
      <w:r>
        <w:rPr>
          <w:rFonts w:hint="eastAsia" w:ascii="宋体" w:hAnsi="宋体" w:cs="宋体"/>
          <w:color w:val="auto"/>
          <w:kern w:val="0"/>
          <w:sz w:val="24"/>
          <w:szCs w:val="24"/>
        </w:rPr>
        <w:t>工   电话：0551--633</w:t>
      </w:r>
      <w:r>
        <w:rPr>
          <w:rFonts w:hint="eastAsia" w:ascii="宋体" w:hAnsi="宋体" w:cs="宋体"/>
          <w:color w:val="auto"/>
          <w:kern w:val="0"/>
          <w:sz w:val="24"/>
          <w:szCs w:val="24"/>
          <w:lang w:val="en-US" w:eastAsia="zh-CN"/>
        </w:rPr>
        <w:t>6</w:t>
      </w:r>
      <w:r>
        <w:rPr>
          <w:rFonts w:hint="eastAsia" w:ascii="宋体" w:hAnsi="宋体" w:cs="宋体"/>
          <w:color w:val="auto"/>
          <w:kern w:val="0"/>
          <w:sz w:val="24"/>
          <w:szCs w:val="24"/>
        </w:rPr>
        <w:t>3087</w:t>
      </w:r>
    </w:p>
    <w:p>
      <w:pPr>
        <w:autoSpaceDE w:val="0"/>
        <w:autoSpaceDN w:val="0"/>
        <w:adjustRightInd w:val="0"/>
        <w:spacing w:line="360" w:lineRule="auto"/>
        <w:ind w:firstLine="200"/>
        <w:jc w:val="left"/>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 xml:space="preserve">需求咨询联系人：李工   </w:t>
      </w:r>
      <w:r>
        <w:rPr>
          <w:rFonts w:hint="eastAsia" w:ascii="宋体" w:hAnsi="宋体" w:cs="宋体"/>
          <w:color w:val="auto"/>
          <w:kern w:val="0"/>
          <w:sz w:val="24"/>
          <w:szCs w:val="24"/>
        </w:rPr>
        <w:t>电话：0551--</w:t>
      </w:r>
      <w:r>
        <w:rPr>
          <w:rFonts w:hint="eastAsia" w:ascii="宋体" w:hAnsi="宋体" w:cs="宋体"/>
          <w:color w:val="auto"/>
          <w:kern w:val="0"/>
          <w:sz w:val="24"/>
          <w:szCs w:val="24"/>
          <w:lang w:val="en-US" w:eastAsia="zh-CN"/>
        </w:rPr>
        <w:t>63698315</w:t>
      </w:r>
    </w:p>
    <w:p>
      <w:pPr>
        <w:autoSpaceDE w:val="0"/>
        <w:autoSpaceDN w:val="0"/>
        <w:adjustRightInd w:val="0"/>
        <w:spacing w:line="360" w:lineRule="auto"/>
        <w:ind w:firstLine="241" w:firstLineChars="100"/>
        <w:jc w:val="left"/>
        <w:rPr>
          <w:rFonts w:hint="eastAsia" w:ascii="宋体" w:hAnsi="宋体" w:cs="宋体"/>
          <w:b/>
          <w:color w:val="auto"/>
          <w:kern w:val="0"/>
          <w:sz w:val="24"/>
          <w:szCs w:val="24"/>
        </w:rPr>
      </w:pPr>
      <w:r>
        <w:rPr>
          <w:rFonts w:hint="eastAsia" w:ascii="宋体" w:hAnsi="宋体" w:cs="宋体"/>
          <w:b/>
          <w:color w:val="auto"/>
          <w:kern w:val="0"/>
          <w:sz w:val="24"/>
          <w:szCs w:val="24"/>
        </w:rPr>
        <w:t>八、其他补充事宜</w:t>
      </w:r>
    </w:p>
    <w:p>
      <w:pPr>
        <w:autoSpaceDE w:val="0"/>
        <w:autoSpaceDN w:val="0"/>
        <w:adjustRightInd w:val="0"/>
        <w:spacing w:line="360" w:lineRule="auto"/>
        <w:ind w:firstLine="241" w:firstLineChars="100"/>
        <w:jc w:val="left"/>
        <w:rPr>
          <w:rFonts w:hint="eastAsia" w:ascii="宋体" w:hAnsi="宋体" w:cs="宋体"/>
          <w:b/>
          <w:color w:val="auto"/>
          <w:kern w:val="0"/>
          <w:sz w:val="24"/>
          <w:szCs w:val="24"/>
        </w:rPr>
      </w:pPr>
      <w:r>
        <w:rPr>
          <w:rFonts w:hint="eastAsia" w:ascii="宋体" w:hAnsi="宋体" w:cs="宋体"/>
          <w:b/>
          <w:color w:val="auto"/>
          <w:kern w:val="0"/>
          <w:sz w:val="24"/>
          <w:szCs w:val="24"/>
        </w:rPr>
        <w:t>有任何疑问或问题，请在工作时间（周一至周五，上午08:</w:t>
      </w:r>
      <w:r>
        <w:rPr>
          <w:rFonts w:hint="eastAsia" w:ascii="宋体" w:hAnsi="宋体" w:cs="宋体"/>
          <w:b/>
          <w:color w:val="auto"/>
          <w:kern w:val="0"/>
          <w:sz w:val="24"/>
          <w:szCs w:val="24"/>
          <w:lang w:val="en-US" w:eastAsia="zh-CN"/>
        </w:rPr>
        <w:t>3</w:t>
      </w:r>
      <w:r>
        <w:rPr>
          <w:rFonts w:hint="eastAsia" w:ascii="宋体" w:hAnsi="宋体" w:cs="宋体"/>
          <w:b/>
          <w:color w:val="auto"/>
          <w:kern w:val="0"/>
          <w:sz w:val="24"/>
          <w:szCs w:val="24"/>
        </w:rPr>
        <w:t>0-12:00，下午2:</w:t>
      </w:r>
      <w:r>
        <w:rPr>
          <w:rFonts w:hint="eastAsia" w:ascii="宋体" w:hAnsi="宋体" w:cs="宋体"/>
          <w:b/>
          <w:color w:val="auto"/>
          <w:kern w:val="0"/>
          <w:sz w:val="24"/>
          <w:szCs w:val="24"/>
          <w:lang w:val="en-US" w:eastAsia="zh-CN"/>
        </w:rPr>
        <w:t>00</w:t>
      </w:r>
      <w:r>
        <w:rPr>
          <w:rFonts w:hint="eastAsia" w:ascii="宋体" w:hAnsi="宋体" w:cs="宋体"/>
          <w:b/>
          <w:color w:val="auto"/>
          <w:kern w:val="0"/>
          <w:sz w:val="24"/>
          <w:szCs w:val="24"/>
        </w:rPr>
        <w:t>-5:30，节假日休息）与项目联系人联系。</w:t>
      </w:r>
    </w:p>
    <w:p>
      <w:pPr>
        <w:autoSpaceDE w:val="0"/>
        <w:autoSpaceDN w:val="0"/>
        <w:adjustRightInd w:val="0"/>
        <w:spacing w:line="360" w:lineRule="auto"/>
        <w:ind w:firstLine="200"/>
        <w:jc w:val="left"/>
        <w:rPr>
          <w:rFonts w:hint="eastAsia" w:ascii="宋体" w:hAnsi="宋体" w:cs="宋体"/>
          <w:color w:val="auto"/>
          <w:kern w:val="0"/>
          <w:sz w:val="24"/>
          <w:szCs w:val="24"/>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7" w:name="_Toc5822"/>
    </w:p>
    <w:p>
      <w:pPr>
        <w:autoSpaceDE w:val="0"/>
        <w:autoSpaceDN w:val="0"/>
        <w:adjustRightInd w:val="0"/>
        <w:spacing w:line="360" w:lineRule="auto"/>
        <w:jc w:val="center"/>
        <w:outlineLvl w:val="0"/>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第二章 投标人须</w:t>
      </w:r>
      <w:bookmarkEnd w:id="5"/>
      <w:r>
        <w:rPr>
          <w:rFonts w:hint="eastAsia" w:ascii="宋体" w:hAnsi="宋体"/>
          <w:b/>
          <w:bCs/>
          <w:color w:val="000000" w:themeColor="text1"/>
          <w:sz w:val="32"/>
          <w:szCs w:val="32"/>
          <w14:textFill>
            <w14:solidFill>
              <w14:schemeClr w14:val="tx1"/>
            </w14:solidFill>
          </w14:textFill>
        </w:rPr>
        <w:t>知</w:t>
      </w:r>
      <w:bookmarkEnd w:id="6"/>
      <w:r>
        <w:rPr>
          <w:rFonts w:hint="eastAsia" w:ascii="宋体" w:hAnsi="宋体"/>
          <w:b/>
          <w:bCs/>
          <w:color w:val="000000" w:themeColor="text1"/>
          <w:sz w:val="32"/>
          <w:szCs w:val="32"/>
          <w14:textFill>
            <w14:solidFill>
              <w14:schemeClr w14:val="tx1"/>
            </w14:solidFill>
          </w14:textFill>
        </w:rPr>
        <w:t>前附表</w:t>
      </w:r>
      <w:bookmarkEnd w:id="7"/>
    </w:p>
    <w:tbl>
      <w:tblPr>
        <w:tblStyle w:val="51"/>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627"/>
        <w:gridCol w:w="7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1627"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内容</w:t>
            </w:r>
          </w:p>
        </w:tc>
        <w:tc>
          <w:tcPr>
            <w:tcW w:w="7009" w:type="dxa"/>
            <w:vAlign w:val="center"/>
          </w:tcPr>
          <w:p>
            <w:pPr>
              <w:pStyle w:val="76"/>
              <w:widowControl w:val="0"/>
              <w:spacing w:before="0" w:beforeAutospacing="0" w:after="0" w:afterAutospacing="0"/>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67"/>
              <w:pBdr>
                <w:bottom w:val="none" w:color="auto" w:sz="0" w:space="0"/>
              </w:pBdr>
              <w:tabs>
                <w:tab w:val="clear" w:pos="4153"/>
                <w:tab w:val="clear" w:pos="8306"/>
              </w:tabs>
              <w:adjustRightInd/>
              <w:spacing w:line="240" w:lineRule="auto"/>
              <w:textAlignment w:val="auto"/>
              <w:rPr>
                <w:rFonts w:ascii="宋体" w:hAnsi="宋体"/>
                <w:bCs/>
                <w:color w:val="000000" w:themeColor="text1"/>
                <w:kern w:val="2"/>
                <w14:textFill>
                  <w14:solidFill>
                    <w14:schemeClr w14:val="tx1"/>
                  </w14:solidFill>
                </w14:textFill>
              </w:rPr>
            </w:pPr>
            <w:r>
              <w:rPr>
                <w:rFonts w:hint="eastAsia" w:ascii="宋体" w:hAnsi="宋体"/>
                <w:bCs/>
                <w:color w:val="000000" w:themeColor="text1"/>
                <w:kern w:val="2"/>
                <w14:textFill>
                  <w14:solidFill>
                    <w14:schemeClr w14:val="tx1"/>
                  </w14:solidFill>
                </w14:textFill>
              </w:rPr>
              <w:t>1</w:t>
            </w:r>
          </w:p>
        </w:tc>
        <w:tc>
          <w:tcPr>
            <w:tcW w:w="1627" w:type="dxa"/>
            <w:vAlign w:val="center"/>
          </w:tcPr>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招标人</w:t>
            </w:r>
          </w:p>
        </w:tc>
        <w:tc>
          <w:tcPr>
            <w:tcW w:w="7009" w:type="dxa"/>
            <w:vAlign w:val="center"/>
          </w:tcPr>
          <w:p>
            <w:pPr>
              <w:pStyle w:val="76"/>
              <w:widowControl w:val="0"/>
              <w:spacing w:before="0" w:beforeAutospacing="0" w:after="0" w:afterAutospacing="0"/>
              <w:jc w:val="both"/>
              <w:rPr>
                <w:b w:val="0"/>
                <w:color w:val="000000" w:themeColor="text1"/>
                <w:kern w:val="2"/>
                <w:sz w:val="24"/>
                <w:szCs w:val="20"/>
                <w14:textFill>
                  <w14:solidFill>
                    <w14:schemeClr w14:val="tx1"/>
                  </w14:solidFill>
                </w14:textFill>
              </w:rPr>
            </w:pPr>
            <w:r>
              <w:rPr>
                <w:rFonts w:hint="eastAsia"/>
                <w:b w:val="0"/>
                <w:bCs w:val="0"/>
                <w:color w:val="000000" w:themeColor="text1"/>
                <w:sz w:val="24"/>
                <w:szCs w:val="18"/>
                <w14:textFill>
                  <w14:solidFill>
                    <w14:schemeClr w14:val="tx1"/>
                  </w14:solidFill>
                </w14:textFill>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7009" w:type="dxa"/>
            <w:vAlign w:val="center"/>
          </w:tcPr>
          <w:p>
            <w:pPr>
              <w:tabs>
                <w:tab w:val="left" w:pos="2410"/>
              </w:tabs>
              <w:autoSpaceDE w:val="0"/>
              <w:autoSpaceDN w:val="0"/>
              <w:adjustRightInd w:val="0"/>
              <w:snapToGrid w:val="0"/>
              <w:spacing w:line="360" w:lineRule="auto"/>
              <w:rPr>
                <w:rFonts w:hint="eastAsia" w:ascii="宋体" w:hAnsi="宋体" w:eastAsia="宋体"/>
                <w:color w:val="000000" w:themeColor="text1"/>
                <w:kern w:val="0"/>
                <w:sz w:val="24"/>
                <w:szCs w:val="18"/>
                <w:lang w:eastAsia="zh-CN"/>
                <w14:textFill>
                  <w14:solidFill>
                    <w14:schemeClr w14:val="tx1"/>
                  </w14:solidFill>
                </w14:textFill>
              </w:rPr>
            </w:pPr>
            <w:r>
              <w:rPr>
                <w:rFonts w:hint="eastAsia" w:ascii="宋体" w:hAnsi="宋体"/>
                <w:color w:val="000000" w:themeColor="text1"/>
                <w:kern w:val="0"/>
                <w:sz w:val="24"/>
                <w:szCs w:val="18"/>
                <w:lang w:eastAsia="zh-CN"/>
                <w14:textFill>
                  <w14:solidFill>
                    <w14:schemeClr w14:val="tx1"/>
                  </w14:solidFill>
                </w14:textFill>
              </w:rPr>
              <w:t>合肥体育产业投资有限公司人员外包服务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项目编号</w:t>
            </w:r>
          </w:p>
        </w:tc>
        <w:tc>
          <w:tcPr>
            <w:tcW w:w="7009" w:type="dxa"/>
            <w:vAlign w:val="center"/>
          </w:tcPr>
          <w:p>
            <w:pPr>
              <w:autoSpaceDE w:val="0"/>
              <w:autoSpaceDN w:val="0"/>
              <w:adjustRightInd w:val="0"/>
              <w:spacing w:line="430" w:lineRule="exact"/>
              <w:jc w:val="lef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202</w:t>
            </w:r>
            <w:r>
              <w:rPr>
                <w:rFonts w:hint="eastAsia" w:ascii="宋体" w:hAnsi="宋体"/>
                <w:bCs/>
                <w:color w:val="000000" w:themeColor="text1"/>
                <w:sz w:val="24"/>
                <w:lang w:val="en-US" w:eastAsia="zh-CN"/>
                <w14:textFill>
                  <w14:solidFill>
                    <w14:schemeClr w14:val="tx1"/>
                  </w14:solidFill>
                </w14:textFill>
              </w:rPr>
              <w:t>3TYGSCG51</w:t>
            </w:r>
            <w:r>
              <w:rPr>
                <w:rFonts w:hint="eastAsia" w:ascii="宋体" w:hAnsi="宋体"/>
                <w:bCs/>
                <w:color w:val="000000" w:themeColor="text1"/>
                <w:sz w:val="24"/>
                <w14:textFill>
                  <w14:solidFill>
                    <w14:schemeClr w14:val="tx1"/>
                  </w14:solidFill>
                </w14:textFill>
              </w:rPr>
              <w:t>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项目性质</w:t>
            </w:r>
          </w:p>
        </w:tc>
        <w:tc>
          <w:tcPr>
            <w:tcW w:w="7009" w:type="dxa"/>
            <w:vAlign w:val="center"/>
          </w:tcPr>
          <w:p>
            <w:pPr>
              <w:pStyle w:val="76"/>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服务</w:t>
            </w:r>
            <w:r>
              <w:rPr>
                <w:rFonts w:hint="eastAsia"/>
                <w:b w:val="0"/>
                <w:bCs w:val="0"/>
                <w:color w:val="000000" w:themeColor="text1"/>
                <w:sz w:val="24"/>
                <w14:textFill>
                  <w14:solidFill>
                    <w14:schemeClr w14:val="tx1"/>
                  </w14:solidFill>
                </w14:textFill>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p>
        </w:tc>
        <w:tc>
          <w:tcPr>
            <w:tcW w:w="1627"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资金来源</w:t>
            </w:r>
          </w:p>
        </w:tc>
        <w:tc>
          <w:tcPr>
            <w:tcW w:w="7009" w:type="dxa"/>
            <w:vAlign w:val="center"/>
          </w:tcPr>
          <w:p>
            <w:pPr>
              <w:pStyle w:val="76"/>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 xml:space="preserve">□财政投资    </w:t>
            </w:r>
            <w:r>
              <w:rPr>
                <w:rFonts w:hint="eastAsia"/>
                <w:b w:val="0"/>
                <w:bCs w:val="0"/>
                <w:color w:val="000000" w:themeColor="text1"/>
                <w:sz w:val="24"/>
                <w14:textFill>
                  <w14:solidFill>
                    <w14:schemeClr w14:val="tx1"/>
                  </w14:solidFill>
                </w14:textFill>
              </w:rPr>
              <w:sym w:font="Wingdings" w:char="F0FE"/>
            </w:r>
            <w:r>
              <w:rPr>
                <w:rFonts w:hint="eastAsia"/>
                <w:b w:val="0"/>
                <w:bCs w:val="0"/>
                <w:color w:val="000000" w:themeColor="text1"/>
                <w:sz w:val="24"/>
                <w14:textFill>
                  <w14:solidFill>
                    <w14:schemeClr w14:val="tx1"/>
                  </w14:solidFill>
                </w14:textFill>
              </w:rPr>
              <w:t>委托人</w:t>
            </w:r>
            <w:r>
              <w:rPr>
                <w:rFonts w:hint="eastAsia"/>
                <w:b w:val="0"/>
                <w:color w:val="000000" w:themeColor="text1"/>
                <w:sz w:val="24"/>
                <w14:textFill>
                  <w14:solidFill>
                    <w14:schemeClr w14:val="tx1"/>
                  </w14:solidFill>
                </w14:textFill>
              </w:rPr>
              <w:t xml:space="preserve">自筹    </w:t>
            </w:r>
            <w:r>
              <w:rPr>
                <w:rFonts w:hint="eastAsia"/>
                <w:b w:val="0"/>
                <w:bCs w:val="0"/>
                <w:color w:val="000000" w:themeColor="text1"/>
                <w:sz w:val="24"/>
                <w14:textFill>
                  <w14:solidFill>
                    <w14:schemeClr w14:val="tx1"/>
                  </w14:solidFill>
                </w14:textFill>
              </w:rPr>
              <w:t>□</w:t>
            </w:r>
            <w:r>
              <w:rPr>
                <w:rFonts w:hint="eastAsia"/>
                <w:b w:val="0"/>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p>
        </w:tc>
        <w:tc>
          <w:tcPr>
            <w:tcW w:w="1627" w:type="dxa"/>
          </w:tcPr>
          <w:p>
            <w:pPr>
              <w:spacing w:line="500" w:lineRule="exact"/>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标段划分</w:t>
            </w:r>
          </w:p>
        </w:tc>
        <w:tc>
          <w:tcPr>
            <w:tcW w:w="7009" w:type="dxa"/>
            <w:vAlign w:val="center"/>
          </w:tcPr>
          <w:p>
            <w:pPr>
              <w:spacing w:line="500" w:lineRule="exact"/>
              <w:ind w:left="841" w:hanging="841"/>
              <w:rPr>
                <w:rFonts w:ascii="宋体" w:hAnsi="宋体"/>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sym w:font="Wingdings" w:char="F0FE"/>
            </w:r>
            <w:r>
              <w:rPr>
                <w:rFonts w:hint="eastAsia" w:ascii="宋体" w:hAnsi="宋体"/>
                <w:color w:val="000000" w:themeColor="text1"/>
                <w:sz w:val="24"/>
                <w14:textFill>
                  <w14:solidFill>
                    <w14:schemeClr w14:val="tx1"/>
                  </w14:solidFill>
                </w14:textFill>
              </w:rPr>
              <w:t>不分标段   □分为  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09" w:type="dxa"/>
            <w:vAlign w:val="center"/>
          </w:tcPr>
          <w:p>
            <w:pPr>
              <w:spacing w:line="500" w:lineRule="exact"/>
              <w:ind w:right="102"/>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付款方式</w:t>
            </w:r>
          </w:p>
        </w:tc>
        <w:tc>
          <w:tcPr>
            <w:tcW w:w="7009" w:type="dxa"/>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bCs/>
                <w:color w:val="auto"/>
                <w:sz w:val="24"/>
                <w:lang w:val="en-US" w:eastAsia="zh-CN"/>
              </w:rPr>
            </w:pPr>
            <w:r>
              <w:rPr>
                <w:rFonts w:hint="eastAsia" w:ascii="宋体" w:hAnsi="宋体"/>
                <w:bCs/>
                <w:color w:val="auto"/>
                <w:sz w:val="24"/>
                <w:lang w:val="en-US" w:eastAsia="zh-CN"/>
              </w:rPr>
              <w:t>招标人按月根据中标人提供劳务人员的具体人数、期限及本合同约定费用标准向乙方支付劳务费用。招标人每月开始的前 20 日内核定乙方上一月指派至招标人处工作人员的具体人数、出勤天数、课时等相关材料，经招标人书面确认并收到中标人提供相应数额的发票后，招标人安排付款，向中标人支付上一【月】的服务费用。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bCs/>
                <w:color w:val="auto"/>
                <w:sz w:val="24"/>
              </w:rPr>
            </w:pPr>
            <w:r>
              <w:rPr>
                <w:rFonts w:hint="eastAsia" w:ascii="宋体" w:hAnsi="宋体"/>
                <w:bCs/>
                <w:color w:val="auto"/>
                <w:sz w:val="24"/>
              </w:rPr>
              <w:t>付款前中标人需向委托人交付等额的合法有效的增值税专用发票，否则委托人有权拒绝或者延迟付款，且不承担违约责任。</w:t>
            </w:r>
          </w:p>
          <w:p>
            <w:pPr>
              <w:spacing w:line="360" w:lineRule="auto"/>
              <w:jc w:val="left"/>
              <w:rPr>
                <w:rFonts w:ascii="宋体" w:hAnsi="宋体"/>
                <w:bCs/>
                <w:color w:val="auto"/>
                <w:sz w:val="24"/>
              </w:rPr>
            </w:pPr>
            <w:r>
              <w:rPr>
                <w:rFonts w:hint="eastAsia" w:ascii="宋体" w:hAnsi="宋体"/>
                <w:bCs/>
                <w:color w:val="auto"/>
                <w:sz w:val="24"/>
              </w:rPr>
              <w:t>投标人提交的投标文件中如有关于付款条件的表述与招标文件规定不符，投标无效。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联合体投标</w:t>
            </w:r>
          </w:p>
        </w:tc>
        <w:tc>
          <w:tcPr>
            <w:tcW w:w="7009" w:type="dxa"/>
            <w:vAlign w:val="center"/>
          </w:tcPr>
          <w:p>
            <w:pPr>
              <w:spacing w:line="5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zh-CN"/>
              </w:rPr>
              <w:t xml:space="preserve">接受  </w:t>
            </w:r>
            <w:r>
              <w:rPr>
                <w:b/>
                <w:bCs/>
                <w:color w:val="auto"/>
                <w:sz w:val="24"/>
              </w:rPr>
              <w:sym w:font="Wingdings" w:char="F0FE"/>
            </w:r>
            <w:r>
              <w:rPr>
                <w:rFonts w:hint="eastAsia" w:ascii="宋体" w:hAnsi="宋体"/>
                <w:color w:val="auto"/>
                <w:sz w:val="24"/>
              </w:rPr>
              <w:t>不</w:t>
            </w:r>
            <w:r>
              <w:rPr>
                <w:rFonts w:hint="eastAsia" w:ascii="宋体" w:hAnsi="宋体"/>
                <w:color w:val="auto"/>
                <w:sz w:val="24"/>
                <w:lang w:val="zh-CN"/>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投标有效期</w:t>
            </w:r>
          </w:p>
        </w:tc>
        <w:tc>
          <w:tcPr>
            <w:tcW w:w="7009" w:type="dxa"/>
            <w:vAlign w:val="center"/>
          </w:tcPr>
          <w:p>
            <w:pPr>
              <w:spacing w:line="500" w:lineRule="exact"/>
              <w:rPr>
                <w:rFonts w:ascii="宋体" w:hAnsi="宋体"/>
                <w:color w:val="auto"/>
                <w:sz w:val="24"/>
              </w:rPr>
            </w:pPr>
            <w:r>
              <w:rPr>
                <w:rFonts w:ascii="宋体" w:hAnsi="宋体"/>
                <w:color w:val="auto"/>
                <w:sz w:val="24"/>
              </w:rPr>
              <w:t>3</w:t>
            </w:r>
            <w:r>
              <w:rPr>
                <w:rFonts w:hint="eastAsia" w:ascii="宋体" w:hAnsi="宋体"/>
                <w:color w:val="auto"/>
                <w:sz w:val="24"/>
              </w:rPr>
              <w:t>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服务</w:t>
            </w:r>
            <w:r>
              <w:rPr>
                <w:rFonts w:hint="eastAsia" w:ascii="宋体" w:hAnsi="宋体"/>
                <w:color w:val="000000" w:themeColor="text1"/>
                <w:sz w:val="24"/>
                <w14:textFill>
                  <w14:solidFill>
                    <w14:schemeClr w14:val="tx1"/>
                  </w14:solidFill>
                </w14:textFill>
              </w:rPr>
              <w:t>地点</w:t>
            </w:r>
          </w:p>
        </w:tc>
        <w:tc>
          <w:tcPr>
            <w:tcW w:w="7009" w:type="dxa"/>
            <w:vAlign w:val="center"/>
          </w:tcPr>
          <w:p>
            <w:pPr>
              <w:spacing w:line="500" w:lineRule="exact"/>
              <w:rPr>
                <w:rFonts w:ascii="宋体" w:hAnsi="宋体"/>
                <w:color w:val="auto"/>
                <w:kern w:val="0"/>
                <w:sz w:val="24"/>
              </w:rPr>
            </w:pPr>
            <w:r>
              <w:rPr>
                <w:rFonts w:hint="eastAsia" w:ascii="宋体" w:hAnsi="宋体"/>
                <w:color w:val="auto"/>
                <w:kern w:val="0"/>
                <w:sz w:val="24"/>
              </w:rPr>
              <w:t>合肥体育中心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服务</w:t>
            </w:r>
            <w:r>
              <w:rPr>
                <w:rFonts w:hint="eastAsia" w:ascii="宋体" w:hAnsi="宋体"/>
                <w:color w:val="000000" w:themeColor="text1"/>
                <w:sz w:val="24"/>
                <w14:textFill>
                  <w14:solidFill>
                    <w14:schemeClr w14:val="tx1"/>
                  </w14:solidFill>
                </w14:textFill>
              </w:rPr>
              <w:t>期限</w:t>
            </w:r>
          </w:p>
        </w:tc>
        <w:tc>
          <w:tcPr>
            <w:tcW w:w="7009" w:type="dxa"/>
            <w:vAlign w:val="center"/>
          </w:tcPr>
          <w:p>
            <w:pPr>
              <w:autoSpaceDE w:val="0"/>
              <w:autoSpaceDN w:val="0"/>
              <w:adjustRightInd w:val="0"/>
              <w:spacing w:line="440" w:lineRule="exact"/>
              <w:jc w:val="left"/>
              <w:rPr>
                <w:rFonts w:hint="default" w:ascii="宋体" w:hAnsi="宋体" w:eastAsia="宋体" w:cs="宋体"/>
                <w:b/>
                <w:color w:val="auto"/>
                <w:kern w:val="0"/>
                <w:sz w:val="24"/>
                <w:lang w:val="en-US" w:eastAsia="zh-CN"/>
              </w:rPr>
            </w:pPr>
            <w:r>
              <w:rPr>
                <w:rFonts w:hint="eastAsia" w:ascii="宋体" w:hAnsi="宋体"/>
                <w:color w:val="auto"/>
                <w:sz w:val="24"/>
              </w:rPr>
              <w:t>自合同签订之日起一年</w:t>
            </w:r>
            <w:r>
              <w:rPr>
                <w:rFonts w:hint="eastAsia" w:ascii="宋体" w:hAnsi="宋体"/>
                <w:color w:val="auto"/>
                <w:sz w:val="24"/>
                <w:lang w:eastAsia="zh-CN"/>
              </w:rPr>
              <w:t>，</w:t>
            </w:r>
            <w:r>
              <w:rPr>
                <w:rFonts w:hint="eastAsia" w:ascii="宋体" w:hAnsi="宋体"/>
                <w:color w:val="auto"/>
                <w:sz w:val="24"/>
                <w:lang w:val="en-US" w:eastAsia="zh-CN"/>
              </w:rPr>
              <w:t>一年后可视服务情况进行续约。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2</w:t>
            </w:r>
          </w:p>
        </w:tc>
        <w:tc>
          <w:tcPr>
            <w:tcW w:w="1627" w:type="dxa"/>
            <w:vAlign w:val="center"/>
          </w:tcPr>
          <w:p>
            <w:pPr>
              <w:keepNext w:val="0"/>
              <w:keepLines w:val="0"/>
              <w:widowControl/>
              <w:suppressLineNumbers w:val="0"/>
              <w:spacing w:line="500" w:lineRule="exact"/>
              <w:jc w:val="center"/>
              <w:rPr>
                <w:rFonts w:hint="eastAsia" w:ascii="宋体" w:hAnsi="宋体" w:eastAsia="宋体" w:cs="Times New Roman"/>
                <w:color w:val="000000"/>
                <w:sz w:val="24"/>
                <w:lang w:val="zh-CN"/>
              </w:rPr>
            </w:pPr>
            <w:r>
              <w:rPr>
                <w:rFonts w:hint="eastAsia" w:ascii="宋体" w:hAnsi="宋体" w:eastAsia="宋体" w:cs="Times New Roman"/>
                <w:color w:val="000000"/>
                <w:kern w:val="2"/>
                <w:sz w:val="24"/>
                <w:szCs w:val="22"/>
                <w:lang w:val="zh-CN" w:eastAsia="zh-CN" w:bidi="ar"/>
              </w:rPr>
              <w:t>报价方式</w:t>
            </w:r>
          </w:p>
          <w:p>
            <w:pPr>
              <w:spacing w:line="500" w:lineRule="exact"/>
              <w:jc w:val="center"/>
              <w:rPr>
                <w:rFonts w:ascii="宋体" w:hAnsi="宋体"/>
                <w:bCs/>
                <w:color w:val="000000" w:themeColor="text1"/>
                <w:sz w:val="24"/>
                <w14:textFill>
                  <w14:solidFill>
                    <w14:schemeClr w14:val="tx1"/>
                  </w14:solidFill>
                </w14:textFill>
              </w:rPr>
            </w:pPr>
          </w:p>
        </w:tc>
        <w:tc>
          <w:tcPr>
            <w:tcW w:w="7009" w:type="dxa"/>
            <w:vAlign w:val="top"/>
          </w:tcPr>
          <w:p>
            <w:pPr>
              <w:keepNext w:val="0"/>
              <w:keepLines w:val="0"/>
              <w:widowControl/>
              <w:suppressLineNumbers w:val="0"/>
              <w:autoSpaceDE w:val="0"/>
              <w:autoSpaceDN w:val="0"/>
              <w:adjustRightInd w:val="0"/>
              <w:spacing w:line="440" w:lineRule="exact"/>
              <w:jc w:val="left"/>
              <w:rPr>
                <w:rFonts w:hint="eastAsia" w:ascii="宋体" w:hAnsi="宋体" w:eastAsia="宋体" w:cs="Times New Roman"/>
                <w:color w:val="000000"/>
                <w:sz w:val="24"/>
                <w:lang w:bidi="ar"/>
              </w:rPr>
            </w:pPr>
            <w:r>
              <w:rPr>
                <w:rFonts w:hint="eastAsia" w:ascii="宋体" w:hAnsi="宋体" w:eastAsia="宋体" w:cs="Times New Roman"/>
                <w:color w:val="000000"/>
                <w:kern w:val="2"/>
                <w:sz w:val="24"/>
                <w:szCs w:val="22"/>
                <w:lang w:val="en-US" w:eastAsia="zh-CN" w:bidi="ar"/>
              </w:rPr>
              <w:t xml:space="preserve">□总价：___ </w:t>
            </w:r>
          </w:p>
          <w:p>
            <w:pPr>
              <w:keepNext w:val="0"/>
              <w:keepLines w:val="0"/>
              <w:widowControl/>
              <w:suppressLineNumbers w:val="0"/>
              <w:autoSpaceDE w:val="0"/>
              <w:autoSpaceDN w:val="0"/>
              <w:adjustRightInd w:val="0"/>
              <w:spacing w:line="440" w:lineRule="exact"/>
              <w:jc w:val="left"/>
              <w:rPr>
                <w:rFonts w:hint="eastAsia" w:ascii="宋体" w:hAnsi="宋体" w:eastAsia="宋体" w:cs="Times New Roman"/>
                <w:color w:val="000000"/>
                <w:sz w:val="24"/>
                <w:lang w:bidi="ar"/>
              </w:rPr>
            </w:pPr>
            <w:r>
              <w:rPr>
                <w:rFonts w:hint="eastAsia" w:ascii="宋体" w:hAnsi="宋体" w:eastAsia="宋体" w:cs="Times New Roman"/>
                <w:color w:val="000000"/>
                <w:kern w:val="2"/>
                <w:sz w:val="24"/>
                <w:szCs w:val="22"/>
                <w:lang w:val="en-US" w:eastAsia="zh-CN" w:bidi="ar"/>
              </w:rPr>
              <w:t xml:space="preserve">□单价：___ </w:t>
            </w:r>
          </w:p>
          <w:p>
            <w:pPr>
              <w:keepNext w:val="0"/>
              <w:keepLines w:val="0"/>
              <w:widowControl/>
              <w:suppressLineNumbers w:val="0"/>
              <w:autoSpaceDE w:val="0"/>
              <w:autoSpaceDN w:val="0"/>
              <w:adjustRightInd w:val="0"/>
              <w:spacing w:line="440" w:lineRule="exact"/>
              <w:jc w:val="left"/>
              <w:rPr>
                <w:rFonts w:hint="eastAsia" w:ascii="宋体" w:hAnsi="宋体" w:eastAsia="宋体" w:cs="Times New Roman"/>
                <w:color w:val="000000"/>
                <w:sz w:val="24"/>
                <w:lang w:bidi="ar"/>
              </w:rPr>
            </w:pPr>
            <w:r>
              <w:rPr>
                <w:rFonts w:hint="eastAsia" w:ascii="宋体" w:hAnsi="宋体" w:eastAsia="宋体" w:cs="Times New Roman"/>
                <w:color w:val="000000"/>
                <w:kern w:val="2"/>
                <w:sz w:val="24"/>
                <w:szCs w:val="22"/>
                <w:lang w:val="en-US" w:eastAsia="zh-CN" w:bidi="ar"/>
              </w:rPr>
              <w:t>☑费率：详见“第四章 招标需求”</w:t>
            </w:r>
          </w:p>
          <w:p>
            <w:pPr>
              <w:widowControl/>
              <w:autoSpaceDE w:val="0"/>
              <w:autoSpaceDN w:val="0"/>
              <w:adjustRightInd w:val="0"/>
              <w:spacing w:line="440" w:lineRule="exact"/>
              <w:jc w:val="left"/>
              <w:rPr>
                <w:rFonts w:ascii="宋体" w:hAnsi="宋体"/>
                <w:color w:val="000000" w:themeColor="text1"/>
                <w:sz w:val="24"/>
                <w:lang w:val="zh-CN"/>
                <w14:textFill>
                  <w14:solidFill>
                    <w14:schemeClr w14:val="tx1"/>
                  </w14:solidFill>
                </w14:textFill>
              </w:rPr>
            </w:pPr>
            <w:r>
              <w:rPr>
                <w:rFonts w:hint="eastAsia" w:ascii="宋体" w:hAnsi="宋体" w:eastAsia="宋体" w:cs="Times New Roman"/>
                <w:color w:val="000000"/>
                <w:kern w:val="2"/>
                <w:sz w:val="24"/>
                <w:szCs w:val="22"/>
                <w:lang w:val="en-US" w:eastAsia="zh-CN" w:bidi="ar"/>
              </w:rPr>
              <w:t>□定价：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3</w:t>
            </w:r>
          </w:p>
        </w:tc>
        <w:tc>
          <w:tcPr>
            <w:tcW w:w="1627"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投标文件</w:t>
            </w:r>
          </w:p>
        </w:tc>
        <w:tc>
          <w:tcPr>
            <w:tcW w:w="7009" w:type="dxa"/>
            <w:vAlign w:val="center"/>
          </w:tcPr>
          <w:p>
            <w:pPr>
              <w:spacing w:line="500" w:lineRule="exact"/>
              <w:rPr>
                <w:b/>
                <w:bCs/>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正、副本各一，装订成册并封装于一个文件袋内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4</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p>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及地点</w:t>
            </w:r>
          </w:p>
        </w:tc>
        <w:tc>
          <w:tcPr>
            <w:tcW w:w="7009" w:type="dxa"/>
            <w:vAlign w:val="center"/>
          </w:tcPr>
          <w:p>
            <w:pPr>
              <w:spacing w:line="500" w:lineRule="exact"/>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r>
              <w:rPr>
                <w:rFonts w:hint="eastAsia" w:ascii="宋体" w:hAnsi="宋体"/>
                <w:color w:val="000000" w:themeColor="text1"/>
                <w:sz w:val="24"/>
                <w:lang w:val="zh-CN"/>
                <w14:textFill>
                  <w14:solidFill>
                    <w14:schemeClr w14:val="tx1"/>
                  </w14:solidFill>
                </w14:textFill>
              </w:rPr>
              <w:t>详见招标公告</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开标地点：</w:t>
            </w:r>
            <w:r>
              <w:rPr>
                <w:rFonts w:hint="eastAsia" w:ascii="宋体" w:hAnsi="宋体"/>
                <w:color w:val="000000" w:themeColor="text1"/>
                <w:sz w:val="24"/>
                <w:lang w:val="zh-CN"/>
                <w14:textFill>
                  <w14:solidFill>
                    <w14:schemeClr w14:val="tx1"/>
                  </w14:solidFill>
                </w14:textFill>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5</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评标办法</w:t>
            </w:r>
          </w:p>
        </w:tc>
        <w:tc>
          <w:tcPr>
            <w:tcW w:w="7009"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lang w:val="en-US" w:eastAsia="zh-CN"/>
                <w14:textFill>
                  <w14:solidFill>
                    <w14:schemeClr w14:val="tx1"/>
                  </w14:solidFill>
                </w14:textFill>
              </w:rPr>
              <w:t>综合评分</w:t>
            </w:r>
            <w:r>
              <w:rPr>
                <w:rFonts w:hint="eastAsia" w:ascii="宋体" w:hAnsi="宋体"/>
                <w:color w:val="000000" w:themeColor="text1"/>
                <w:sz w:val="24"/>
                <w:u w:val="single"/>
                <w14:textFill>
                  <w14:solidFill>
                    <w14:schemeClr w14:val="tx1"/>
                  </w14:solidFill>
                </w14:textFill>
              </w:rPr>
              <w:t>法</w:t>
            </w:r>
            <w:r>
              <w:rPr>
                <w:rFonts w:hint="eastAsia" w:ascii="宋体" w:hAnsi="宋体"/>
                <w:color w:val="000000" w:themeColor="text1"/>
                <w:sz w:val="24"/>
                <w:u w:val="single"/>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详见招标文件第五章评标办法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6</w:t>
            </w:r>
          </w:p>
        </w:tc>
        <w:tc>
          <w:tcPr>
            <w:tcW w:w="1627"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现场</w:t>
            </w:r>
          </w:p>
        </w:tc>
        <w:tc>
          <w:tcPr>
            <w:tcW w:w="7009"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自行</w:t>
            </w: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16</w:t>
            </w:r>
          </w:p>
        </w:tc>
        <w:tc>
          <w:tcPr>
            <w:tcW w:w="1627" w:type="dxa"/>
            <w:vAlign w:val="center"/>
          </w:tcPr>
          <w:p>
            <w:pPr>
              <w:spacing w:line="500" w:lineRule="exact"/>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履约保证金</w:t>
            </w:r>
          </w:p>
        </w:tc>
        <w:tc>
          <w:tcPr>
            <w:tcW w:w="7009" w:type="dxa"/>
            <w:vAlign w:val="center"/>
          </w:tcPr>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1.履约保证金数额：</w:t>
            </w:r>
            <w:r>
              <w:rPr>
                <w:rFonts w:hint="eastAsia" w:ascii="宋体" w:hAnsi="宋体"/>
                <w:color w:val="000000" w:themeColor="text1"/>
                <w:sz w:val="24"/>
                <w:szCs w:val="24"/>
                <w:lang w:val="en-US" w:eastAsia="zh-CN"/>
                <w14:textFill>
                  <w14:solidFill>
                    <w14:schemeClr w14:val="tx1"/>
                  </w14:solidFill>
                </w14:textFill>
              </w:rPr>
              <w:t>项目概算</w:t>
            </w:r>
            <w:r>
              <w:rPr>
                <w:rFonts w:hint="eastAsia" w:ascii="宋体" w:hAnsi="宋体"/>
                <w:color w:val="000000" w:themeColor="text1"/>
                <w:sz w:val="24"/>
                <w:szCs w:val="24"/>
                <w14:textFill>
                  <w14:solidFill>
                    <w14:schemeClr w14:val="tx1"/>
                  </w14:solidFill>
                </w14:textFill>
              </w:rPr>
              <w:t>价的</w:t>
            </w:r>
            <w:r>
              <w:rPr>
                <w:rFonts w:hint="eastAsia" w:ascii="宋体" w:hAnsi="宋体"/>
                <w:color w:val="000000" w:themeColor="text1"/>
                <w:sz w:val="24"/>
                <w:szCs w:val="24"/>
                <w:u w:val="single"/>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w:t>
            </w:r>
          </w:p>
          <w:p>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2.收受方式为：□现金保证 □现金支票 □银行汇票</w:t>
            </w:r>
          </w:p>
          <w:p>
            <w:pPr>
              <w:adjustRightInd w:val="0"/>
              <w:snapToGrid w:val="0"/>
              <w:spacing w:line="360" w:lineRule="auto"/>
              <w:ind w:firstLine="840" w:firstLineChars="3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□银行保函</w:t>
            </w:r>
            <w:r>
              <w:rPr>
                <w:rFonts w:hint="eastAsia" w:ascii="MS Mincho" w:hAnsi="MS Mincho" w:eastAsia="MS Mincho" w:cs="MS Mincho"/>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银行转账 □工程担保  □保证保险</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3.收受人为:</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招标人、</w:t>
            </w:r>
            <w:r>
              <w:rPr>
                <w:rFonts w:ascii="宋体" w:hAnsi="宋体"/>
                <w:color w:val="000000" w:themeColor="text1"/>
                <w:sz w:val="24"/>
                <w:szCs w:val="24"/>
                <w14:textFill>
                  <w14:solidFill>
                    <w14:schemeClr w14:val="tx1"/>
                  </w14:solidFill>
                </w14:textFill>
              </w:rPr>
              <w:sym w:font="Wingdings" w:char="00A8"/>
            </w:r>
            <w:r>
              <w:rPr>
                <w:rFonts w:hint="eastAsia" w:ascii="宋体" w:hAnsi="宋体"/>
                <w:color w:val="000000" w:themeColor="text1"/>
                <w:sz w:val="24"/>
                <w:szCs w:val="24"/>
                <w14:textFill>
                  <w14:solidFill>
                    <w14:schemeClr w14:val="tx1"/>
                  </w14:solidFill>
                </w14:textFill>
              </w:rPr>
              <w:t>委托人</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4.提交时限：合同签订前按规定提交履约保证金，若中标人在规定时限内未提交保证金的，招标人将书面通知中标人，</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日内不能办理的，招标人将有权取消其中标资格。</w:t>
            </w:r>
          </w:p>
          <w:p>
            <w:pPr>
              <w:adjustRightInd w:val="0"/>
              <w:snapToGrid w:val="0"/>
              <w:spacing w:line="44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5.退还：</w:t>
            </w:r>
            <w:r>
              <w:rPr>
                <w:rFonts w:hint="eastAsia" w:ascii="宋体" w:hAnsi="宋体"/>
                <w:color w:val="000000" w:themeColor="text1"/>
                <w:sz w:val="24"/>
                <w:szCs w:val="24"/>
                <w:u w:val="single"/>
                <w14:textFill>
                  <w14:solidFill>
                    <w14:schemeClr w14:val="tx1"/>
                  </w14:solidFill>
                </w14:textFill>
              </w:rPr>
              <w:t>合同履行完成后30日内一次性无息退还。</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6.如采用银行保函，银行保函由合肥本地银行或在合肥具有分支机构的银行出具的见索即付无条件保函。</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7.如采用工程担保，工程担保由注册地在合肥市或在合肥具有分支机构的国有担保公司出具的无条件担保。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17</w:t>
            </w:r>
          </w:p>
        </w:tc>
        <w:tc>
          <w:tcPr>
            <w:tcW w:w="1627"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业绩要求</w:t>
            </w:r>
          </w:p>
        </w:tc>
        <w:tc>
          <w:tcPr>
            <w:tcW w:w="7009"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本招标文件中要求的业绩须为:</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52"/>
            </w:r>
            <w:r>
              <w:rPr>
                <w:rFonts w:hint="eastAsia" w:ascii="宋体" w:hAnsi="宋体"/>
                <w:b/>
                <w:bCs/>
                <w:color w:val="000000" w:themeColor="text1"/>
                <w:sz w:val="24"/>
                <w:szCs w:val="24"/>
                <w14:textFill>
                  <w14:solidFill>
                    <w14:schemeClr w14:val="tx1"/>
                  </w14:solidFill>
                </w14:textFill>
              </w:rPr>
              <w:t>已完成的业绩：投标文件中提供业绩合同扫描件。</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A3"/>
            </w:r>
            <w:r>
              <w:rPr>
                <w:rFonts w:hint="eastAsia" w:ascii="宋体" w:hAnsi="宋体"/>
                <w:b/>
                <w:bCs/>
                <w:color w:val="000000" w:themeColor="text1"/>
                <w:sz w:val="24"/>
                <w:szCs w:val="24"/>
                <w14:textFill>
                  <w14:solidFill>
                    <w14:schemeClr w14:val="tx1"/>
                  </w14:solidFill>
                </w14:textFill>
              </w:rPr>
              <w:t>正在履约或已完成的业绩均可：投标文件中提供业绩合同扫描件。</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备注：已签订合同但尚未实施的业绩不予认可。即截至投标截止时间，项目如存在目前尚未开始履约、人员进场但尚未实质性开展、处于暂停等情况的，该业绩不予认可。</w:t>
            </w:r>
          </w:p>
        </w:tc>
      </w:tr>
    </w:tbl>
    <w:p>
      <w:pPr>
        <w:rPr>
          <w:color w:val="000000" w:themeColor="text1"/>
          <w14:textFill>
            <w14:solidFill>
              <w14:schemeClr w14:val="tx1"/>
            </w14:solidFill>
          </w14:textFill>
        </w:rPr>
      </w:pPr>
      <w:bookmarkStart w:id="8" w:name="_Hlt509650027"/>
      <w:bookmarkEnd w:id="8"/>
      <w:bookmarkStart w:id="9" w:name="_Hlt519045778"/>
      <w:bookmarkEnd w:id="9"/>
      <w:bookmarkStart w:id="10" w:name="_Toc7187421"/>
      <w:bookmarkStart w:id="11" w:name="_Toc508363589"/>
      <w:bookmarkStart w:id="12" w:name="_Toc459990137"/>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spacing w:before="0" w:line="500" w:lineRule="exact"/>
        <w:jc w:val="center"/>
        <w:rPr>
          <w:rFonts w:hint="eastAsia" w:ascii="宋体" w:hAnsi="宋体"/>
          <w:color w:val="000000" w:themeColor="text1"/>
          <w14:textFill>
            <w14:solidFill>
              <w14:schemeClr w14:val="tx1"/>
            </w14:solidFill>
          </w14:textFill>
        </w:rPr>
      </w:pPr>
      <w:bookmarkStart w:id="13" w:name="_Toc25871"/>
    </w:p>
    <w:p>
      <w:pPr>
        <w:pStyle w:val="2"/>
        <w:spacing w:before="0" w:line="500" w:lineRule="exact"/>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第三章 投标人须知</w:t>
      </w:r>
      <w:bookmarkEnd w:id="10"/>
      <w:bookmarkEnd w:id="13"/>
      <w:bookmarkStart w:id="14" w:name="_Toc459990138"/>
    </w:p>
    <w:bookmarkEnd w:id="11"/>
    <w:bookmarkEnd w:id="12"/>
    <w:bookmarkEnd w:id="14"/>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15" w:name="_Hlt516969057"/>
      <w:bookmarkEnd w:id="15"/>
      <w:bookmarkStart w:id="16" w:name="_Hlt204508754"/>
      <w:bookmarkEnd w:id="16"/>
      <w:bookmarkStart w:id="17" w:name="_Hlt509650351"/>
      <w:bookmarkEnd w:id="17"/>
      <w:bookmarkStart w:id="18" w:name="_Toc23746"/>
      <w:bookmarkStart w:id="19" w:name="_Toc51505239"/>
      <w:bookmarkStart w:id="20" w:name="_Toc22888330"/>
      <w:bookmarkStart w:id="21" w:name="_Toc27068"/>
      <w:bookmarkStart w:id="22" w:name="_Toc19733"/>
      <w:bookmarkStart w:id="23" w:name="_Toc25480"/>
      <w:bookmarkStart w:id="24" w:name="_Toc508363595"/>
      <w:r>
        <w:rPr>
          <w:rFonts w:hint="eastAsia" w:ascii="宋体" w:hAnsi="宋体"/>
          <w:b/>
          <w:bCs/>
          <w:color w:val="000000" w:themeColor="text1"/>
          <w:sz w:val="28"/>
          <w:szCs w:val="32"/>
          <w14:textFill>
            <w14:solidFill>
              <w14:schemeClr w14:val="tx1"/>
            </w14:solidFill>
          </w14:textFill>
        </w:rPr>
        <w:t>一．投标文件的编制</w:t>
      </w:r>
      <w:bookmarkEnd w:id="18"/>
      <w:bookmarkEnd w:id="19"/>
      <w:bookmarkEnd w:id="20"/>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1.投标文件的编写要求</w:t>
      </w:r>
    </w:p>
    <w:p>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1.1投标人须以招标人正式发布的《招标文件》为制作《投标文件》的依据；</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w:t>
      </w:r>
      <w:r>
        <w:rPr>
          <w:rFonts w:hint="eastAsia" w:ascii="宋体" w:hAnsi="宋体"/>
          <w:color w:val="000000" w:themeColor="text1"/>
          <w:kern w:val="0"/>
          <w:sz w:val="24"/>
          <w14:textFill>
            <w14:solidFill>
              <w14:schemeClr w14:val="tx1"/>
            </w14:solidFill>
          </w14:textFill>
        </w:rPr>
        <w:t>投标人应仔细阅读招标文件的所有内容，按招标文件的要求提供投标文件，并保证所提供的全部资料真实有效；</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w:t>
      </w:r>
      <w:r>
        <w:rPr>
          <w:rFonts w:hint="eastAsia" w:ascii="宋体" w:hAnsi="宋体"/>
          <w:color w:val="000000" w:themeColor="text1"/>
          <w:kern w:val="0"/>
          <w:sz w:val="24"/>
          <w14:textFill>
            <w14:solidFill>
              <w14:schemeClr w14:val="tx1"/>
            </w14:solidFill>
          </w14:textFill>
        </w:rPr>
        <w:t>投标文件的书面内容不得涂抹或改写；</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1.4满足本招标文件规定的其它要求。</w:t>
      </w:r>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2.投标文件由以下部分构成</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2.1</w:t>
      </w:r>
      <w:r>
        <w:rPr>
          <w:rFonts w:hint="eastAsia" w:ascii="宋体" w:hAnsi="宋体"/>
          <w:color w:val="000000" w:themeColor="text1"/>
          <w:kern w:val="0"/>
          <w:sz w:val="24"/>
          <w14:textFill>
            <w14:solidFill>
              <w14:schemeClr w14:val="tx1"/>
            </w14:solidFill>
          </w14:textFill>
        </w:rPr>
        <w:t>投标承诺书、开标一览表、分项报价表、投标事项承诺原件等；</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w:t>
      </w:r>
      <w:r>
        <w:rPr>
          <w:rFonts w:hint="eastAsia" w:ascii="宋体" w:hAnsi="宋体"/>
          <w:color w:val="000000" w:themeColor="text1"/>
          <w:kern w:val="0"/>
          <w:sz w:val="24"/>
          <w14:textFill>
            <w14:solidFill>
              <w14:schemeClr w14:val="tx1"/>
            </w14:solidFill>
          </w14:textFill>
        </w:rPr>
        <w:t>投标人资质证明文件复印件、法人和授权代表人身份证复印件；</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2.3投标人</w:t>
      </w:r>
      <w:r>
        <w:rPr>
          <w:rFonts w:hint="eastAsia" w:ascii="宋体" w:hAnsi="宋体"/>
          <w:color w:val="000000" w:themeColor="text1"/>
          <w:kern w:val="0"/>
          <w:sz w:val="24"/>
          <w14:textFill>
            <w14:solidFill>
              <w14:schemeClr w14:val="tx1"/>
            </w14:solidFill>
          </w14:textFill>
        </w:rPr>
        <w:t>同类项目合同及投标人其它说明文件等；</w:t>
      </w:r>
    </w:p>
    <w:p>
      <w:pPr>
        <w:spacing w:line="48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3.投标报价说明及依据</w:t>
      </w:r>
    </w:p>
    <w:p>
      <w:pPr>
        <w:spacing w:line="480" w:lineRule="exact"/>
        <w:ind w:firstLine="480" w:firstLineChars="200"/>
        <w:rPr>
          <w:rFonts w:ascii="宋体" w:hAnsi="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3.1招标内容、采购清单及有关文件等；</w:t>
      </w:r>
    </w:p>
    <w:p>
      <w:pPr>
        <w:widowControl/>
        <w:spacing w:line="48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3.2国家、行业、地方有关技术标准规范；</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3.3投标方需按照《投标分项报价表》格式做报价清单，所有价格均为到达项目所在工地含税（增值税专用发票）报价。</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4.投标人接到招标文件后,认真审阅和全面理解招标文件中所有的须知、条件、格式、条款和图纸，如果投标人的投标文件不符合招标文件要求，该投标文件将被拒绝，责任自负。</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25" w:name="_Toc31055"/>
      <w:bookmarkStart w:id="26" w:name="_Toc19773336"/>
      <w:bookmarkStart w:id="27" w:name="_Toc459990139"/>
      <w:bookmarkStart w:id="28" w:name="_Toc7187423"/>
      <w:bookmarkStart w:id="29" w:name="_Toc51505241"/>
      <w:bookmarkStart w:id="30" w:name="_Toc22888332"/>
      <w:r>
        <w:rPr>
          <w:rFonts w:hint="eastAsia" w:ascii="宋体" w:hAnsi="宋体"/>
          <w:b/>
          <w:bCs/>
          <w:color w:val="000000" w:themeColor="text1"/>
          <w:sz w:val="28"/>
          <w:szCs w:val="32"/>
          <w:lang w:val="en-US" w:eastAsia="zh-CN"/>
          <w14:textFill>
            <w14:solidFill>
              <w14:schemeClr w14:val="tx1"/>
            </w14:solidFill>
          </w14:textFill>
        </w:rPr>
        <w:t>二</w:t>
      </w:r>
      <w:r>
        <w:rPr>
          <w:rFonts w:hint="eastAsia" w:ascii="宋体" w:hAnsi="宋体"/>
          <w:b/>
          <w:bCs/>
          <w:color w:val="000000" w:themeColor="text1"/>
          <w:sz w:val="28"/>
          <w:szCs w:val="32"/>
          <w14:textFill>
            <w14:solidFill>
              <w14:schemeClr w14:val="tx1"/>
            </w14:solidFill>
          </w14:textFill>
        </w:rPr>
        <w:t>．投标文件的递交</w:t>
      </w:r>
      <w:bookmarkEnd w:id="25"/>
      <w:bookmarkEnd w:id="26"/>
      <w:bookmarkEnd w:id="27"/>
      <w:bookmarkEnd w:id="28"/>
      <w:bookmarkEnd w:id="29"/>
      <w:bookmarkEnd w:id="30"/>
      <w:bookmarkStart w:id="31" w:name="_Hlt509649414"/>
      <w:bookmarkEnd w:id="31"/>
    </w:p>
    <w:p>
      <w:pPr>
        <w:widowControl/>
        <w:spacing w:line="360" w:lineRule="auto"/>
        <w:rPr>
          <w:rFonts w:ascii="宋体" w:hAnsi="宋体" w:cs="宋体"/>
          <w:b/>
          <w:color w:val="000000" w:themeColor="text1"/>
          <w:kern w:val="0"/>
          <w:sz w:val="24"/>
          <w14:textFill>
            <w14:solidFill>
              <w14:schemeClr w14:val="tx1"/>
            </w14:solidFill>
          </w14:textFill>
        </w:rPr>
      </w:pPr>
      <w:bookmarkStart w:id="32" w:name="_Toc459990140"/>
      <w:bookmarkStart w:id="33" w:name="_Toc459990141"/>
      <w:bookmarkStart w:id="34" w:name="_Toc516969091"/>
      <w:r>
        <w:rPr>
          <w:rFonts w:hint="eastAsia" w:ascii="宋体" w:hAnsi="宋体" w:cs="宋体"/>
          <w:b/>
          <w:color w:val="000000" w:themeColor="text1"/>
          <w:kern w:val="0"/>
          <w:sz w:val="24"/>
          <w14:textFill>
            <w14:solidFill>
              <w14:schemeClr w14:val="tx1"/>
            </w14:solidFill>
          </w14:textFill>
        </w:rPr>
        <w:t xml:space="preserve">    1、投标文件的密封和标记</w:t>
      </w:r>
    </w:p>
    <w:p>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1.1投标文件装订成册、密封，并在封面注明招标编号、投标项目等，同时在密封处加盖骑缝章；</w:t>
      </w:r>
    </w:p>
    <w:p>
      <w:pPr>
        <w:widowControl/>
        <w:spacing w:line="360" w:lineRule="auto"/>
        <w:jc w:val="left"/>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1.2投标文件要求：</w:t>
      </w:r>
      <w:r>
        <w:rPr>
          <w:rFonts w:hint="eastAsia" w:ascii="宋体" w:hAnsi="宋体" w:cs="宋体"/>
          <w:bCs/>
          <w:color w:val="000000" w:themeColor="text1"/>
          <w:kern w:val="0"/>
          <w:sz w:val="24"/>
          <w14:textFill>
            <w14:solidFill>
              <w14:schemeClr w14:val="tx1"/>
            </w14:solidFill>
          </w14:textFill>
        </w:rPr>
        <w:t>正、副本各一份。</w:t>
      </w:r>
    </w:p>
    <w:p>
      <w:pPr>
        <w:widowControl/>
        <w:spacing w:line="360" w:lineRule="auto"/>
        <w:jc w:val="left"/>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 xml:space="preserve">    2、投标文件的递交、修改和撤回</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2.1</w:t>
      </w:r>
      <w:r>
        <w:rPr>
          <w:rFonts w:hint="eastAsia" w:ascii="宋体" w:hAnsi="宋体"/>
          <w:color w:val="000000" w:themeColor="text1"/>
          <w:kern w:val="0"/>
          <w:sz w:val="24"/>
          <w14:textFill>
            <w14:solidFill>
              <w14:schemeClr w14:val="tx1"/>
            </w14:solidFill>
          </w14:textFill>
        </w:rPr>
        <w:t>投标人应在投标截止时间前将密封合格的投标文件送达开标现场；</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2.2</w:t>
      </w:r>
      <w:r>
        <w:rPr>
          <w:rFonts w:hint="eastAsia" w:ascii="宋体" w:hAnsi="宋体"/>
          <w:color w:val="000000" w:themeColor="text1"/>
          <w:kern w:val="0"/>
          <w:sz w:val="24"/>
          <w14:textFill>
            <w14:solidFill>
              <w14:schemeClr w14:val="tx1"/>
            </w14:solidFill>
          </w14:textFill>
        </w:rPr>
        <w:t>投标人递交投标文件后，可修改或撤回投标文件，但必须在投标截止时间前书面通知招标人；投标截止后不得修改或撤回投标文件。</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35" w:name="_Toc7187424"/>
      <w:bookmarkStart w:id="36" w:name="_Toc22888333"/>
      <w:bookmarkStart w:id="37" w:name="_Toc9817"/>
      <w:bookmarkStart w:id="38" w:name="_Toc51505242"/>
      <w:bookmarkStart w:id="39" w:name="_Toc19773337"/>
      <w:r>
        <w:rPr>
          <w:rFonts w:hint="eastAsia" w:ascii="宋体" w:hAnsi="宋体"/>
          <w:b/>
          <w:bCs/>
          <w:color w:val="000000" w:themeColor="text1"/>
          <w:sz w:val="28"/>
          <w:szCs w:val="32"/>
          <w:lang w:val="en-US" w:eastAsia="zh-CN"/>
          <w14:textFill>
            <w14:solidFill>
              <w14:schemeClr w14:val="tx1"/>
            </w14:solidFill>
          </w14:textFill>
        </w:rPr>
        <w:t>三</w:t>
      </w:r>
      <w:r>
        <w:rPr>
          <w:rFonts w:hint="eastAsia" w:ascii="宋体" w:hAnsi="宋体"/>
          <w:b/>
          <w:bCs/>
          <w:color w:val="000000" w:themeColor="text1"/>
          <w:sz w:val="28"/>
          <w:szCs w:val="32"/>
          <w14:textFill>
            <w14:solidFill>
              <w14:schemeClr w14:val="tx1"/>
            </w14:solidFill>
          </w14:textFill>
        </w:rPr>
        <w:t>．</w:t>
      </w:r>
      <w:bookmarkEnd w:id="32"/>
      <w:r>
        <w:rPr>
          <w:rFonts w:hint="eastAsia" w:ascii="宋体" w:hAnsi="宋体"/>
          <w:b/>
          <w:bCs/>
          <w:color w:val="000000" w:themeColor="text1"/>
          <w:sz w:val="28"/>
          <w:szCs w:val="32"/>
          <w14:textFill>
            <w14:solidFill>
              <w14:schemeClr w14:val="tx1"/>
            </w14:solidFill>
          </w14:textFill>
        </w:rPr>
        <w:t>开标、评标及定标</w:t>
      </w:r>
      <w:bookmarkEnd w:id="35"/>
      <w:bookmarkEnd w:id="36"/>
      <w:bookmarkEnd w:id="37"/>
      <w:bookmarkEnd w:id="38"/>
      <w:bookmarkEnd w:id="39"/>
    </w:p>
    <w:p>
      <w:pPr>
        <w:spacing w:line="360" w:lineRule="auto"/>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1.开标</w:t>
      </w:r>
    </w:p>
    <w:p>
      <w:pPr>
        <w:spacing w:line="360" w:lineRule="auto"/>
        <w:ind w:firstLine="55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将在招标公告（如有变更，以变更公告为准）规定的时间和地点组织公开开标。</w:t>
      </w:r>
    </w:p>
    <w:p>
      <w:pPr>
        <w:widowControl/>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bCs/>
          <w:color w:val="000000" w:themeColor="text1"/>
          <w:sz w:val="24"/>
          <w:szCs w:val="24"/>
          <w14:textFill>
            <w14:solidFill>
              <w14:schemeClr w14:val="tx1"/>
            </w14:solidFill>
          </w14:textFill>
        </w:rPr>
        <w:t>开标时</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查验投标文件的密封状况，确认无误后拆封唱标。</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szCs w:val="24"/>
          <w14:textFill>
            <w14:solidFill>
              <w14:schemeClr w14:val="tx1"/>
            </w14:solidFill>
          </w14:textFill>
        </w:rPr>
        <w:t>将当众宣读</w:t>
      </w:r>
      <w:r>
        <w:rPr>
          <w:rFonts w:hint="eastAsia" w:ascii="宋体" w:hAnsi="宋体"/>
          <w:color w:val="000000" w:themeColor="text1"/>
          <w:sz w:val="24"/>
          <w:szCs w:val="24"/>
          <w14:textFill>
            <w14:solidFill>
              <w14:schemeClr w14:val="tx1"/>
            </w14:solidFill>
          </w14:textFill>
        </w:rPr>
        <w:t>投标人名称、投标价格以及</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认为合适的其它详细内容。</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r>
        <w:rPr>
          <w:rFonts w:hint="eastAsia" w:ascii="宋体" w:hAnsi="宋体"/>
          <w:b/>
          <w:color w:val="000000" w:themeColor="text1"/>
          <w:sz w:val="24"/>
          <w:szCs w:val="24"/>
          <w14:textFill>
            <w14:solidFill>
              <w14:schemeClr w14:val="tx1"/>
            </w14:solidFill>
          </w14:textFill>
        </w:rPr>
        <w:t>.投标文件的澄清、说明或补正</w:t>
      </w:r>
    </w:p>
    <w:p>
      <w:pPr>
        <w:spacing w:line="360" w:lineRule="auto"/>
        <w:ind w:firstLine="549"/>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.3开标一览表内容与投标文件中明细表内容不一致的，以开标一览表为准。</w:t>
      </w:r>
      <w:r>
        <w:rPr>
          <w:rFonts w:hint="eastAsia" w:ascii="宋体" w:hAnsi="宋体"/>
          <w:bCs/>
          <w:color w:val="000000" w:themeColor="text1"/>
          <w:sz w:val="24"/>
          <w:szCs w:val="24"/>
          <w14:textFill>
            <w14:solidFill>
              <w14:schemeClr w14:val="tx1"/>
            </w14:solidFill>
          </w14:textFill>
        </w:rPr>
        <w:t>开标一览表内容与唱标信息内容不一致的，以开标一览表为准。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 开标一览表中投标总价与投标文件中各分项报价汇总金额不一致的，按以下方式处理：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.4.1 项目以投标总价结算的，以开标一览表中投标总价为准；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.4.2项目以分项报价为准据实结算的，投标无效。</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b/>
          <w:color w:val="000000" w:themeColor="text1"/>
          <w:sz w:val="24"/>
          <w:szCs w:val="24"/>
          <w14:textFill>
            <w14:solidFill>
              <w14:schemeClr w14:val="tx1"/>
            </w14:solidFill>
          </w14:textFill>
        </w:rPr>
        <w:t>评标</w:t>
      </w:r>
    </w:p>
    <w:p>
      <w:pPr>
        <w:widowControl/>
        <w:spacing w:line="360" w:lineRule="auto"/>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3.1评标原则：</w:t>
      </w:r>
      <w:r>
        <w:rPr>
          <w:rFonts w:hint="eastAsia" w:ascii="宋体" w:hAnsi="宋体" w:cs="宋体"/>
          <w:color w:val="000000" w:themeColor="text1"/>
          <w:kern w:val="0"/>
          <w:sz w:val="24"/>
          <w14:textFill>
            <w14:solidFill>
              <w14:schemeClr w14:val="tx1"/>
            </w14:solidFill>
          </w14:textFill>
        </w:rPr>
        <w:t>遵循国家有关法律、法规，客观、公正地对待所有投标人，以招标文件作为评标的基本依据；凡涉及审查、评估和比较投标文件以及定标等意见，均不得向投标人及与评标无关的人员透露；</w:t>
      </w:r>
    </w:p>
    <w:p>
      <w:pPr>
        <w:adjustRightInd w:val="0"/>
        <w:snapToGrid w:val="0"/>
        <w:spacing w:line="360" w:lineRule="auto"/>
        <w:ind w:right="-10" w:firstLine="422" w:firstLineChars="175"/>
        <w:rPr>
          <w:rFonts w:ascii="宋体" w:hAnsi="宋体"/>
          <w:color w:val="000000" w:themeColor="text1"/>
          <w:sz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w:t>
      </w:r>
      <w:r>
        <w:rPr>
          <w:rFonts w:hint="eastAsia" w:ascii="宋体" w:hAnsi="宋体"/>
          <w:b/>
          <w:color w:val="000000" w:themeColor="text1"/>
          <w:sz w:val="24"/>
          <w14:textFill>
            <w14:solidFill>
              <w14:schemeClr w14:val="tx1"/>
            </w14:solidFill>
          </w14:textFill>
        </w:rPr>
        <w:t>2评标方法：</w:t>
      </w:r>
      <w:r>
        <w:rPr>
          <w:rFonts w:hint="eastAsia" w:ascii="宋体" w:hAnsi="宋体"/>
          <w:color w:val="000000" w:themeColor="text1"/>
          <w:sz w:val="24"/>
          <w14:textFill>
            <w14:solidFill>
              <w14:schemeClr w14:val="tx1"/>
            </w14:solidFill>
          </w14:textFill>
        </w:rPr>
        <w:t>本次评标采用有效最低价法，即资格审查、商务标、技术标均经评审通过的有效投标报价最低的投标人为中标候选人。</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如符合专业条件的投标人或对招标文件作实质响应的投标人只有两家，评标委员会将视情况现场决定是否改为竞争性谈判。谈判并不限定只进行二轮报价，如果评标委员会认为有必要，可以要求投标人进行多轮报价。在谈判内容不做实质性变更及重大调整的前提下，投标人下轮报价不得高于上一轮报价。</w:t>
      </w:r>
    </w:p>
    <w:p>
      <w:pPr>
        <w:spacing w:line="360" w:lineRule="auto"/>
        <w:ind w:firstLine="523" w:firstLineChars="218"/>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3.4 评标委员会将按照招标文件规定的评标办法对投标人独立进行评审。</w:t>
      </w:r>
    </w:p>
    <w:p>
      <w:pPr>
        <w:spacing w:line="360" w:lineRule="auto"/>
        <w:ind w:firstLine="549"/>
        <w:rPr>
          <w:rFonts w:ascii="宋体" w:hAnsi="宋体" w:cs="Tahoma"/>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3.5</w:t>
      </w:r>
      <w:r>
        <w:rPr>
          <w:rFonts w:hint="eastAsia" w:ascii="宋体" w:hAnsi="宋体" w:cs="Tahoma"/>
          <w:color w:val="000000" w:themeColor="text1"/>
          <w:sz w:val="24"/>
          <w:szCs w:val="24"/>
          <w14:textFill>
            <w14:solidFill>
              <w14:schemeClr w14:val="tx1"/>
            </w14:solidFill>
          </w14:textFill>
        </w:rPr>
        <w:t>评审过程中，如有询标，投标人授权代表（或法定代表人）应携带本人有效身份证明（包括居民身份证、社保卡、军官证、驾驶证或护照）原件参加询标并签字，因投标人授权代表未到开标现场或联系不上等情形而无法接受评标委员会询标的，有关风险投标人自行承担。</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评标委员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有下列情形之一的，评标委员会应当否决其投标</w:t>
      </w:r>
      <w:r>
        <w:rPr>
          <w:rFonts w:hint="eastAsia" w:ascii="宋体" w:hAnsi="宋体"/>
          <w:color w:val="000000" w:themeColor="text1"/>
          <w:sz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3.6.1</w:t>
      </w:r>
      <w:r>
        <w:rPr>
          <w:rFonts w:ascii="宋体" w:hAnsi="宋体"/>
          <w:color w:val="000000" w:themeColor="text1"/>
          <w:sz w:val="24"/>
          <w:szCs w:val="24"/>
          <w14:textFill>
            <w14:solidFill>
              <w14:schemeClr w14:val="tx1"/>
            </w14:solidFill>
          </w14:textFill>
        </w:rPr>
        <w:t>投标文件未经投标人盖章和单位负责人签字</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3.6.2</w:t>
      </w:r>
      <w:r>
        <w:rPr>
          <w:rFonts w:ascii="宋体" w:hAnsi="宋体"/>
          <w:color w:val="000000" w:themeColor="text1"/>
          <w:sz w:val="24"/>
          <w:szCs w:val="24"/>
          <w14:textFill>
            <w14:solidFill>
              <w14:schemeClr w14:val="tx1"/>
            </w14:solidFill>
          </w14:textFill>
        </w:rPr>
        <w:t>投标联合体没有提交</w:t>
      </w:r>
      <w:r>
        <w:rPr>
          <w:rFonts w:hint="eastAsia" w:ascii="宋体" w:hAnsi="宋体"/>
          <w:color w:val="000000" w:themeColor="text1"/>
          <w:sz w:val="24"/>
          <w:szCs w:val="24"/>
          <w14:textFill>
            <w14:solidFill>
              <w14:schemeClr w14:val="tx1"/>
            </w14:solidFill>
          </w14:textFill>
        </w:rPr>
        <w:t>共同投标</w:t>
      </w:r>
      <w:r>
        <w:rPr>
          <w:rFonts w:ascii="宋体" w:hAnsi="宋体"/>
          <w:color w:val="000000" w:themeColor="text1"/>
          <w:sz w:val="24"/>
          <w:szCs w:val="24"/>
          <w14:textFill>
            <w14:solidFill>
              <w14:schemeClr w14:val="tx1"/>
            </w14:solidFill>
          </w14:textFill>
        </w:rPr>
        <w:t>协议；</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3.6.3投标人不符合国家或者招标文件规定的资格条件；</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3.6.4同一投标人提交两个以上不同的投标文件或者投标报价，但招标文件要求提交备选投标的除外；</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3.6.5</w:t>
      </w:r>
      <w:r>
        <w:rPr>
          <w:rFonts w:ascii="宋体" w:hAnsi="宋体"/>
          <w:color w:val="000000" w:themeColor="text1"/>
          <w:sz w:val="24"/>
          <w:szCs w:val="24"/>
          <w14:textFill>
            <w14:solidFill>
              <w14:schemeClr w14:val="tx1"/>
            </w14:solidFill>
          </w14:textFill>
        </w:rPr>
        <w:t>投标报价低于成本或者高于招标文件设定的最高投标限价；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3.6.6</w:t>
      </w:r>
      <w:r>
        <w:rPr>
          <w:rFonts w:ascii="宋体" w:hAnsi="宋体"/>
          <w:color w:val="000000" w:themeColor="text1"/>
          <w:sz w:val="24"/>
          <w:szCs w:val="24"/>
          <w14:textFill>
            <w14:solidFill>
              <w14:schemeClr w14:val="tx1"/>
            </w14:solidFill>
          </w14:textFill>
        </w:rPr>
        <w:t>投标文件没有对招标文件的实质性要求和条件作出响应；</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3.6.7</w:t>
      </w:r>
      <w:r>
        <w:rPr>
          <w:rFonts w:ascii="宋体" w:hAnsi="宋体"/>
          <w:color w:val="000000" w:themeColor="text1"/>
          <w:sz w:val="24"/>
          <w:szCs w:val="24"/>
          <w14:textFill>
            <w14:solidFill>
              <w14:schemeClr w14:val="tx1"/>
            </w14:solidFill>
          </w14:textFill>
        </w:rPr>
        <w:t>投标人有串通投标、弄虚作假、行贿等违法行为</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3.6.8评标委员会评议认为构成废标的其他情况；</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3.6.9投标人未按要求提交投标保证金的；</w:t>
      </w:r>
    </w:p>
    <w:p>
      <w:pPr>
        <w:spacing w:line="360" w:lineRule="auto"/>
        <w:ind w:firstLine="549"/>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3.6.10</w:t>
      </w:r>
      <w:r>
        <w:rPr>
          <w:rFonts w:hint="eastAsia" w:ascii="宋体" w:hAnsi="宋体"/>
          <w:color w:val="000000" w:themeColor="text1"/>
          <w:sz w:val="24"/>
          <w:szCs w:val="24"/>
          <w14:textFill>
            <w14:solidFill>
              <w14:schemeClr w14:val="tx1"/>
            </w14:solidFill>
          </w14:textFill>
        </w:rPr>
        <w:t>其他未实质性响应招标文件要求的。</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3.7评审时，评标委员会将审查投标文件是否符合招标文件的评审指标要求。</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3.8</w:t>
      </w:r>
      <w:r>
        <w:rPr>
          <w:rFonts w:hint="eastAsia" w:ascii="宋体" w:hAnsi="宋体"/>
          <w:color w:val="000000" w:themeColor="text1"/>
          <w:sz w:val="24"/>
          <w14:textFill>
            <w14:solidFill>
              <w14:schemeClr w14:val="tx1"/>
            </w14:solidFill>
          </w14:textFill>
        </w:rPr>
        <w:t>如果投标文件未通过投标有效性评审，投标无效。</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3.9评标委员会决定投标文件的响应性及符合性只根据投标文件本身的内容，而不寻求其他外部证据。</w:t>
      </w:r>
    </w:p>
    <w:p>
      <w:pPr>
        <w:spacing w:line="360" w:lineRule="auto"/>
        <w:ind w:firstLine="54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4.定标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1评标委员会应当按招标文件规定的标准和方法提出独立评审意见，推荐中标候选人。</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如评标委员会认为有必要，将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4.3原则上把合同授予实质上响应招标文件要求的排名最前的中标候选人或通过上条资格审查的中标候选人。 </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5.招标人一律不予退还投标人的投标文件。</w:t>
      </w:r>
    </w:p>
    <w:p>
      <w:pPr>
        <w:spacing w:line="360" w:lineRule="auto"/>
        <w:ind w:firstLine="525" w:firstLineChars="218"/>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本招标文件所要求的证书、认证、资质，均应当是有权机构颁发，且在有效期内的。</w:t>
      </w:r>
    </w:p>
    <w:p>
      <w:pPr>
        <w:spacing w:line="360" w:lineRule="auto"/>
        <w:ind w:firstLine="562" w:firstLineChars="200"/>
        <w:jc w:val="center"/>
        <w:rPr>
          <w:rFonts w:ascii="宋体" w:hAnsi="宋体"/>
          <w:b/>
          <w:bCs/>
          <w:color w:val="000000" w:themeColor="text1"/>
          <w:sz w:val="28"/>
          <w:szCs w:val="32"/>
          <w14:textFill>
            <w14:solidFill>
              <w14:schemeClr w14:val="tx1"/>
            </w14:solidFill>
          </w14:textFill>
        </w:rPr>
      </w:pPr>
      <w:r>
        <w:rPr>
          <w:rFonts w:hint="eastAsia" w:ascii="宋体" w:hAnsi="宋体"/>
          <w:b/>
          <w:bCs/>
          <w:color w:val="000000" w:themeColor="text1"/>
          <w:sz w:val="28"/>
          <w:szCs w:val="32"/>
          <w:lang w:val="en-US" w:eastAsia="zh-CN"/>
          <w14:textFill>
            <w14:solidFill>
              <w14:schemeClr w14:val="tx1"/>
            </w14:solidFill>
          </w14:textFill>
        </w:rPr>
        <w:t>四</w:t>
      </w:r>
      <w:r>
        <w:rPr>
          <w:rFonts w:hint="eastAsia" w:ascii="宋体" w:hAnsi="宋体"/>
          <w:b/>
          <w:bCs/>
          <w:color w:val="000000" w:themeColor="text1"/>
          <w:sz w:val="28"/>
          <w:szCs w:val="32"/>
          <w14:textFill>
            <w14:solidFill>
              <w14:schemeClr w14:val="tx1"/>
            </w14:solidFill>
          </w14:textFill>
        </w:rPr>
        <w:t>. 投标信息发布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1.与本次招标活动相关的信息，将在</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(http://www.hftycy.com/)发布。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对招标文件进行的答疑、澄清、变更或补充，将在网站上及时发布，该公告内容为招标文件的组成部分，对投标人具有同样约束力效力。当招标文件、招标文件的答疑、澄清、变更或补充等在同一内容的表述上不一致时，以最后发出的书面文件为准。投标人应主动上网查询。文旅博览集团不承担投标人未及时关注相关信息引发的相关责任。</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0" w:name="_Toc22888334"/>
      <w:bookmarkStart w:id="41" w:name="_Toc20006"/>
      <w:bookmarkStart w:id="42" w:name="_Toc51505243"/>
      <w:bookmarkStart w:id="43" w:name="_Toc19773338"/>
      <w:bookmarkStart w:id="44" w:name="_Toc7187425"/>
      <w:r>
        <w:rPr>
          <w:rFonts w:hint="eastAsia" w:ascii="宋体" w:hAnsi="宋体"/>
          <w:b/>
          <w:bCs/>
          <w:color w:val="000000" w:themeColor="text1"/>
          <w:sz w:val="28"/>
          <w:szCs w:val="32"/>
          <w:lang w:val="en-US" w:eastAsia="zh-CN"/>
          <w14:textFill>
            <w14:solidFill>
              <w14:schemeClr w14:val="tx1"/>
            </w14:solidFill>
          </w14:textFill>
        </w:rPr>
        <w:t>五</w:t>
      </w:r>
      <w:r>
        <w:rPr>
          <w:rFonts w:hint="eastAsia" w:ascii="宋体" w:hAnsi="宋体"/>
          <w:b/>
          <w:bCs/>
          <w:color w:val="000000" w:themeColor="text1"/>
          <w:sz w:val="28"/>
          <w:szCs w:val="32"/>
          <w14:textFill>
            <w14:solidFill>
              <w14:schemeClr w14:val="tx1"/>
            </w14:solidFill>
          </w14:textFill>
        </w:rPr>
        <w:t>．投标文件的澄清</w:t>
      </w:r>
      <w:bookmarkEnd w:id="40"/>
      <w:bookmarkEnd w:id="41"/>
      <w:bookmarkEnd w:id="42"/>
      <w:bookmarkEnd w:id="43"/>
      <w:bookmarkEnd w:id="44"/>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1.为有助于投标文件的审查、评估和比较，招标人有权向投标人质疑并请投标人澄清其投标内容。投标人应当按照招标人通知的时间、地点，指派专人进行答疑和澄清。</w:t>
      </w:r>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2.重要的澄清应是书面的，但不得对投标内容进行实质性修改。</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5" w:name="_Toc19773339"/>
      <w:bookmarkStart w:id="46" w:name="_Toc20524"/>
      <w:bookmarkStart w:id="47" w:name="_Toc7187426"/>
      <w:bookmarkStart w:id="48" w:name="_Toc22888335"/>
      <w:bookmarkStart w:id="49" w:name="_Toc51505244"/>
      <w:r>
        <w:rPr>
          <w:rFonts w:hint="eastAsia" w:ascii="宋体" w:hAnsi="宋体"/>
          <w:b/>
          <w:bCs/>
          <w:color w:val="000000" w:themeColor="text1"/>
          <w:sz w:val="28"/>
          <w:szCs w:val="32"/>
          <w:lang w:val="en-US" w:eastAsia="zh-CN"/>
          <w14:textFill>
            <w14:solidFill>
              <w14:schemeClr w14:val="tx1"/>
            </w14:solidFill>
          </w14:textFill>
        </w:rPr>
        <w:t>六</w:t>
      </w:r>
      <w:r>
        <w:rPr>
          <w:rFonts w:hint="eastAsia" w:ascii="宋体" w:hAnsi="宋体"/>
          <w:b/>
          <w:bCs/>
          <w:color w:val="000000" w:themeColor="text1"/>
          <w:sz w:val="28"/>
          <w:szCs w:val="32"/>
          <w14:textFill>
            <w14:solidFill>
              <w14:schemeClr w14:val="tx1"/>
            </w14:solidFill>
          </w14:textFill>
        </w:rPr>
        <w:t>.中标通知书</w:t>
      </w:r>
      <w:bookmarkEnd w:id="45"/>
      <w:bookmarkEnd w:id="46"/>
      <w:bookmarkEnd w:id="47"/>
      <w:bookmarkEnd w:id="48"/>
      <w:bookmarkEnd w:id="49"/>
    </w:p>
    <w:p>
      <w:pPr>
        <w:tabs>
          <w:tab w:val="left" w:pos="709"/>
        </w:tabs>
        <w:snapToGrid w:val="0"/>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将以中标通知书形式通知中标人，其投标已被接受。</w:t>
      </w:r>
    </w:p>
    <w:p>
      <w:pPr>
        <w:tabs>
          <w:tab w:val="left" w:pos="709"/>
        </w:tabs>
        <w:snapToGrid w:val="0"/>
        <w:spacing w:line="360" w:lineRule="auto"/>
        <w:ind w:left="566"/>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对未中标的投标人不做未中标原因的解释。</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中标公示期满后，中标人请在3个工作日内委派专人凭介绍信或公司授权书（须同时携带有效身份证明）领取中标通知书。</w:t>
      </w:r>
      <w:bookmarkEnd w:id="33"/>
      <w:bookmarkEnd w:id="34"/>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50" w:name="_Toc19773340"/>
      <w:bookmarkStart w:id="51" w:name="_Toc2884"/>
      <w:bookmarkStart w:id="52" w:name="_Toc51505245"/>
      <w:bookmarkStart w:id="53" w:name="_Toc22888336"/>
      <w:bookmarkStart w:id="54" w:name="_Toc7187427"/>
      <w:r>
        <w:rPr>
          <w:rFonts w:hint="eastAsia" w:ascii="宋体" w:hAnsi="宋体"/>
          <w:b/>
          <w:bCs/>
          <w:color w:val="000000" w:themeColor="text1"/>
          <w:sz w:val="28"/>
          <w:szCs w:val="32"/>
          <w:lang w:val="en-US" w:eastAsia="zh-CN"/>
          <w14:textFill>
            <w14:solidFill>
              <w14:schemeClr w14:val="tx1"/>
            </w14:solidFill>
          </w14:textFill>
        </w:rPr>
        <w:t>七</w:t>
      </w:r>
      <w:r>
        <w:rPr>
          <w:rFonts w:hint="eastAsia" w:ascii="宋体" w:hAnsi="宋体"/>
          <w:b/>
          <w:bCs/>
          <w:color w:val="000000" w:themeColor="text1"/>
          <w:sz w:val="28"/>
          <w:szCs w:val="32"/>
          <w14:textFill>
            <w14:solidFill>
              <w14:schemeClr w14:val="tx1"/>
            </w14:solidFill>
          </w14:textFill>
        </w:rPr>
        <w:t>.异议处理</w:t>
      </w:r>
      <w:bookmarkEnd w:id="50"/>
      <w:bookmarkEnd w:id="51"/>
      <w:bookmarkEnd w:id="52"/>
      <w:bookmarkEnd w:id="53"/>
      <w:bookmarkEnd w:id="54"/>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投标人或者其他利害关系人对依法必须进行招标的项目的评标结果有异议的，应当在中标候选人公示期间</w:t>
      </w:r>
      <w:r>
        <w:rPr>
          <w:rFonts w:hint="eastAsia" w:ascii="宋体" w:hAnsi="宋体"/>
          <w:bCs/>
          <w:color w:val="000000" w:themeColor="text1"/>
          <w:sz w:val="24"/>
          <w14:textFill>
            <w14:solidFill>
              <w14:schemeClr w14:val="tx1"/>
            </w14:solidFill>
          </w14:textFill>
        </w:rPr>
        <w:t>，由投标人授权代表（或法定代表人）携带身份证明材料，以书面形式向</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提出异议，逾期不予受理。</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2.异议书内容应包括异议的详细理由和依据，并提供有关证明资料。</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3.有以下情形之一的，视为无效异议：</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3.1 未按规定时间或规定手续提交异议的；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3.2异议内容含糊不清、没有提供详细理由和依据，无法进行核查的；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3.3其他不符合异议程序和有关规定的。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将在收到书面质疑后5个工作日内审查异议事项，作出答复或相关处理决定，并以书面形式通知异议人，但答复的内容不涉及商业秘密。</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55" w:name="_Toc20014"/>
      <w:bookmarkStart w:id="56" w:name="_Toc7187428"/>
      <w:bookmarkStart w:id="57" w:name="_Toc19773341"/>
      <w:bookmarkStart w:id="58" w:name="_Toc51505246"/>
      <w:bookmarkStart w:id="59" w:name="_Toc22888337"/>
      <w:r>
        <w:rPr>
          <w:rFonts w:hint="eastAsia" w:ascii="宋体" w:hAnsi="宋体"/>
          <w:b/>
          <w:bCs/>
          <w:color w:val="000000" w:themeColor="text1"/>
          <w:sz w:val="28"/>
          <w:szCs w:val="32"/>
          <w:lang w:val="en-US" w:eastAsia="zh-CN"/>
          <w14:textFill>
            <w14:solidFill>
              <w14:schemeClr w14:val="tx1"/>
            </w14:solidFill>
          </w14:textFill>
        </w:rPr>
        <w:t>八</w:t>
      </w:r>
      <w:r>
        <w:rPr>
          <w:rFonts w:hint="eastAsia" w:ascii="宋体" w:hAnsi="宋体"/>
          <w:b/>
          <w:bCs/>
          <w:color w:val="000000" w:themeColor="text1"/>
          <w:sz w:val="28"/>
          <w:szCs w:val="32"/>
          <w14:textFill>
            <w14:solidFill>
              <w14:schemeClr w14:val="tx1"/>
            </w14:solidFill>
          </w14:textFill>
        </w:rPr>
        <w:t>．签订合同</w:t>
      </w:r>
      <w:bookmarkEnd w:id="55"/>
      <w:bookmarkEnd w:id="56"/>
      <w:bookmarkEnd w:id="57"/>
      <w:bookmarkEnd w:id="58"/>
      <w:bookmarkEnd w:id="59"/>
    </w:p>
    <w:p>
      <w:pPr>
        <w:spacing w:line="360" w:lineRule="auto"/>
        <w:ind w:firstLine="549"/>
        <w:rPr>
          <w:rFonts w:ascii="宋体" w:hAnsi="宋体"/>
          <w:color w:val="000000" w:themeColor="text1"/>
          <w:sz w:val="24"/>
          <w:szCs w:val="24"/>
          <w14:textFill>
            <w14:solidFill>
              <w14:schemeClr w14:val="tx1"/>
            </w14:solidFill>
          </w14:textFill>
        </w:rPr>
      </w:pP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1.履约保证金</w:t>
      </w:r>
    </w:p>
    <w:p>
      <w:pPr>
        <w:spacing w:line="360" w:lineRule="auto"/>
        <w:ind w:firstLine="549"/>
        <w:rPr>
          <w:rFonts w:ascii="宋体" w:hAnsi="宋体"/>
          <w:dstrike/>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1.1签订合同前，投标人应提交履约保证金。履约保证金金额、收受方式及收受人见投标人须知前附表规定。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1.2投标人须知前附表约定收取履约保证金或免收履约保证金的，从其规定。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3如果中标人未按规定交纳履约保证金，招标人有权取消该授标，在此情况下招标人可将该标授予其下一个中标候选人，或重新招标。</w:t>
      </w: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签订合同</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2.1中标人应在中标通知书发出之日起7日内（具体时间、地点见中标通知书）与委托人签订合同。招标文件、中标人的投标文件及澄清文件等，均作为合同的附件。</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中标人、委托人双方必须严格按照招标文件、投标文件及有关承诺签订合同，不得擅自变更。合同的标的、价款、质量、履行期限等主要条款应当与招标文件和中标人的投标文件的内容一致，委托人和中标人不得再行订立背离合同实质性内容的其他协议。</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2.3招标人保留以书面形式要求合同的卖方对其所投货物的装运方式、交货地点及服务细则等作适当调整的权利。</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招标人在授予合同时有权对标的物的数量予以适当的增加或减少；</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2.5中标人不与委托人签订合同的，招标人可单方面取消其中标资格，并追究其责任。</w:t>
      </w:r>
    </w:p>
    <w:p>
      <w:pPr>
        <w:pStyle w:val="79"/>
        <w:numPr>
          <w:ilvl w:val="1"/>
          <w:numId w:val="5"/>
        </w:numPr>
        <w:spacing w:line="36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合同履行完毕后，经委托人考核合格，双方可续签合同。</w:t>
      </w:r>
    </w:p>
    <w:p>
      <w:pPr>
        <w:spacing w:line="360" w:lineRule="auto"/>
        <w:rPr>
          <w:rFonts w:ascii="宋体" w:hAnsi="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pStyle w:val="2"/>
        <w:spacing w:line="500" w:lineRule="exact"/>
        <w:jc w:val="center"/>
        <w:rPr>
          <w:rFonts w:ascii="宋体" w:hAnsi="宋体"/>
          <w:color w:val="000000" w:themeColor="text1"/>
          <w:szCs w:val="36"/>
          <w14:textFill>
            <w14:solidFill>
              <w14:schemeClr w14:val="tx1"/>
            </w14:solidFill>
          </w14:textFill>
        </w:rPr>
      </w:pPr>
      <w:bookmarkStart w:id="60" w:name="_Toc16845"/>
      <w:r>
        <w:rPr>
          <w:rFonts w:hint="eastAsia" w:ascii="宋体" w:hAnsi="宋体"/>
          <w:color w:val="000000" w:themeColor="text1"/>
          <w14:textFill>
            <w14:solidFill>
              <w14:schemeClr w14:val="tx1"/>
            </w14:solidFill>
          </w14:textFill>
        </w:rPr>
        <w:t>第</w:t>
      </w:r>
      <w:bookmarkStart w:id="61" w:name="_Hlt240110027"/>
      <w:bookmarkEnd w:id="61"/>
      <w:r>
        <w:rPr>
          <w:rFonts w:hint="eastAsia" w:ascii="宋体" w:hAnsi="宋体"/>
          <w:color w:val="000000" w:themeColor="text1"/>
          <w14:textFill>
            <w14:solidFill>
              <w14:schemeClr w14:val="tx1"/>
            </w14:solidFill>
          </w14:textFill>
        </w:rPr>
        <w:t>四章</w:t>
      </w:r>
      <w:bookmarkStart w:id="62" w:name="_Hlt509716920"/>
      <w:bookmarkEnd w:id="62"/>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zCs w:val="36"/>
          <w14:textFill>
            <w14:solidFill>
              <w14:schemeClr w14:val="tx1"/>
            </w14:solidFill>
          </w14:textFill>
        </w:rPr>
        <w:t>招标需求</w:t>
      </w:r>
      <w:bookmarkEnd w:id="21"/>
      <w:bookmarkEnd w:id="22"/>
      <w:bookmarkEnd w:id="23"/>
      <w:bookmarkEnd w:id="60"/>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前注：</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1.投标人自行考虑“营改增”税收费用及风险，中标后须按国家相关规定</w:t>
      </w:r>
      <w:r>
        <w:rPr>
          <w:rFonts w:hint="eastAsia" w:hAnsi="宋体"/>
          <w:color w:val="000000" w:themeColor="text1"/>
          <w:sz w:val="24"/>
          <w:szCs w:val="28"/>
          <w14:textFill>
            <w14:solidFill>
              <w14:schemeClr w14:val="tx1"/>
            </w14:solidFill>
          </w14:textFill>
        </w:rPr>
        <w:t>缴纳</w:t>
      </w:r>
      <w:r>
        <w:rPr>
          <w:rFonts w:hint="eastAsia" w:ascii="宋体" w:hAnsi="宋体"/>
          <w:color w:val="000000" w:themeColor="text1"/>
          <w:sz w:val="24"/>
          <w:szCs w:val="28"/>
          <w14:textFill>
            <w14:solidFill>
              <w14:schemeClr w14:val="tx1"/>
            </w14:solidFill>
          </w14:textFill>
        </w:rPr>
        <w:t>税金并按委托人要求提供发票，费用含在本次投标总价中，中标后不作调整。</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2.如对本招标文件有任何疑问或澄清要求，请按本招标文件“投标人须知前附表”中的约定方式联系</w:t>
      </w:r>
      <w:r>
        <w:rPr>
          <w:rFonts w:hint="eastAsia" w:ascii="宋体" w:hAnsi="宋体"/>
          <w:color w:val="000000" w:themeColor="text1"/>
          <w:sz w:val="24"/>
          <w:szCs w:val="28"/>
          <w:lang w:val="en-US" w:eastAsia="zh-CN"/>
          <w14:textFill>
            <w14:solidFill>
              <w14:schemeClr w14:val="tx1"/>
            </w14:solidFill>
          </w14:textFill>
        </w:rPr>
        <w:t>合肥体育产业投资有限公司</w:t>
      </w:r>
      <w:r>
        <w:rPr>
          <w:rFonts w:hint="eastAsia" w:ascii="宋体" w:hAnsi="宋体"/>
          <w:color w:val="000000" w:themeColor="text1"/>
          <w:sz w:val="24"/>
          <w:szCs w:val="28"/>
          <w14:textFill>
            <w14:solidFill>
              <w14:schemeClr w14:val="tx1"/>
            </w14:solidFill>
          </w14:textFill>
        </w:rPr>
        <w:t>，或接受答疑截止时间前联系招标人。否则视同理解和接受。</w:t>
      </w:r>
    </w:p>
    <w:p>
      <w:pPr>
        <w:spacing w:line="360" w:lineRule="auto"/>
        <w:rPr>
          <w:color w:val="000000" w:themeColor="text1"/>
          <w14:textFill>
            <w14:solidFill>
              <w14:schemeClr w14:val="tx1"/>
            </w14:solidFill>
          </w14:textFill>
        </w:rPr>
      </w:pPr>
    </w:p>
    <w:p>
      <w:pPr>
        <w:pStyle w:val="79"/>
        <w:numPr>
          <w:ilvl w:val="0"/>
          <w:numId w:val="6"/>
        </w:numPr>
        <w:spacing w:line="360" w:lineRule="auto"/>
        <w:ind w:firstLineChars="0"/>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项目简介</w:t>
      </w:r>
    </w:p>
    <w:p>
      <w:pPr>
        <w:autoSpaceDE w:val="0"/>
        <w:autoSpaceDN w:val="0"/>
        <w:adjustRightInd w:val="0"/>
        <w:spacing w:line="360" w:lineRule="auto"/>
        <w:ind w:firstLine="352" w:firstLineChars="147"/>
        <w:jc w:val="left"/>
        <w:rPr>
          <w:rFonts w:hint="eastAsia" w:ascii="宋体" w:hAnsi="宋体"/>
          <w:color w:val="000000"/>
          <w:sz w:val="24"/>
          <w:szCs w:val="24"/>
        </w:rPr>
      </w:pPr>
      <w:r>
        <w:rPr>
          <w:rFonts w:hint="eastAsia" w:ascii="宋体" w:hAnsi="宋体"/>
          <w:color w:val="000000"/>
          <w:sz w:val="24"/>
          <w:szCs w:val="24"/>
        </w:rPr>
        <w:t>合肥体育产业投资有限公司（以下简称“体育公司”）成立于2019年11月，隶属于合肥文旅博览集团有限公司，负责合肥体育中心、</w:t>
      </w:r>
      <w:bookmarkStart w:id="63" w:name="_Hlk96943135"/>
      <w:r>
        <w:rPr>
          <w:rFonts w:hint="eastAsia" w:ascii="宋体" w:hAnsi="宋体"/>
          <w:color w:val="000000"/>
          <w:sz w:val="24"/>
          <w:szCs w:val="24"/>
        </w:rPr>
        <w:t>天鹅湖全民健身中心</w:t>
      </w:r>
      <w:bookmarkEnd w:id="63"/>
      <w:r>
        <w:rPr>
          <w:rFonts w:hint="eastAsia" w:ascii="宋体" w:hAnsi="宋体"/>
          <w:color w:val="000000"/>
          <w:sz w:val="24"/>
          <w:szCs w:val="24"/>
        </w:rPr>
        <w:t>运营管理。</w:t>
      </w:r>
    </w:p>
    <w:p>
      <w:pPr>
        <w:autoSpaceDE w:val="0"/>
        <w:autoSpaceDN w:val="0"/>
        <w:adjustRightInd w:val="0"/>
        <w:spacing w:line="360" w:lineRule="auto"/>
        <w:ind w:firstLine="354" w:firstLineChars="147"/>
        <w:jc w:val="left"/>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二、招标需求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1.中标人与外包员工签订劳动合同；及时处理人员入转调离相关手续，按月发放工资、体检、交纳社会保险、购买意外伤害伤亡险、个税申报等相关工作。</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2.建立并管理外包员工的合同以及档案等人事材料；对外包员工进行思想教育和专业培训，做到遵纪守法，按相关法律法规配证上岗，未按照要求持证导致的相关责任的由中标人自行承担。</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3.负责承担并处理外包员工的劳动争议、劳动纠纷妥善解决、员工违纪辞退、退工风险、工伤风险、工亡风险、非因工医疗期满退回风险和员工工伤责任等全部用工风险和责任。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为本项目建立专业团队，派专人进行服务对接，及时完成现场人员到位工作，合同期内，招标人提出人员增减需求或者因突发、应急和上级主管部门任务下达等工作，需要增加或减少人员的，中标人须予以配合，增加或减少人员须按招标人需求落实到位，增加人员的费用标准参照合同约定标准执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提前储备同岗位员工，及时解决空缺岗位的需求；教育、督促外包员工在为招标人提供服务期间按招标人的有关规章制度和作息时间完成相应服务，服从招标人的人员与服务相关的管理和安排，接受招标人指定人员的监督和检查，以保障招标人业务的正常进行。</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保证所提供的外包员工应具有良好的职业道德、职业技能资质、敬业精神，遵纪守法；中标人负责对外包员工进行相关专业技能、安全教育培训以及服务资格考核，外包员工应遵守招标人的劳动纪律和单位规章制度，认真履行招标人制订的岗位职责、服务流程和服务规范，牢固树立安全生产意识，强化安全生产责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7.外包员工在服务期间，应设定科学、合理的考核机制，为教育培训、工作调动以及提薪、晋升、奖励表彰等带给客观可靠的依据。透过这些评价可促使员工有计划地改善工作，以保证满足用人部门的工作要求。做到鼓励激励、容错纠错、能上能下、能进能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8.外包员工在服务期间，不得发生影响招标人形象的行为。在履约过程中，如中标人的员工严重违规、不合格、给招标人造成损失的，招标人有权要求中标人调整、退回该人员，相应损失由中标人负责赔偿。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9.合同签订后提供服务前，招标人有权要求中标人提供外包员工的有关资料，包括身份证、健康证、社会保险证明、学历证书等进行查证。</w:t>
      </w: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8"/>
          <w:lang w:val="en-US" w:eastAsia="zh-CN"/>
          <w14:textFill>
            <w14:solidFill>
              <w14:schemeClr w14:val="tx1"/>
            </w14:solidFill>
          </w14:textFill>
        </w:rPr>
        <w:t>三</w:t>
      </w:r>
      <w:r>
        <w:rPr>
          <w:rFonts w:hint="eastAsia" w:ascii="宋体" w:hAnsi="宋体"/>
          <w:b/>
          <w:color w:val="000000" w:themeColor="text1"/>
          <w:sz w:val="24"/>
          <w:szCs w:val="28"/>
          <w14:textFill>
            <w14:solidFill>
              <w14:schemeClr w14:val="tx1"/>
            </w14:solidFill>
          </w14:textFill>
        </w:rPr>
        <w:t>、</w:t>
      </w:r>
      <w:r>
        <w:rPr>
          <w:rFonts w:hint="eastAsia" w:ascii="宋体" w:hAnsi="宋体"/>
          <w:b/>
          <w:color w:val="000000" w:themeColor="text1"/>
          <w:sz w:val="24"/>
          <w:szCs w:val="24"/>
          <w14:textFill>
            <w14:solidFill>
              <w14:schemeClr w14:val="tx1"/>
            </w14:solidFill>
          </w14:textFill>
        </w:rPr>
        <w:t>报价要求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1.劳务外包人员约为70人，包含了物业岗、教练岗、工程岗、文员岗。</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2.劳务服务费报价按费率进行报价，服务费费率不得超过5%（不含税费）</w:t>
      </w:r>
      <w:r>
        <w:rPr>
          <w:rFonts w:hint="eastAsia" w:ascii="宋体" w:hAnsi="宋体" w:cs="宋体"/>
          <w:color w:val="000000" w:themeColor="text1"/>
          <w:kern w:val="2"/>
          <w:sz w:val="24"/>
          <w:szCs w:val="24"/>
          <w:lang w:val="en-US" w:eastAsia="zh-CN" w:bidi="ar-SA"/>
          <w14:textFill>
            <w14:solidFill>
              <w14:schemeClr w14:val="tx1"/>
            </w14:solidFill>
          </w14:textFill>
        </w:rPr>
        <w:t>。</w:t>
      </w:r>
    </w:p>
    <w:p>
      <w:pPr>
        <w:spacing w:line="360" w:lineRule="auto"/>
        <w:ind w:firstLine="481"/>
        <w:rPr>
          <w:rFonts w:ascii="宋体" w:hAnsi="宋体"/>
          <w:bCs/>
          <w:color w:val="000000" w:themeColor="text1"/>
          <w:sz w:val="24"/>
          <w14:textFill>
            <w14:solidFill>
              <w14:schemeClr w14:val="tx1"/>
            </w14:solidFill>
          </w14:textFill>
        </w:rPr>
      </w:pPr>
    </w:p>
    <w:bookmarkEnd w:id="24"/>
    <w:p>
      <w:pPr>
        <w:pStyle w:val="3"/>
        <w:spacing w:before="0" w:line="500" w:lineRule="exact"/>
        <w:ind w:firstLine="0"/>
        <w:jc w:val="center"/>
        <w:rPr>
          <w:rFonts w:ascii="宋体" w:hAnsi="宋体" w:eastAsia="宋体"/>
        </w:rPr>
      </w:pPr>
      <w:bookmarkStart w:id="64" w:name="_Toc74747596"/>
      <w:bookmarkStart w:id="65" w:name="_Toc220232391"/>
      <w:r>
        <w:rPr>
          <w:rFonts w:hint="eastAsia" w:ascii="宋体" w:hAnsi="宋体" w:eastAsia="宋体"/>
        </w:rPr>
        <w:t>第五章  评标办法</w:t>
      </w:r>
      <w:bookmarkEnd w:id="64"/>
    </w:p>
    <w:p>
      <w:pPr>
        <w:adjustRightInd w:val="0"/>
        <w:snapToGrid w:val="0"/>
        <w:spacing w:line="360" w:lineRule="auto"/>
        <w:ind w:right="-10" w:firstLine="482" w:firstLineChars="200"/>
        <w:rPr>
          <w:rFonts w:ascii="宋体" w:hAnsi="宋体" w:cs="宋体-18030"/>
          <w:sz w:val="24"/>
        </w:rPr>
      </w:pPr>
      <w:r>
        <w:rPr>
          <w:rFonts w:hint="eastAsia" w:ascii="宋体" w:hAnsi="宋体"/>
          <w:b/>
          <w:bCs/>
          <w:sz w:val="24"/>
        </w:rPr>
        <w:t>1.</w:t>
      </w:r>
      <w:r>
        <w:rPr>
          <w:rFonts w:hint="eastAsia" w:ascii="宋体" w:hAnsi="宋体"/>
          <w:sz w:val="24"/>
        </w:rPr>
        <w:t>为了做好</w:t>
      </w:r>
      <w:r>
        <w:rPr>
          <w:rFonts w:hint="eastAsia" w:ascii="宋体" w:hAnsi="宋体" w:eastAsia="宋体" w:cs="宋体"/>
          <w:color w:val="000000" w:themeColor="text1"/>
          <w:kern w:val="2"/>
          <w:sz w:val="24"/>
          <w:szCs w:val="24"/>
          <w:lang w:val="en-US" w:eastAsia="zh-CN" w:bidi="ar-SA"/>
          <w14:textFill>
            <w14:solidFill>
              <w14:schemeClr w14:val="tx1"/>
            </w14:solidFill>
          </w14:textFill>
        </w:rPr>
        <w:t>合肥体育产业投资有限公司人员外包服务</w:t>
      </w:r>
      <w:r>
        <w:rPr>
          <w:rFonts w:hint="eastAsia" w:ascii="宋体" w:hAnsi="宋体"/>
          <w:b/>
          <w:sz w:val="24"/>
        </w:rPr>
        <w:t>（项目编号：202</w:t>
      </w:r>
      <w:r>
        <w:rPr>
          <w:rFonts w:hint="eastAsia" w:ascii="宋体" w:hAnsi="宋体"/>
          <w:b/>
          <w:sz w:val="24"/>
          <w:lang w:val="en-US" w:eastAsia="zh-CN"/>
        </w:rPr>
        <w:t>3TYGSCG51</w:t>
      </w:r>
      <w:r>
        <w:rPr>
          <w:rFonts w:hint="eastAsia" w:ascii="宋体" w:hAnsi="宋体"/>
          <w:b/>
          <w:sz w:val="24"/>
        </w:rPr>
        <w:t>号）</w:t>
      </w:r>
      <w:r>
        <w:rPr>
          <w:rFonts w:hint="eastAsia" w:ascii="宋体" w:hAnsi="宋体"/>
          <w:sz w:val="24"/>
        </w:rPr>
        <w:t>的招标评标工作，保证项目评审工作的正常有序进行，维护招标人、投标人的合法权益，依据《中华人民共和国招标投标法》</w:t>
      </w:r>
      <w:r>
        <w:rPr>
          <w:rFonts w:hint="eastAsia" w:ascii="宋体" w:hAnsi="宋体" w:cs="宋体-18030"/>
          <w:sz w:val="24"/>
        </w:rPr>
        <w:t>、《中华人民共和国招标投标法实施条例》及其它相关法律法规，本着公开、公平、公正的原则，制定评标办法。</w:t>
      </w:r>
    </w:p>
    <w:p>
      <w:pPr>
        <w:adjustRightInd w:val="0"/>
        <w:snapToGrid w:val="0"/>
        <w:spacing w:line="500" w:lineRule="exact"/>
        <w:ind w:right="-10" w:firstLine="422" w:firstLineChars="175"/>
        <w:rPr>
          <w:rFonts w:ascii="宋体" w:hAnsi="宋体"/>
          <w:sz w:val="24"/>
        </w:rPr>
      </w:pPr>
      <w:r>
        <w:rPr>
          <w:rFonts w:hint="eastAsia" w:ascii="宋体" w:hAnsi="宋体"/>
          <w:b/>
          <w:bCs/>
          <w:sz w:val="24"/>
        </w:rPr>
        <w:t>2.</w:t>
      </w:r>
      <w:r>
        <w:rPr>
          <w:rFonts w:hint="eastAsia" w:ascii="宋体" w:hAnsi="宋体"/>
          <w:sz w:val="24"/>
        </w:rPr>
        <w:t>本次项目评标采用</w:t>
      </w:r>
      <w:r>
        <w:rPr>
          <w:rFonts w:hint="eastAsia" w:ascii="宋体" w:hAnsi="宋体"/>
          <w:b/>
          <w:bCs/>
          <w:sz w:val="24"/>
          <w:u w:val="single"/>
        </w:rPr>
        <w:t>综合评分法</w:t>
      </w:r>
      <w:r>
        <w:rPr>
          <w:rFonts w:hint="eastAsia" w:ascii="宋体" w:hAnsi="宋体"/>
          <w:sz w:val="24"/>
        </w:rPr>
        <w:t>作为对投标人标书的比较方法。</w:t>
      </w:r>
    </w:p>
    <w:p>
      <w:pPr>
        <w:adjustRightInd w:val="0"/>
        <w:snapToGrid w:val="0"/>
        <w:spacing w:line="500" w:lineRule="exact"/>
        <w:ind w:left="-61" w:leftChars="-29" w:right="-10" w:firstLine="482" w:firstLineChars="200"/>
        <w:rPr>
          <w:rFonts w:ascii="宋体" w:hAnsi="宋体"/>
          <w:sz w:val="24"/>
        </w:rPr>
      </w:pPr>
      <w:r>
        <w:rPr>
          <w:rFonts w:hint="eastAsia" w:ascii="宋体" w:hAnsi="宋体"/>
          <w:b/>
          <w:bCs/>
          <w:sz w:val="24"/>
        </w:rPr>
        <w:t>3.</w:t>
      </w:r>
      <w:r>
        <w:rPr>
          <w:rFonts w:hint="eastAsia" w:ascii="宋体" w:hAnsi="宋体"/>
          <w:sz w:val="24"/>
        </w:rPr>
        <w:t>本项目将依法组建不少于</w:t>
      </w:r>
      <w:r>
        <w:rPr>
          <w:rFonts w:hint="eastAsia" w:ascii="宋体" w:hAnsi="宋体"/>
          <w:b/>
          <w:sz w:val="24"/>
          <w:u w:val="single"/>
        </w:rPr>
        <w:t>5</w:t>
      </w:r>
      <w:r>
        <w:rPr>
          <w:rFonts w:hint="eastAsia" w:ascii="宋体" w:hAnsi="宋体"/>
          <w:sz w:val="24"/>
        </w:rPr>
        <w:t>人的评标委员会，负责本项目的评标工作。</w:t>
      </w:r>
    </w:p>
    <w:p>
      <w:pPr>
        <w:adjustRightInd w:val="0"/>
        <w:snapToGrid w:val="0"/>
        <w:spacing w:line="500" w:lineRule="exact"/>
        <w:ind w:left="-61" w:leftChars="-29" w:right="-10" w:firstLine="482" w:firstLineChars="200"/>
        <w:rPr>
          <w:rFonts w:ascii="宋体" w:hAnsi="宋体"/>
          <w:sz w:val="24"/>
        </w:rPr>
      </w:pPr>
      <w:r>
        <w:rPr>
          <w:rFonts w:hint="eastAsia" w:ascii="宋体" w:hAnsi="宋体"/>
          <w:b/>
          <w:sz w:val="24"/>
        </w:rPr>
        <w:t>4.</w:t>
      </w:r>
      <w:r>
        <w:rPr>
          <w:rFonts w:hint="eastAsia" w:ascii="宋体" w:hAnsi="宋体"/>
          <w:sz w:val="24"/>
        </w:rPr>
        <w:t>评标委员会按照“客观公正，实事求是”的原则，评价参加本次招标的投标人所提供的产品或服务价格、性能、质量、服务及对招标文件的符合性及响应性。</w:t>
      </w:r>
    </w:p>
    <w:p>
      <w:pPr>
        <w:adjustRightInd w:val="0"/>
        <w:snapToGrid w:val="0"/>
        <w:spacing w:line="500" w:lineRule="exact"/>
        <w:ind w:right="-10" w:firstLine="482" w:firstLineChars="200"/>
        <w:rPr>
          <w:rFonts w:ascii="宋体" w:hAnsi="宋体"/>
          <w:sz w:val="24"/>
        </w:rPr>
      </w:pPr>
      <w:r>
        <w:rPr>
          <w:rFonts w:hint="eastAsia" w:ascii="宋体" w:hAnsi="宋体"/>
          <w:b/>
          <w:sz w:val="24"/>
        </w:rPr>
        <w:t>5.</w:t>
      </w:r>
      <w:r>
        <w:rPr>
          <w:rFonts w:hint="eastAsia" w:ascii="宋体" w:hAnsi="宋体"/>
          <w:sz w:val="24"/>
        </w:rPr>
        <w:t>有效投标应符合以下原则：</w:t>
      </w:r>
    </w:p>
    <w:p>
      <w:pPr>
        <w:spacing w:line="500" w:lineRule="exact"/>
        <w:ind w:left="480" w:right="-10"/>
        <w:rPr>
          <w:rFonts w:ascii="宋体" w:hAnsi="宋体"/>
          <w:sz w:val="24"/>
        </w:rPr>
      </w:pPr>
      <w:r>
        <w:rPr>
          <w:rFonts w:hint="eastAsia" w:ascii="宋体" w:hAnsi="宋体"/>
          <w:sz w:val="24"/>
        </w:rPr>
        <w:t>5.1满足招标文件的实质性要求；</w:t>
      </w:r>
    </w:p>
    <w:p>
      <w:pPr>
        <w:spacing w:line="500" w:lineRule="exact"/>
        <w:ind w:left="480" w:right="-10"/>
        <w:rPr>
          <w:rFonts w:ascii="宋体" w:hAnsi="宋体"/>
          <w:sz w:val="24"/>
        </w:rPr>
      </w:pPr>
      <w:r>
        <w:rPr>
          <w:rFonts w:hint="eastAsia" w:ascii="宋体" w:hAnsi="宋体"/>
          <w:sz w:val="24"/>
        </w:rPr>
        <w:t>5.2无重大偏离、保留或招标人不能接受的附加条件；</w:t>
      </w:r>
    </w:p>
    <w:p>
      <w:pPr>
        <w:spacing w:line="500" w:lineRule="exact"/>
        <w:ind w:left="480" w:right="-10"/>
        <w:rPr>
          <w:rFonts w:ascii="宋体" w:hAnsi="宋体"/>
          <w:sz w:val="24"/>
        </w:rPr>
      </w:pPr>
      <w:r>
        <w:rPr>
          <w:rFonts w:hint="eastAsia" w:ascii="宋体" w:hAnsi="宋体"/>
          <w:sz w:val="24"/>
        </w:rPr>
        <w:t>5.3通过初审；</w:t>
      </w:r>
    </w:p>
    <w:p>
      <w:pPr>
        <w:adjustRightInd w:val="0"/>
        <w:snapToGrid w:val="0"/>
        <w:spacing w:line="500" w:lineRule="exact"/>
        <w:ind w:right="-10" w:firstLine="480" w:firstLineChars="200"/>
        <w:rPr>
          <w:rFonts w:ascii="宋体" w:hAnsi="宋体"/>
          <w:sz w:val="24"/>
        </w:rPr>
      </w:pPr>
      <w:r>
        <w:rPr>
          <w:rFonts w:hint="eastAsia" w:ascii="宋体" w:hAnsi="宋体"/>
          <w:sz w:val="24"/>
        </w:rPr>
        <w:t>5.4评标委员会依据招标文件认定的其他原则。</w:t>
      </w:r>
    </w:p>
    <w:p>
      <w:pPr>
        <w:adjustRightInd w:val="0"/>
        <w:snapToGrid w:val="0"/>
        <w:spacing w:line="500" w:lineRule="exact"/>
        <w:ind w:right="-10" w:firstLine="482" w:firstLineChars="200"/>
        <w:rPr>
          <w:rFonts w:ascii="宋体" w:hAnsi="宋体" w:cs="宋体-18030"/>
          <w:sz w:val="24"/>
        </w:rPr>
      </w:pPr>
      <w:r>
        <w:rPr>
          <w:rFonts w:hint="eastAsia" w:ascii="宋体" w:hAnsi="宋体"/>
          <w:b/>
          <w:sz w:val="24"/>
        </w:rPr>
        <w:t>6.</w:t>
      </w:r>
      <w:r>
        <w:rPr>
          <w:rFonts w:hint="eastAsia" w:ascii="宋体" w:hAnsi="宋体" w:cs="宋体-18030"/>
          <w:sz w:val="24"/>
        </w:rPr>
        <w:t>评标委员会遵循公开、公平、公正和科学诚信的原则，对所有投标文件均采用相同程序和标准，进行评定。</w:t>
      </w:r>
    </w:p>
    <w:p>
      <w:pPr>
        <w:adjustRightInd w:val="0"/>
        <w:snapToGrid w:val="0"/>
        <w:spacing w:line="500" w:lineRule="exact"/>
        <w:ind w:right="-10" w:firstLine="422" w:firstLineChars="175"/>
        <w:rPr>
          <w:rFonts w:ascii="宋体" w:hAnsi="宋体"/>
          <w:sz w:val="24"/>
          <w:szCs w:val="24"/>
        </w:rPr>
      </w:pPr>
      <w:r>
        <w:rPr>
          <w:rFonts w:hint="eastAsia" w:ascii="宋体" w:hAnsi="宋体" w:cs="宋体-18030"/>
          <w:b/>
          <w:sz w:val="24"/>
        </w:rPr>
        <w:t>7.</w:t>
      </w:r>
      <w:r>
        <w:rPr>
          <w:rFonts w:hint="eastAsia" w:ascii="宋体" w:hAnsi="宋体"/>
          <w:sz w:val="24"/>
          <w:szCs w:val="24"/>
        </w:rPr>
        <w:t xml:space="preserve"> 评标委员会发现投标人的投标文件中对同类问题表述不一致、前后矛盾、有明显文字和计算错误的内容、有可能不符合招标文件规定等情况需要澄清时，评标委员会将以询标的方式告知并要求投标人以书面方式进行必要的澄清、说明或补正。</w:t>
      </w:r>
    </w:p>
    <w:p>
      <w:pPr>
        <w:adjustRightInd w:val="0"/>
        <w:snapToGrid w:val="0"/>
        <w:spacing w:line="500" w:lineRule="exact"/>
        <w:ind w:right="-10" w:firstLine="420" w:firstLineChars="175"/>
        <w:rPr>
          <w:rFonts w:ascii="宋体" w:hAnsi="宋体"/>
          <w:sz w:val="24"/>
          <w:szCs w:val="24"/>
        </w:rPr>
      </w:pPr>
      <w:r>
        <w:rPr>
          <w:rFonts w:hint="eastAsia" w:ascii="宋体" w:hAnsi="宋体"/>
          <w:sz w:val="24"/>
          <w:szCs w:val="24"/>
        </w:rPr>
        <w:t>对于询标后判定的结论（如通过或不通过），评标委员会应提出充足的理由，根据招标文件给定的评审指标进行判定，并予以书面记录。</w:t>
      </w:r>
    </w:p>
    <w:p>
      <w:pPr>
        <w:adjustRightInd w:val="0"/>
        <w:snapToGrid w:val="0"/>
        <w:spacing w:line="500" w:lineRule="exact"/>
        <w:ind w:right="-10" w:firstLine="480" w:firstLineChars="200"/>
        <w:rPr>
          <w:rFonts w:ascii="宋体" w:hAnsi="宋体"/>
          <w:sz w:val="24"/>
        </w:rPr>
      </w:pPr>
      <w:r>
        <w:rPr>
          <w:rFonts w:hint="eastAsia" w:ascii="宋体" w:hAnsi="宋体"/>
          <w:bCs/>
          <w:sz w:val="24"/>
          <w:szCs w:val="24"/>
        </w:rPr>
        <w:t>评标委员会独立评审后，对投标人某项评审指标如有不同意见，按照少数服从多数的原则，确定该项评审指标的最终结论。</w:t>
      </w:r>
    </w:p>
    <w:p>
      <w:pPr>
        <w:adjustRightInd w:val="0"/>
        <w:snapToGrid w:val="0"/>
        <w:spacing w:line="500" w:lineRule="exact"/>
        <w:ind w:right="-10" w:firstLine="482" w:firstLineChars="200"/>
        <w:rPr>
          <w:rFonts w:ascii="宋体" w:hAnsi="宋体"/>
          <w:b/>
          <w:bCs/>
          <w:sz w:val="24"/>
        </w:rPr>
      </w:pPr>
      <w:bookmarkStart w:id="66" w:name="_Toc40792203"/>
      <w:r>
        <w:rPr>
          <w:rFonts w:hint="eastAsia" w:ascii="宋体" w:hAnsi="宋体"/>
          <w:b/>
          <w:bCs/>
          <w:sz w:val="24"/>
        </w:rPr>
        <w:t>8.评审程序</w:t>
      </w:r>
    </w:p>
    <w:p>
      <w:pPr>
        <w:adjustRightInd w:val="0"/>
        <w:snapToGrid w:val="0"/>
        <w:spacing w:line="500" w:lineRule="exact"/>
        <w:ind w:right="-10" w:firstLine="480" w:firstLineChars="200"/>
        <w:rPr>
          <w:rFonts w:ascii="宋体" w:hAnsi="宋体"/>
          <w:sz w:val="24"/>
        </w:rPr>
      </w:pPr>
      <w:r>
        <w:rPr>
          <w:rFonts w:hint="eastAsia" w:ascii="宋体" w:hAnsi="宋体"/>
          <w:sz w:val="24"/>
        </w:rPr>
        <w:t>本项目采用综合评分法进行评审，在最大限度地满足招标文件实质性要求前提下，按照招标文件中规定的各项因素进行综合评审。</w:t>
      </w:r>
    </w:p>
    <w:p>
      <w:pPr>
        <w:adjustRightInd w:val="0"/>
        <w:spacing w:line="360" w:lineRule="auto"/>
        <w:ind w:right="-11" w:firstLine="422" w:firstLineChars="175"/>
        <w:contextualSpacing/>
        <w:rPr>
          <w:rFonts w:ascii="宋体" w:hAnsi="宋体"/>
          <w:b/>
          <w:sz w:val="24"/>
          <w:szCs w:val="24"/>
        </w:rPr>
      </w:pPr>
      <w:r>
        <w:rPr>
          <w:rFonts w:hint="eastAsia" w:ascii="宋体" w:hAnsi="宋体"/>
          <w:b/>
          <w:sz w:val="24"/>
          <w:szCs w:val="24"/>
        </w:rPr>
        <w:t>8.1初审</w:t>
      </w:r>
    </w:p>
    <w:p>
      <w:pPr>
        <w:adjustRightInd w:val="0"/>
        <w:spacing w:line="360" w:lineRule="auto"/>
        <w:ind w:right="-11" w:firstLine="420" w:firstLineChars="175"/>
        <w:contextualSpacing/>
        <w:rPr>
          <w:rFonts w:ascii="宋体" w:hAnsi="宋体"/>
          <w:bCs/>
          <w:sz w:val="24"/>
          <w:szCs w:val="24"/>
        </w:rPr>
      </w:pPr>
      <w:r>
        <w:rPr>
          <w:rFonts w:hint="eastAsia" w:ascii="宋体" w:hAnsi="宋体"/>
          <w:bCs/>
          <w:sz w:val="24"/>
          <w:szCs w:val="24"/>
        </w:rPr>
        <w:t>评标委员会按下表内容对所有投标人进行初审：</w:t>
      </w:r>
    </w:p>
    <w:p>
      <w:pPr>
        <w:pStyle w:val="19"/>
        <w:spacing w:before="128" w:after="20"/>
        <w:ind w:right="567"/>
        <w:jc w:val="center"/>
        <w:rPr>
          <w:rFonts w:ascii="黑体" w:eastAsia="黑体"/>
        </w:rPr>
      </w:pPr>
      <w:r>
        <w:rPr>
          <w:rFonts w:hint="eastAsia" w:ascii="黑体" w:eastAsia="黑体"/>
        </w:rPr>
        <w:t>资格审查评审表</w:t>
      </w:r>
      <w:bookmarkEnd w:id="66"/>
    </w:p>
    <w:tbl>
      <w:tblPr>
        <w:tblStyle w:val="51"/>
        <w:tblW w:w="9782"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131"/>
        <w:gridCol w:w="2237"/>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878"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序号</w:t>
            </w:r>
          </w:p>
        </w:tc>
        <w:tc>
          <w:tcPr>
            <w:tcW w:w="2131"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实质性指标名称</w:t>
            </w:r>
          </w:p>
        </w:tc>
        <w:tc>
          <w:tcPr>
            <w:tcW w:w="2237"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指标要求</w:t>
            </w:r>
          </w:p>
        </w:tc>
        <w:tc>
          <w:tcPr>
            <w:tcW w:w="4536" w:type="dxa"/>
            <w:tcBorders>
              <w:bottom w:val="single" w:color="auto" w:sz="4" w:space="0"/>
            </w:tcBorders>
            <w:vAlign w:val="center"/>
          </w:tcPr>
          <w:p>
            <w:pPr>
              <w:adjustRightInd w:val="0"/>
              <w:snapToGrid w:val="0"/>
              <w:ind w:right="-10"/>
              <w:jc w:val="center"/>
              <w:rPr>
                <w:rFonts w:ascii="宋体" w:hAnsi="宋体"/>
                <w:b/>
                <w:sz w:val="24"/>
                <w:szCs w:val="24"/>
              </w:rPr>
            </w:pPr>
            <w:r>
              <w:rPr>
                <w:rFonts w:hint="eastAsia" w:ascii="宋体" w:hAnsi="宋体"/>
                <w:b/>
                <w:sz w:val="24"/>
                <w:szCs w:val="24"/>
              </w:rPr>
              <w:t>响应文件格式及提交资料要求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878"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1</w:t>
            </w:r>
          </w:p>
        </w:tc>
        <w:tc>
          <w:tcPr>
            <w:tcW w:w="2131"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投标人名称</w:t>
            </w:r>
          </w:p>
        </w:tc>
        <w:tc>
          <w:tcPr>
            <w:tcW w:w="2237"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投标人名称与营业执照单位名称一致</w:t>
            </w:r>
          </w:p>
        </w:tc>
        <w:tc>
          <w:tcPr>
            <w:tcW w:w="4536" w:type="dxa"/>
            <w:tcBorders>
              <w:bottom w:val="single" w:color="auto" w:sz="4" w:space="0"/>
            </w:tcBorders>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8" w:hRule="atLeast"/>
        </w:trPr>
        <w:tc>
          <w:tcPr>
            <w:tcW w:w="878"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2</w:t>
            </w:r>
          </w:p>
        </w:tc>
        <w:tc>
          <w:tcPr>
            <w:tcW w:w="2131"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具备有效的营业执照</w:t>
            </w:r>
          </w:p>
        </w:tc>
        <w:tc>
          <w:tcPr>
            <w:tcW w:w="2237"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合法有效</w:t>
            </w:r>
          </w:p>
        </w:tc>
        <w:tc>
          <w:tcPr>
            <w:tcW w:w="4536"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提供有效的营业执照（或事业单位法人证书）的扫描件</w:t>
            </w:r>
            <w:r>
              <w:rPr>
                <w:rFonts w:hint="eastAsia" w:ascii="宋体" w:hAnsi="宋体"/>
                <w:b/>
                <w:bCs/>
                <w:sz w:val="24"/>
                <w:szCs w:val="24"/>
              </w:rPr>
              <w:t>，应完整的体现出营业执照</w:t>
            </w:r>
            <w:r>
              <w:rPr>
                <w:rFonts w:hint="eastAsia" w:ascii="宋体" w:hAnsi="宋体"/>
                <w:b/>
                <w:sz w:val="24"/>
                <w:szCs w:val="24"/>
              </w:rPr>
              <w:t>（或事业单位法人证书）</w:t>
            </w:r>
            <w:r>
              <w:rPr>
                <w:rFonts w:hint="eastAsia" w:ascii="宋体" w:hAnsi="宋体"/>
                <w:b/>
                <w:bCs/>
                <w:sz w:val="24"/>
                <w:szCs w:val="24"/>
              </w:rPr>
              <w:t>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878" w:type="dxa"/>
            <w:tcBorders>
              <w:bottom w:val="single" w:color="auto" w:sz="4" w:space="0"/>
            </w:tcBorders>
            <w:vAlign w:val="center"/>
          </w:tcPr>
          <w:p>
            <w:pPr>
              <w:adjustRightInd w:val="0"/>
              <w:snapToGrid w:val="0"/>
              <w:ind w:right="-10"/>
              <w:rPr>
                <w:rFonts w:ascii="宋体" w:hAnsi="宋体"/>
                <w:sz w:val="24"/>
                <w:szCs w:val="24"/>
              </w:rPr>
            </w:pPr>
            <w:r>
              <w:rPr>
                <w:rFonts w:hint="eastAsia" w:ascii="宋体" w:hAnsi="宋体"/>
                <w:sz w:val="24"/>
                <w:szCs w:val="24"/>
              </w:rPr>
              <w:t>3</w:t>
            </w:r>
          </w:p>
        </w:tc>
        <w:tc>
          <w:tcPr>
            <w:tcW w:w="2131" w:type="dxa"/>
            <w:tcBorders>
              <w:bottom w:val="single" w:color="auto" w:sz="4" w:space="0"/>
            </w:tcBorders>
            <w:vAlign w:val="center"/>
          </w:tcPr>
          <w:p>
            <w:pPr>
              <w:ind w:right="-11"/>
              <w:rPr>
                <w:rFonts w:ascii="宋体" w:hAnsi="宋体"/>
                <w:sz w:val="24"/>
                <w:szCs w:val="24"/>
              </w:rPr>
            </w:pPr>
            <w:r>
              <w:rPr>
                <w:rFonts w:hint="eastAsia" w:ascii="宋体" w:hAnsi="宋体"/>
                <w:sz w:val="24"/>
                <w:szCs w:val="24"/>
              </w:rPr>
              <w:t>具备有效的资质证书</w:t>
            </w:r>
          </w:p>
        </w:tc>
        <w:tc>
          <w:tcPr>
            <w:tcW w:w="2237" w:type="dxa"/>
            <w:tcBorders>
              <w:bottom w:val="single" w:color="auto" w:sz="4" w:space="0"/>
            </w:tcBorders>
            <w:vAlign w:val="center"/>
          </w:tcPr>
          <w:p>
            <w:pPr>
              <w:ind w:right="-11"/>
              <w:rPr>
                <w:rFonts w:ascii="宋体" w:hAnsi="宋体"/>
                <w:sz w:val="24"/>
                <w:szCs w:val="24"/>
              </w:rPr>
            </w:pPr>
            <w:r>
              <w:rPr>
                <w:rFonts w:hint="eastAsia" w:ascii="宋体" w:hAnsi="宋体"/>
                <w:sz w:val="24"/>
                <w:szCs w:val="24"/>
              </w:rPr>
              <w:t>见招标公告要求</w:t>
            </w:r>
          </w:p>
        </w:tc>
        <w:tc>
          <w:tcPr>
            <w:tcW w:w="4536" w:type="dxa"/>
            <w:tcBorders>
              <w:bottom w:val="single" w:color="auto" w:sz="4" w:space="0"/>
            </w:tcBorders>
            <w:vAlign w:val="center"/>
          </w:tcPr>
          <w:p>
            <w:pPr>
              <w:adjustRightInd w:val="0"/>
              <w:snapToGrid w:val="0"/>
              <w:ind w:right="-11"/>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4</w:t>
            </w:r>
          </w:p>
        </w:tc>
        <w:tc>
          <w:tcPr>
            <w:tcW w:w="2131" w:type="dxa"/>
            <w:vAlign w:val="center"/>
          </w:tcPr>
          <w:p>
            <w:pPr>
              <w:spacing w:after="50"/>
              <w:ind w:right="-10"/>
              <w:rPr>
                <w:rFonts w:ascii="宋体" w:hAnsi="宋体"/>
                <w:sz w:val="24"/>
                <w:szCs w:val="24"/>
              </w:rPr>
            </w:pPr>
            <w:r>
              <w:rPr>
                <w:rFonts w:hint="eastAsia" w:ascii="宋体" w:hAnsi="宋体"/>
                <w:sz w:val="24"/>
                <w:szCs w:val="24"/>
              </w:rPr>
              <w:t>投标函</w:t>
            </w:r>
          </w:p>
        </w:tc>
        <w:tc>
          <w:tcPr>
            <w:tcW w:w="2237" w:type="dxa"/>
            <w:vAlign w:val="center"/>
          </w:tcPr>
          <w:p>
            <w:pPr>
              <w:spacing w:after="50"/>
              <w:ind w:right="-10"/>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r>
              <w:rPr>
                <w:rFonts w:hint="eastAsia" w:ascii="宋体" w:hAnsi="宋体"/>
                <w:sz w:val="24"/>
                <w:szCs w:val="24"/>
              </w:rPr>
              <w:t>投标函中的授权代表须与投标授权书中保持一致，否则投标无效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878" w:type="dxa"/>
            <w:vAlign w:val="center"/>
          </w:tcPr>
          <w:p>
            <w:pPr>
              <w:adjustRightInd w:val="0"/>
              <w:snapToGrid w:val="0"/>
              <w:ind w:right="-10"/>
              <w:rPr>
                <w:rFonts w:ascii="宋体" w:hAnsi="宋体"/>
                <w:sz w:val="24"/>
                <w:szCs w:val="24"/>
              </w:rPr>
            </w:pPr>
            <w:r>
              <w:rPr>
                <w:rFonts w:ascii="宋体" w:hAnsi="宋体"/>
                <w:sz w:val="24"/>
                <w:szCs w:val="24"/>
              </w:rPr>
              <w:t>5</w:t>
            </w:r>
          </w:p>
        </w:tc>
        <w:tc>
          <w:tcPr>
            <w:tcW w:w="2131" w:type="dxa"/>
            <w:vAlign w:val="center"/>
          </w:tcPr>
          <w:p>
            <w:pPr>
              <w:spacing w:after="50"/>
              <w:ind w:right="-10"/>
              <w:rPr>
                <w:rFonts w:ascii="宋体" w:hAnsi="宋体"/>
                <w:sz w:val="24"/>
                <w:szCs w:val="24"/>
              </w:rPr>
            </w:pPr>
            <w:r>
              <w:rPr>
                <w:rFonts w:hint="eastAsia" w:ascii="宋体" w:hAnsi="宋体"/>
                <w:sz w:val="24"/>
                <w:szCs w:val="24"/>
              </w:rPr>
              <w:t>投标授权书</w:t>
            </w:r>
          </w:p>
        </w:tc>
        <w:tc>
          <w:tcPr>
            <w:tcW w:w="2237" w:type="dxa"/>
            <w:vAlign w:val="center"/>
          </w:tcPr>
          <w:p>
            <w:pPr>
              <w:spacing w:after="50"/>
              <w:ind w:right="-10"/>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b/>
                <w:sz w:val="24"/>
                <w:szCs w:val="24"/>
              </w:rPr>
            </w:pPr>
            <w:r>
              <w:rPr>
                <w:rFonts w:hint="eastAsia" w:ascii="宋体" w:hAnsi="宋体"/>
                <w:sz w:val="24"/>
                <w:szCs w:val="24"/>
              </w:rPr>
              <w:t>详见第九章响应文件格式“投标授权书”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6</w:t>
            </w:r>
          </w:p>
        </w:tc>
        <w:tc>
          <w:tcPr>
            <w:tcW w:w="2131" w:type="dxa"/>
            <w:vAlign w:val="center"/>
          </w:tcPr>
          <w:p>
            <w:pPr>
              <w:spacing w:after="50"/>
              <w:ind w:right="-10"/>
              <w:rPr>
                <w:rFonts w:ascii="宋体" w:hAnsi="宋体"/>
                <w:sz w:val="24"/>
                <w:szCs w:val="24"/>
              </w:rPr>
            </w:pPr>
            <w:r>
              <w:rPr>
                <w:rFonts w:hint="eastAsia" w:ascii="宋体" w:hAnsi="宋体"/>
                <w:sz w:val="24"/>
                <w:szCs w:val="24"/>
              </w:rPr>
              <w:t>投标人信用承诺</w:t>
            </w:r>
          </w:p>
        </w:tc>
        <w:tc>
          <w:tcPr>
            <w:tcW w:w="2237" w:type="dxa"/>
            <w:vAlign w:val="center"/>
          </w:tcPr>
          <w:p>
            <w:pPr>
              <w:spacing w:after="50"/>
              <w:ind w:right="-10"/>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7</w:t>
            </w:r>
          </w:p>
        </w:tc>
        <w:tc>
          <w:tcPr>
            <w:tcW w:w="2131" w:type="dxa"/>
            <w:vAlign w:val="center"/>
          </w:tcPr>
          <w:p>
            <w:pPr>
              <w:autoSpaceDE w:val="0"/>
              <w:autoSpaceDN w:val="0"/>
              <w:adjustRightInd w:val="0"/>
              <w:ind w:firstLine="200"/>
              <w:rPr>
                <w:rFonts w:ascii="宋体" w:hAnsi="宋体"/>
                <w:sz w:val="24"/>
                <w:szCs w:val="24"/>
              </w:rPr>
            </w:pPr>
            <w:r>
              <w:rPr>
                <w:rFonts w:hint="eastAsia" w:ascii="宋体" w:hAnsi="宋体"/>
                <w:sz w:val="24"/>
                <w:szCs w:val="24"/>
              </w:rPr>
              <w:t>投标人资格</w:t>
            </w:r>
          </w:p>
        </w:tc>
        <w:tc>
          <w:tcPr>
            <w:tcW w:w="2237" w:type="dxa"/>
            <w:vAlign w:val="center"/>
          </w:tcPr>
          <w:p>
            <w:pPr>
              <w:ind w:right="-11"/>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bCs/>
                <w:sz w:val="24"/>
                <w:szCs w:val="24"/>
              </w:rPr>
            </w:pPr>
            <w:r>
              <w:rPr>
                <w:rFonts w:hint="eastAsia" w:ascii="宋体" w:hAnsi="宋体"/>
                <w:sz w:val="24"/>
                <w:szCs w:val="24"/>
              </w:rPr>
              <w:t>1.详见第一章投标邀请“投标人资格”</w:t>
            </w:r>
            <w:r>
              <w:rPr>
                <w:rFonts w:hint="eastAsia" w:ascii="宋体" w:hAnsi="宋体"/>
                <w:bCs/>
                <w:sz w:val="24"/>
                <w:szCs w:val="24"/>
              </w:rPr>
              <w:t>；</w:t>
            </w:r>
          </w:p>
          <w:p>
            <w:pPr>
              <w:autoSpaceDE w:val="0"/>
              <w:autoSpaceDN w:val="0"/>
              <w:adjustRightInd w:val="0"/>
              <w:ind w:firstLine="200"/>
              <w:rPr>
                <w:rFonts w:ascii="宋体" w:hAnsi="宋体"/>
                <w:sz w:val="24"/>
                <w:szCs w:val="24"/>
              </w:rPr>
            </w:pPr>
            <w:r>
              <w:rPr>
                <w:rFonts w:hint="eastAsia" w:ascii="宋体" w:hAnsi="宋体"/>
                <w:bCs/>
                <w:sz w:val="24"/>
                <w:szCs w:val="24"/>
              </w:rPr>
              <w:t>2.</w:t>
            </w:r>
            <w:r>
              <w:rPr>
                <w:rFonts w:hint="eastAsia" w:ascii="宋体" w:hAnsi="宋体"/>
                <w:sz w:val="24"/>
                <w:szCs w:val="24"/>
              </w:rPr>
              <w:t>提供资质证书扫描件。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8</w:t>
            </w:r>
          </w:p>
        </w:tc>
        <w:tc>
          <w:tcPr>
            <w:tcW w:w="2131" w:type="dxa"/>
            <w:vAlign w:val="center"/>
          </w:tcPr>
          <w:p>
            <w:pPr>
              <w:autoSpaceDE w:val="0"/>
              <w:autoSpaceDN w:val="0"/>
              <w:adjustRightInd w:val="0"/>
              <w:rPr>
                <w:rFonts w:ascii="宋体" w:hAnsi="宋体"/>
                <w:sz w:val="24"/>
                <w:szCs w:val="24"/>
              </w:rPr>
            </w:pPr>
            <w:r>
              <w:rPr>
                <w:rFonts w:hint="eastAsia" w:ascii="宋体" w:hAnsi="宋体"/>
                <w:sz w:val="24"/>
                <w:szCs w:val="24"/>
              </w:rPr>
              <w:t>投标人资质条件、能力和信誉</w:t>
            </w:r>
          </w:p>
        </w:tc>
        <w:tc>
          <w:tcPr>
            <w:tcW w:w="2237" w:type="dxa"/>
            <w:vAlign w:val="center"/>
          </w:tcPr>
          <w:p>
            <w:pPr>
              <w:ind w:right="-11"/>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9</w:t>
            </w:r>
          </w:p>
        </w:tc>
        <w:tc>
          <w:tcPr>
            <w:tcW w:w="2131" w:type="dxa"/>
            <w:vAlign w:val="center"/>
          </w:tcPr>
          <w:p>
            <w:pPr>
              <w:autoSpaceDE w:val="0"/>
              <w:autoSpaceDN w:val="0"/>
              <w:adjustRightInd w:val="0"/>
              <w:ind w:firstLine="200"/>
              <w:rPr>
                <w:rFonts w:ascii="宋体" w:hAnsi="宋体"/>
                <w:sz w:val="24"/>
                <w:szCs w:val="24"/>
              </w:rPr>
            </w:pPr>
            <w:r>
              <w:rPr>
                <w:rFonts w:hint="eastAsia" w:ascii="宋体" w:hAnsi="宋体"/>
                <w:sz w:val="24"/>
                <w:szCs w:val="24"/>
              </w:rPr>
              <w:t>投标保证金</w:t>
            </w:r>
          </w:p>
        </w:tc>
        <w:tc>
          <w:tcPr>
            <w:tcW w:w="2237" w:type="dxa"/>
            <w:vAlign w:val="center"/>
          </w:tcPr>
          <w:p>
            <w:pPr>
              <w:ind w:right="-11"/>
              <w:rPr>
                <w:rFonts w:ascii="宋体" w:hAnsi="宋体"/>
                <w:sz w:val="24"/>
                <w:szCs w:val="24"/>
              </w:rPr>
            </w:pPr>
            <w:r>
              <w:rPr>
                <w:rFonts w:hint="eastAsia" w:ascii="宋体" w:hAnsi="宋体"/>
                <w:sz w:val="24"/>
                <w:szCs w:val="24"/>
              </w:rPr>
              <w:t>符合招标文件要求</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878" w:type="dxa"/>
            <w:vAlign w:val="center"/>
          </w:tcPr>
          <w:p>
            <w:pPr>
              <w:adjustRightInd w:val="0"/>
              <w:snapToGrid w:val="0"/>
              <w:ind w:right="-10"/>
              <w:rPr>
                <w:rFonts w:ascii="宋体" w:hAnsi="宋体"/>
                <w:sz w:val="24"/>
                <w:szCs w:val="24"/>
              </w:rPr>
            </w:pPr>
            <w:r>
              <w:rPr>
                <w:rFonts w:hint="eastAsia" w:ascii="宋体" w:hAnsi="宋体"/>
                <w:sz w:val="24"/>
                <w:szCs w:val="24"/>
              </w:rPr>
              <w:t>10</w:t>
            </w:r>
          </w:p>
        </w:tc>
        <w:tc>
          <w:tcPr>
            <w:tcW w:w="2131" w:type="dxa"/>
            <w:vAlign w:val="center"/>
          </w:tcPr>
          <w:p>
            <w:pPr>
              <w:spacing w:after="50"/>
              <w:ind w:right="-10"/>
              <w:rPr>
                <w:rFonts w:ascii="宋体" w:hAnsi="宋体"/>
                <w:sz w:val="24"/>
                <w:szCs w:val="24"/>
              </w:rPr>
            </w:pPr>
            <w:r>
              <w:rPr>
                <w:rFonts w:hint="eastAsia" w:ascii="宋体" w:hAnsi="宋体"/>
                <w:sz w:val="24"/>
                <w:szCs w:val="24"/>
              </w:rPr>
              <w:t>标书响应情况</w:t>
            </w:r>
          </w:p>
        </w:tc>
        <w:tc>
          <w:tcPr>
            <w:tcW w:w="2237" w:type="dxa"/>
            <w:vAlign w:val="center"/>
          </w:tcPr>
          <w:p>
            <w:pPr>
              <w:spacing w:after="50"/>
              <w:ind w:right="-10"/>
              <w:rPr>
                <w:rFonts w:ascii="宋体" w:hAnsi="宋体"/>
                <w:sz w:val="24"/>
                <w:szCs w:val="24"/>
              </w:rPr>
            </w:pPr>
            <w:r>
              <w:rPr>
                <w:rFonts w:hint="eastAsia" w:ascii="宋体" w:hAnsi="宋体"/>
                <w:sz w:val="24"/>
                <w:szCs w:val="24"/>
              </w:rPr>
              <w:t>付款响应、</w:t>
            </w:r>
            <w:r>
              <w:rPr>
                <w:rFonts w:hint="eastAsia" w:ascii="宋体" w:hAnsi="宋体"/>
                <w:sz w:val="24"/>
                <w:szCs w:val="24"/>
                <w:lang w:val="en-US" w:eastAsia="zh-CN"/>
              </w:rPr>
              <w:t>服务要求</w:t>
            </w:r>
            <w:r>
              <w:rPr>
                <w:rFonts w:hint="eastAsia" w:ascii="宋体" w:hAnsi="宋体"/>
                <w:sz w:val="24"/>
                <w:szCs w:val="24"/>
              </w:rPr>
              <w:t>响应</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8" w:hRule="atLeast"/>
        </w:trPr>
        <w:tc>
          <w:tcPr>
            <w:tcW w:w="878" w:type="dxa"/>
            <w:vAlign w:val="center"/>
          </w:tcPr>
          <w:p>
            <w:pPr>
              <w:adjustRightInd w:val="0"/>
              <w:snapToGrid w:val="0"/>
              <w:ind w:right="-10"/>
              <w:rPr>
                <w:rFonts w:ascii="宋体" w:hAnsi="宋体"/>
                <w:sz w:val="24"/>
                <w:szCs w:val="24"/>
              </w:rPr>
            </w:pPr>
            <w:r>
              <w:rPr>
                <w:rFonts w:ascii="宋体" w:hAnsi="宋体"/>
                <w:sz w:val="24"/>
                <w:szCs w:val="24"/>
              </w:rPr>
              <w:t>11</w:t>
            </w:r>
          </w:p>
        </w:tc>
        <w:tc>
          <w:tcPr>
            <w:tcW w:w="2131" w:type="dxa"/>
            <w:vAlign w:val="center"/>
          </w:tcPr>
          <w:p>
            <w:pPr>
              <w:spacing w:after="50"/>
              <w:ind w:right="-10"/>
              <w:rPr>
                <w:rFonts w:ascii="宋体" w:hAnsi="宋体"/>
                <w:sz w:val="24"/>
                <w:szCs w:val="24"/>
              </w:rPr>
            </w:pPr>
            <w:r>
              <w:rPr>
                <w:rFonts w:hint="eastAsia" w:ascii="宋体" w:hAnsi="宋体"/>
                <w:sz w:val="24"/>
                <w:szCs w:val="24"/>
              </w:rPr>
              <w:t>标书规范性</w:t>
            </w:r>
          </w:p>
        </w:tc>
        <w:tc>
          <w:tcPr>
            <w:tcW w:w="2237" w:type="dxa"/>
            <w:vAlign w:val="center"/>
          </w:tcPr>
          <w:p>
            <w:pPr>
              <w:spacing w:after="50"/>
              <w:ind w:right="-10"/>
              <w:rPr>
                <w:rFonts w:ascii="宋体" w:hAnsi="宋体"/>
                <w:sz w:val="24"/>
                <w:szCs w:val="24"/>
              </w:rPr>
            </w:pPr>
            <w:r>
              <w:rPr>
                <w:rFonts w:hint="eastAsia" w:ascii="宋体" w:hAnsi="宋体"/>
                <w:kern w:val="0"/>
                <w:sz w:val="24"/>
                <w:szCs w:val="24"/>
              </w:rPr>
              <w:t>无严重的编排混乱、内容不全或字迹模糊辨认不清、前后矛盾情况，对评标无实质性影响的</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878" w:type="dxa"/>
            <w:vAlign w:val="center"/>
          </w:tcPr>
          <w:p>
            <w:pPr>
              <w:adjustRightInd w:val="0"/>
              <w:snapToGrid w:val="0"/>
              <w:ind w:right="-10"/>
              <w:rPr>
                <w:rFonts w:ascii="宋体" w:hAnsi="宋体"/>
                <w:sz w:val="24"/>
                <w:szCs w:val="24"/>
              </w:rPr>
            </w:pPr>
            <w:r>
              <w:rPr>
                <w:rFonts w:ascii="宋体" w:hAnsi="宋体"/>
                <w:sz w:val="24"/>
                <w:szCs w:val="24"/>
              </w:rPr>
              <w:t>12</w:t>
            </w:r>
          </w:p>
        </w:tc>
        <w:tc>
          <w:tcPr>
            <w:tcW w:w="2131" w:type="dxa"/>
            <w:vAlign w:val="center"/>
          </w:tcPr>
          <w:p>
            <w:pPr>
              <w:spacing w:after="50"/>
              <w:ind w:right="-10"/>
              <w:rPr>
                <w:rFonts w:ascii="宋体" w:hAnsi="宋体"/>
                <w:sz w:val="24"/>
                <w:szCs w:val="24"/>
              </w:rPr>
            </w:pPr>
            <w:r>
              <w:rPr>
                <w:rFonts w:hint="eastAsia" w:ascii="宋体" w:hAnsi="宋体"/>
                <w:sz w:val="24"/>
                <w:szCs w:val="24"/>
              </w:rPr>
              <w:t>其他要求</w:t>
            </w:r>
          </w:p>
        </w:tc>
        <w:tc>
          <w:tcPr>
            <w:tcW w:w="2237" w:type="dxa"/>
            <w:vAlign w:val="center"/>
          </w:tcPr>
          <w:p>
            <w:pPr>
              <w:spacing w:after="50"/>
              <w:ind w:right="-10"/>
              <w:rPr>
                <w:rFonts w:ascii="宋体" w:hAnsi="宋体"/>
                <w:sz w:val="24"/>
                <w:szCs w:val="24"/>
              </w:rPr>
            </w:pPr>
            <w:r>
              <w:rPr>
                <w:rFonts w:hint="eastAsia" w:ascii="宋体" w:hAnsi="宋体"/>
                <w:sz w:val="24"/>
                <w:szCs w:val="24"/>
              </w:rPr>
              <w:t>上述指标中未列出，但国家相关法律法规或谈判文件有明确规定的</w:t>
            </w:r>
          </w:p>
        </w:tc>
        <w:tc>
          <w:tcPr>
            <w:tcW w:w="4536" w:type="dxa"/>
            <w:vAlign w:val="center"/>
          </w:tcPr>
          <w:p>
            <w:pPr>
              <w:adjustRightInd w:val="0"/>
              <w:snapToGrid w:val="0"/>
              <w:ind w:right="-10"/>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7" w:hRule="atLeast"/>
        </w:trPr>
        <w:tc>
          <w:tcPr>
            <w:tcW w:w="9782" w:type="dxa"/>
            <w:gridSpan w:val="4"/>
            <w:vAlign w:val="center"/>
          </w:tcPr>
          <w:p>
            <w:pPr>
              <w:adjustRightInd w:val="0"/>
              <w:snapToGrid w:val="0"/>
              <w:spacing w:line="360" w:lineRule="auto"/>
              <w:ind w:right="-10"/>
              <w:rPr>
                <w:rFonts w:ascii="宋体" w:hAnsi="宋体" w:cs="宋体"/>
                <w:sz w:val="24"/>
                <w:szCs w:val="24"/>
                <w:lang w:val="zh-CN" w:bidi="zh-CN"/>
              </w:rPr>
            </w:pPr>
            <w:r>
              <w:rPr>
                <w:rFonts w:hint="eastAsia" w:ascii="宋体" w:hAnsi="宋体"/>
                <w:sz w:val="24"/>
                <w:szCs w:val="24"/>
              </w:rPr>
              <w:t>（1）资格审查采用定性方法，符合</w:t>
            </w:r>
            <w:r>
              <w:rPr>
                <w:rFonts w:hint="eastAsia" w:ascii="宋体" w:hAnsi="宋体" w:cs="宋体"/>
                <w:sz w:val="24"/>
                <w:szCs w:val="24"/>
                <w:lang w:val="zh-CN" w:bidi="zh-CN"/>
              </w:rPr>
              <w:t>性评审，所有评审选项必须全部通过方为合格。</w:t>
            </w:r>
          </w:p>
          <w:p>
            <w:pPr>
              <w:adjustRightInd w:val="0"/>
              <w:snapToGrid w:val="0"/>
              <w:spacing w:line="360" w:lineRule="auto"/>
              <w:ind w:right="-10"/>
              <w:rPr>
                <w:rFonts w:ascii="宋体" w:hAnsi="宋体" w:cs="宋体"/>
                <w:sz w:val="24"/>
                <w:szCs w:val="24"/>
                <w:lang w:val="zh-CN" w:bidi="zh-CN"/>
              </w:rPr>
            </w:pPr>
            <w:r>
              <w:rPr>
                <w:rFonts w:hint="eastAsia" w:ascii="宋体" w:hAnsi="宋体" w:cs="宋体"/>
                <w:sz w:val="24"/>
                <w:szCs w:val="24"/>
                <w:lang w:val="zh-CN" w:bidi="zh-CN"/>
              </w:rPr>
              <w:t>评标委员会根据表中所列各项指标对投标人是否为有效标进行评审，未列入上表中的指标不得作为废标依据。符合评审指标通过标准的，为有效投标。未通过评审的投标人将不参与技术标、商务标评审。</w:t>
            </w:r>
          </w:p>
          <w:p>
            <w:pPr>
              <w:adjustRightInd w:val="0"/>
              <w:snapToGrid w:val="0"/>
              <w:spacing w:line="360" w:lineRule="auto"/>
              <w:ind w:right="-10"/>
              <w:rPr>
                <w:rFonts w:ascii="宋体" w:hAnsi="宋体" w:cs="宋体"/>
                <w:sz w:val="24"/>
                <w:szCs w:val="24"/>
                <w:lang w:val="zh-CN" w:bidi="zh-CN"/>
              </w:rPr>
            </w:pPr>
            <w:r>
              <w:rPr>
                <w:rFonts w:hint="eastAsia" w:ascii="宋体" w:hAnsi="宋体" w:cs="宋体"/>
                <w:sz w:val="24"/>
                <w:szCs w:val="24"/>
                <w:lang w:val="zh-CN" w:bidi="zh-CN"/>
              </w:rPr>
              <w:t>（2）投标人提供的资料不全、不清楚、超出有效期等情况，将由评审委员会按照对投标人不利的解释去理解，由此产生的一切后果由投标人自行承担。</w:t>
            </w:r>
          </w:p>
          <w:p>
            <w:pPr>
              <w:adjustRightInd w:val="0"/>
              <w:snapToGrid w:val="0"/>
              <w:spacing w:line="360" w:lineRule="auto"/>
              <w:ind w:right="-10"/>
              <w:rPr>
                <w:rFonts w:ascii="宋体" w:hAnsi="宋体"/>
                <w:sz w:val="24"/>
                <w:szCs w:val="24"/>
              </w:rPr>
            </w:pPr>
            <w:r>
              <w:rPr>
                <w:rFonts w:hint="eastAsia" w:ascii="宋体" w:hAnsi="宋体" w:cs="宋体"/>
                <w:sz w:val="24"/>
                <w:szCs w:val="24"/>
                <w:lang w:val="zh-CN" w:bidi="zh-CN"/>
              </w:rPr>
              <w:t>（3）投标人提供的与投标有关的各类证书、证明、文件、资料等的真实性、合法性由投标人负全责。如发现投标人有弄虚作假或提供不实信息以骗取中标的行为，无论在投标有效期内还是在工程实施过程中，一经发现，将被取消其中标资格或终止合同，视为企业不诚信行为。</w:t>
            </w:r>
          </w:p>
        </w:tc>
      </w:tr>
    </w:tbl>
    <w:p>
      <w:pPr>
        <w:adjustRightInd w:val="0"/>
        <w:snapToGrid w:val="0"/>
        <w:spacing w:line="360" w:lineRule="auto"/>
        <w:ind w:right="-10" w:firstLine="422" w:firstLineChars="175"/>
        <w:rPr>
          <w:rFonts w:ascii="宋体" w:hAnsi="宋体"/>
          <w:b/>
          <w:sz w:val="24"/>
          <w:highlight w:val="green"/>
        </w:rPr>
      </w:pPr>
      <w:bookmarkStart w:id="67" w:name="_Toc460660192"/>
      <w:bookmarkStart w:id="68" w:name="_Toc535316017"/>
      <w:bookmarkStart w:id="69" w:name="_Toc535241125"/>
    </w:p>
    <w:p>
      <w:pPr>
        <w:adjustRightInd w:val="0"/>
        <w:snapToGrid w:val="0"/>
        <w:spacing w:line="360" w:lineRule="auto"/>
        <w:ind w:right="-10" w:firstLine="422" w:firstLineChars="175"/>
        <w:rPr>
          <w:rFonts w:ascii="宋体" w:hAnsi="宋体"/>
          <w:b/>
          <w:sz w:val="24"/>
        </w:rPr>
      </w:pPr>
      <w:r>
        <w:rPr>
          <w:rFonts w:hint="eastAsia" w:ascii="宋体" w:hAnsi="宋体"/>
          <w:b/>
          <w:sz w:val="24"/>
        </w:rPr>
        <w:t>8</w:t>
      </w:r>
      <w:r>
        <w:rPr>
          <w:rFonts w:ascii="宋体" w:hAnsi="宋体"/>
          <w:b/>
          <w:sz w:val="24"/>
        </w:rPr>
        <w:t>.2</w:t>
      </w:r>
      <w:r>
        <w:rPr>
          <w:rFonts w:hint="eastAsia" w:ascii="宋体" w:hAnsi="宋体"/>
          <w:b/>
          <w:sz w:val="24"/>
        </w:rPr>
        <w:t>详细评审</w:t>
      </w:r>
    </w:p>
    <w:p>
      <w:pPr>
        <w:adjustRightInd w:val="0"/>
        <w:snapToGrid w:val="0"/>
        <w:spacing w:line="360" w:lineRule="auto"/>
        <w:ind w:right="-10" w:firstLine="420" w:firstLineChars="175"/>
        <w:rPr>
          <w:rFonts w:ascii="宋体" w:hAnsi="宋体"/>
          <w:bCs/>
          <w:sz w:val="24"/>
        </w:rPr>
      </w:pPr>
      <w:r>
        <w:rPr>
          <w:rFonts w:hint="eastAsia" w:ascii="宋体" w:hAnsi="宋体"/>
          <w:bCs/>
          <w:sz w:val="24"/>
        </w:rPr>
        <w:t>8</w:t>
      </w:r>
      <w:r>
        <w:rPr>
          <w:rFonts w:ascii="宋体" w:hAnsi="宋体"/>
          <w:bCs/>
          <w:sz w:val="24"/>
        </w:rPr>
        <w:t>.2.1</w:t>
      </w:r>
      <w:bookmarkStart w:id="70" w:name="_Hlk514734853"/>
      <w:r>
        <w:rPr>
          <w:rFonts w:hint="eastAsia" w:ascii="宋体" w:hAnsi="宋体"/>
          <w:bCs/>
          <w:sz w:val="24"/>
        </w:rPr>
        <w:t>评标委员会将对所有通过初审的投标文件进行详细评审，具体如下：</w:t>
      </w:r>
      <w:bookmarkEnd w:id="70"/>
    </w:p>
    <w:p>
      <w:pPr>
        <w:adjustRightInd w:val="0"/>
        <w:snapToGrid w:val="0"/>
        <w:spacing w:line="360" w:lineRule="auto"/>
        <w:ind w:firstLine="480" w:firstLineChars="200"/>
        <w:jc w:val="left"/>
        <w:rPr>
          <w:rFonts w:ascii="宋体" w:hAnsi="宋体"/>
          <w:bCs/>
          <w:sz w:val="24"/>
        </w:rPr>
      </w:pPr>
      <w:r>
        <w:rPr>
          <w:rFonts w:hint="eastAsia" w:ascii="宋体" w:hAnsi="宋体"/>
          <w:bCs/>
          <w:sz w:val="24"/>
        </w:rPr>
        <w:t>根据评分的细则，评委应对进入详细评审的所有投标文件进行评分，并分别填写打分表。</w:t>
      </w:r>
      <w:r>
        <w:rPr>
          <w:rFonts w:hint="eastAsia" w:ascii="宋体" w:hAnsi="宋体"/>
          <w:bCs/>
          <w:sz w:val="24"/>
          <w:szCs w:val="24"/>
        </w:rPr>
        <w:t>投标人的各项得分均保留小数点后两位（小数点后第三位四舍五入）。</w:t>
      </w:r>
    </w:p>
    <w:p>
      <w:pPr>
        <w:adjustRightInd w:val="0"/>
        <w:snapToGrid w:val="0"/>
        <w:spacing w:line="360" w:lineRule="auto"/>
        <w:ind w:right="-10" w:firstLine="420" w:firstLineChars="175"/>
        <w:rPr>
          <w:rFonts w:hint="eastAsia" w:ascii="宋体" w:hAnsi="宋体"/>
          <w:bCs/>
          <w:sz w:val="24"/>
        </w:rPr>
      </w:pPr>
      <w:r>
        <w:rPr>
          <w:rFonts w:hint="eastAsia" w:ascii="宋体" w:hAnsi="宋体"/>
          <w:bCs/>
          <w:sz w:val="24"/>
        </w:rPr>
        <w:t>8.2.2</w:t>
      </w:r>
      <w:r>
        <w:rPr>
          <w:rFonts w:hint="eastAsia" w:ascii="宋体" w:hAnsi="宋体"/>
          <w:sz w:val="24"/>
          <w:szCs w:val="24"/>
        </w:rPr>
        <w:t>详细评审</w:t>
      </w:r>
      <w:bookmarkStart w:id="71" w:name="_Hlk514734883"/>
      <w:r>
        <w:rPr>
          <w:rFonts w:hint="eastAsia" w:ascii="宋体" w:hAnsi="宋体"/>
          <w:bCs/>
          <w:sz w:val="24"/>
        </w:rPr>
        <w:t>指标如下：</w:t>
      </w:r>
      <w:bookmarkEnd w:id="71"/>
    </w:p>
    <w:p>
      <w:pPr>
        <w:adjustRightInd w:val="0"/>
        <w:snapToGrid w:val="0"/>
        <w:spacing w:line="360" w:lineRule="auto"/>
        <w:ind w:right="-10" w:firstLine="480" w:firstLineChars="200"/>
      </w:pPr>
      <w:r>
        <w:rPr>
          <w:rFonts w:hint="eastAsia" w:ascii="宋体" w:hAnsi="宋体"/>
          <w:sz w:val="24"/>
          <w:szCs w:val="24"/>
        </w:rPr>
        <w:t>技术部分详细评审</w:t>
      </w:r>
      <w:r>
        <w:rPr>
          <w:rFonts w:hint="eastAsia" w:ascii="宋体" w:hAnsi="宋体"/>
          <w:bCs/>
          <w:sz w:val="24"/>
        </w:rPr>
        <w:t>指标</w:t>
      </w:r>
      <w:r>
        <w:rPr>
          <w:rFonts w:hint="eastAsia" w:ascii="宋体" w:hAnsi="宋体"/>
          <w:bCs/>
          <w:color w:val="000000"/>
          <w:sz w:val="24"/>
        </w:rPr>
        <w:t>得分计算（</w:t>
      </w:r>
      <w:r>
        <w:rPr>
          <w:rFonts w:hint="eastAsia" w:ascii="宋体" w:hAnsi="宋体"/>
          <w:bCs/>
          <w:color w:val="000000"/>
          <w:sz w:val="24"/>
          <w:lang w:val="en-US" w:eastAsia="zh-CN"/>
        </w:rPr>
        <w:t>8</w:t>
      </w:r>
      <w:r>
        <w:rPr>
          <w:rFonts w:hint="eastAsia" w:ascii="宋体" w:hAnsi="宋体"/>
          <w:bCs/>
          <w:color w:val="000000"/>
          <w:sz w:val="24"/>
        </w:rPr>
        <w:t>0分）</w:t>
      </w:r>
    </w:p>
    <w:tbl>
      <w:tblPr>
        <w:tblStyle w:val="51"/>
        <w:tblW w:w="9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11"/>
        <w:gridCol w:w="1875"/>
        <w:gridCol w:w="4085"/>
        <w:gridCol w:w="1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2" w:hRule="atLeast"/>
          <w:jc w:val="center"/>
        </w:trPr>
        <w:tc>
          <w:tcPr>
            <w:tcW w:w="161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shd w:val="clear" w:color="auto" w:fill="auto"/>
              </w:rPr>
            </w:pPr>
            <w:r>
              <w:rPr>
                <w:rFonts w:hint="eastAsia" w:asciiTheme="minorEastAsia" w:hAnsiTheme="minorEastAsia" w:eastAsiaTheme="minorEastAsia" w:cstheme="minorEastAsia"/>
                <w:b/>
                <w:bCs/>
                <w:color w:val="auto"/>
                <w:sz w:val="24"/>
                <w:szCs w:val="24"/>
                <w:shd w:val="clear" w:color="auto" w:fill="auto"/>
              </w:rPr>
              <w:t>类别</w:t>
            </w:r>
          </w:p>
        </w:tc>
        <w:tc>
          <w:tcPr>
            <w:tcW w:w="1875"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shd w:val="clear" w:color="auto" w:fill="auto"/>
              </w:rPr>
            </w:pPr>
            <w:r>
              <w:rPr>
                <w:rFonts w:hint="eastAsia" w:asciiTheme="minorEastAsia" w:hAnsiTheme="minorEastAsia" w:eastAsiaTheme="minorEastAsia" w:cstheme="minorEastAsia"/>
                <w:b/>
                <w:bCs/>
                <w:color w:val="auto"/>
                <w:sz w:val="24"/>
                <w:szCs w:val="24"/>
                <w:shd w:val="clear" w:color="auto" w:fill="auto"/>
              </w:rPr>
              <w:t>评分内容</w:t>
            </w:r>
          </w:p>
        </w:tc>
        <w:tc>
          <w:tcPr>
            <w:tcW w:w="4085"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shd w:val="clear" w:color="auto" w:fill="auto"/>
              </w:rPr>
            </w:pPr>
            <w:r>
              <w:rPr>
                <w:rFonts w:hint="eastAsia" w:asciiTheme="minorEastAsia" w:hAnsiTheme="minorEastAsia" w:eastAsiaTheme="minorEastAsia" w:cstheme="minorEastAsia"/>
                <w:b/>
                <w:bCs/>
                <w:color w:val="auto"/>
                <w:sz w:val="24"/>
                <w:szCs w:val="24"/>
                <w:shd w:val="clear" w:color="auto" w:fill="auto"/>
              </w:rPr>
              <w:t>评分标准</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shd w:val="clear" w:color="auto" w:fill="auto"/>
              </w:rPr>
            </w:pPr>
            <w:r>
              <w:rPr>
                <w:rFonts w:hint="eastAsia" w:asciiTheme="minorEastAsia" w:hAnsiTheme="minorEastAsia" w:eastAsiaTheme="minorEastAsia" w:cstheme="minorEastAsia"/>
                <w:b/>
                <w:bCs/>
                <w:color w:val="auto"/>
                <w:sz w:val="24"/>
                <w:szCs w:val="24"/>
                <w:shd w:val="clear" w:color="auto" w:fill="auto"/>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技术</w:t>
            </w:r>
            <w:r>
              <w:rPr>
                <w:rFonts w:hint="eastAsia" w:asciiTheme="minorEastAsia" w:hAnsiTheme="minorEastAsia" w:eastAsiaTheme="minorEastAsia" w:cstheme="minorEastAsia"/>
                <w:color w:val="auto"/>
                <w:sz w:val="24"/>
                <w:szCs w:val="24"/>
                <w:highlight w:val="none"/>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80</w:t>
            </w:r>
            <w:r>
              <w:rPr>
                <w:rFonts w:hint="eastAsia" w:asciiTheme="minorEastAsia" w:hAnsiTheme="minorEastAsia" w:eastAsiaTheme="minorEastAsia" w:cstheme="minorEastAsia"/>
                <w:color w:val="auto"/>
                <w:sz w:val="24"/>
                <w:szCs w:val="24"/>
                <w:highlight w:val="none"/>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技术</w:t>
            </w:r>
            <w:r>
              <w:rPr>
                <w:rFonts w:hint="eastAsia" w:asciiTheme="minorEastAsia" w:hAnsiTheme="minorEastAsia" w:eastAsiaTheme="minorEastAsia" w:cstheme="minorEastAsia"/>
                <w:color w:val="auto"/>
                <w:sz w:val="24"/>
                <w:szCs w:val="24"/>
                <w:highlight w:val="none"/>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80</w:t>
            </w:r>
            <w:r>
              <w:rPr>
                <w:rFonts w:hint="eastAsia" w:asciiTheme="minorEastAsia" w:hAnsiTheme="minorEastAsia" w:eastAsiaTheme="minorEastAsia" w:cstheme="minorEastAsia"/>
                <w:color w:val="auto"/>
                <w:sz w:val="24"/>
                <w:szCs w:val="24"/>
                <w:highlight w:val="none"/>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技术</w:t>
            </w:r>
            <w:r>
              <w:rPr>
                <w:rFonts w:hint="eastAsia" w:asciiTheme="minorEastAsia" w:hAnsiTheme="minorEastAsia" w:eastAsiaTheme="minorEastAsia" w:cstheme="minorEastAsia"/>
                <w:color w:val="auto"/>
                <w:sz w:val="24"/>
                <w:szCs w:val="24"/>
                <w:highlight w:val="none"/>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80</w:t>
            </w:r>
            <w:r>
              <w:rPr>
                <w:rFonts w:hint="eastAsia" w:asciiTheme="minorEastAsia" w:hAnsiTheme="minorEastAsia" w:eastAsiaTheme="minorEastAsia" w:cstheme="minorEastAsia"/>
                <w:color w:val="auto"/>
                <w:sz w:val="24"/>
                <w:szCs w:val="24"/>
                <w:highlight w:val="none"/>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技术</w:t>
            </w:r>
            <w:r>
              <w:rPr>
                <w:rFonts w:hint="eastAsia" w:asciiTheme="minorEastAsia" w:hAnsiTheme="minorEastAsia" w:eastAsiaTheme="minorEastAsia" w:cstheme="minorEastAsia"/>
                <w:color w:val="auto"/>
                <w:sz w:val="24"/>
                <w:szCs w:val="24"/>
                <w:highlight w:val="none"/>
                <w:lang w:val="en-US" w:eastAsia="zh-CN"/>
              </w:rPr>
              <w:t>部分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80</w:t>
            </w:r>
            <w:r>
              <w:rPr>
                <w:rFonts w:hint="eastAsia" w:asciiTheme="minorEastAsia" w:hAnsiTheme="minorEastAsia" w:eastAsiaTheme="minorEastAsia" w:cstheme="minorEastAsia"/>
                <w:color w:val="auto"/>
                <w:sz w:val="24"/>
                <w:szCs w:val="24"/>
                <w:highlight w:val="none"/>
              </w:rPr>
              <w:t>分）</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投标人业绩</w:t>
            </w:r>
          </w:p>
        </w:tc>
        <w:tc>
          <w:tcPr>
            <w:tcW w:w="40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2020年1月1日（以合同签订时间为准）以来，投标人具有</w:t>
            </w:r>
            <w:r>
              <w:rPr>
                <w:rFonts w:hint="eastAsia" w:asciiTheme="minorEastAsia" w:hAnsiTheme="minorEastAsia" w:eastAsiaTheme="minorEastAsia" w:cstheme="minorEastAsia"/>
                <w:bCs/>
                <w:color w:val="auto"/>
                <w:sz w:val="24"/>
                <w:szCs w:val="24"/>
                <w:highlight w:val="none"/>
                <w:lang w:val="en-US" w:eastAsia="zh-CN"/>
              </w:rPr>
              <w:t>人力资源</w:t>
            </w:r>
            <w:r>
              <w:rPr>
                <w:rFonts w:hint="eastAsia" w:asciiTheme="minorEastAsia" w:hAnsiTheme="minorEastAsia" w:eastAsiaTheme="minorEastAsia" w:cstheme="minorEastAsia"/>
                <w:bCs/>
                <w:color w:val="auto"/>
                <w:sz w:val="24"/>
                <w:szCs w:val="24"/>
                <w:highlight w:val="none"/>
              </w:rPr>
              <w:t>服务外包业绩</w:t>
            </w:r>
            <w:r>
              <w:rPr>
                <w:rFonts w:hint="eastAsia" w:asciiTheme="minorEastAsia" w:hAnsiTheme="minorEastAsia" w:eastAsiaTheme="minorEastAsia" w:cstheme="minorEastAsia"/>
                <w:bCs/>
                <w:color w:val="auto"/>
                <w:sz w:val="24"/>
                <w:szCs w:val="24"/>
                <w:highlight w:val="none"/>
                <w:lang w:val="en-US" w:eastAsia="zh-CN"/>
              </w:rPr>
              <w:t>，且单个合同总额在300万以上或服务费在15万以上的业绩</w:t>
            </w:r>
            <w:r>
              <w:rPr>
                <w:rFonts w:hint="eastAsia" w:asciiTheme="minorEastAsia" w:hAnsiTheme="minorEastAsia" w:eastAsiaTheme="minorEastAsia" w:cstheme="minorEastAsia"/>
                <w:bCs/>
                <w:color w:val="auto"/>
                <w:sz w:val="24"/>
                <w:szCs w:val="24"/>
                <w:highlight w:val="none"/>
              </w:rPr>
              <w:t>，每个得5分，满分10分。</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
                <w:bCs w:val="0"/>
                <w:color w:val="auto"/>
                <w:sz w:val="24"/>
                <w:szCs w:val="24"/>
                <w:highlight w:val="none"/>
              </w:rPr>
            </w:pPr>
            <w:r>
              <w:rPr>
                <w:rFonts w:hint="eastAsia" w:asciiTheme="minorEastAsia" w:hAnsiTheme="minorEastAsia" w:eastAsiaTheme="minorEastAsia" w:cstheme="minorEastAsia"/>
                <w:b/>
                <w:bCs w:val="0"/>
                <w:color w:val="auto"/>
                <w:sz w:val="24"/>
                <w:szCs w:val="24"/>
                <w:highlight w:val="none"/>
              </w:rPr>
              <w:t>注：1.投标人应按下列规定提供业绩证明资料：合同扫描件；</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
                <w:bCs w:val="0"/>
                <w:color w:val="auto"/>
                <w:sz w:val="24"/>
                <w:szCs w:val="24"/>
                <w:highlight w:val="none"/>
              </w:rPr>
            </w:pPr>
            <w:r>
              <w:rPr>
                <w:rFonts w:hint="eastAsia" w:asciiTheme="minorEastAsia" w:hAnsiTheme="minorEastAsia" w:eastAsiaTheme="minorEastAsia" w:cstheme="minorEastAsia"/>
                <w:b/>
                <w:bCs w:val="0"/>
                <w:color w:val="auto"/>
                <w:sz w:val="24"/>
                <w:szCs w:val="24"/>
                <w:highlight w:val="none"/>
              </w:rPr>
              <w:t>2.业绩合同可提供包含甲乙方、项目名称、服务外包合同、合同签订时间、合同供货范围、合同签字盖章页等关键内容的关键页的扫描件；</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
                <w:bCs w:val="0"/>
                <w:color w:val="auto"/>
                <w:sz w:val="24"/>
                <w:szCs w:val="24"/>
                <w:highlight w:val="none"/>
              </w:rPr>
              <w:t>3.以上涉及的材料扫描件信息应完整反映评审因素（如合同签订时间、劳务派遣（或服务外包）类别。如未能明确反映，应另附买方（或合同甲方）出具的证明资料予以明确说明。</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招聘</w:t>
            </w:r>
            <w:r>
              <w:rPr>
                <w:rFonts w:hint="eastAsia" w:asciiTheme="minorEastAsia" w:hAnsiTheme="minorEastAsia" w:eastAsiaTheme="minorEastAsia" w:cstheme="minorEastAsia"/>
                <w:color w:val="auto"/>
                <w:sz w:val="24"/>
                <w:szCs w:val="24"/>
                <w:lang w:val="en-US" w:eastAsia="zh-CN"/>
              </w:rPr>
              <w:t>服务</w:t>
            </w:r>
          </w:p>
        </w:tc>
        <w:tc>
          <w:tcPr>
            <w:tcW w:w="40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投标人具有3种招聘渠道得基础分数</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分，在满足基础的条件下，每增加一种加</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分，满分</w:t>
            </w:r>
            <w:r>
              <w:rPr>
                <w:rFonts w:hint="eastAsia" w:asciiTheme="minorEastAsia" w:hAnsiTheme="minorEastAsia" w:eastAsiaTheme="minorEastAsia" w:cstheme="minorEastAsia"/>
                <w:color w:val="auto"/>
                <w:sz w:val="24"/>
                <w:szCs w:val="24"/>
                <w:lang w:val="en-US" w:eastAsia="zh-CN"/>
              </w:rPr>
              <w:t>7</w:t>
            </w:r>
            <w:r>
              <w:rPr>
                <w:rFonts w:hint="eastAsia" w:asciiTheme="minorEastAsia" w:hAnsiTheme="minorEastAsia" w:eastAsiaTheme="minorEastAsia" w:cstheme="minorEastAsia"/>
                <w:color w:val="auto"/>
                <w:sz w:val="24"/>
                <w:szCs w:val="24"/>
              </w:rPr>
              <w:t>分。否则不得分。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2.针对招聘及时率，承诺人员到岗周期为1个月，得3分；承诺人员到岗周期为1.5个月，得2分；未承诺不得分。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注：投标文件中</w:t>
            </w:r>
            <w:r>
              <w:rPr>
                <w:rFonts w:hint="eastAsia" w:asciiTheme="minorEastAsia" w:hAnsiTheme="minorEastAsia" w:eastAsiaTheme="minorEastAsia" w:cstheme="minorEastAsia"/>
                <w:b/>
                <w:bCs/>
                <w:color w:val="auto"/>
                <w:sz w:val="24"/>
                <w:szCs w:val="24"/>
                <w:lang w:eastAsia="zh-CN"/>
              </w:rPr>
              <w:t>招聘渠道</w:t>
            </w:r>
            <w:r>
              <w:rPr>
                <w:rFonts w:hint="eastAsia" w:asciiTheme="minorEastAsia" w:hAnsiTheme="minorEastAsia" w:eastAsiaTheme="minorEastAsia" w:cstheme="minorEastAsia"/>
                <w:b/>
                <w:bCs/>
                <w:color w:val="auto"/>
                <w:sz w:val="24"/>
                <w:szCs w:val="24"/>
              </w:rPr>
              <w:t>提供</w:t>
            </w:r>
            <w:r>
              <w:rPr>
                <w:rFonts w:hint="eastAsia" w:asciiTheme="minorEastAsia" w:hAnsiTheme="minorEastAsia" w:eastAsiaTheme="minorEastAsia" w:cstheme="minorEastAsia"/>
                <w:b/>
                <w:bCs/>
                <w:color w:val="auto"/>
                <w:sz w:val="24"/>
                <w:szCs w:val="24"/>
                <w:lang w:eastAsia="zh-CN"/>
              </w:rPr>
              <w:t>与第三方签订的合作协议或合同</w:t>
            </w:r>
            <w:r>
              <w:rPr>
                <w:rFonts w:hint="eastAsia" w:asciiTheme="minorEastAsia" w:hAnsiTheme="minorEastAsia" w:eastAsiaTheme="minorEastAsia" w:cstheme="minorEastAsia"/>
                <w:b/>
                <w:bCs/>
                <w:color w:val="auto"/>
                <w:sz w:val="24"/>
                <w:szCs w:val="24"/>
              </w:rPr>
              <w:t>扫描件予以响应。</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highlight w:val="none"/>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供应商资质荣誉</w:t>
            </w:r>
          </w:p>
        </w:tc>
        <w:tc>
          <w:tcPr>
            <w:tcW w:w="4085" w:type="dxa"/>
            <w:shd w:val="clear" w:color="auto" w:fill="auto"/>
            <w:vAlign w:val="center"/>
          </w:tcPr>
          <w:p>
            <w:pPr>
              <w:pStyle w:val="4"/>
              <w:keepNext w:val="0"/>
              <w:keepLines w:val="0"/>
              <w:pageBreakBefore w:val="0"/>
              <w:widowControl w:val="0"/>
              <w:numPr>
                <w:ilvl w:val="0"/>
                <w:numId w:val="7"/>
              </w:numPr>
              <w:kinsoku/>
              <w:wordWrap/>
              <w:overflowPunct/>
              <w:topLinePunct w:val="0"/>
              <w:autoSpaceDE/>
              <w:autoSpaceDN/>
              <w:bidi w:val="0"/>
              <w:adjustRightInd/>
              <w:snapToGrid/>
              <w:spacing w:before="0" w:after="0" w:line="400" w:lineRule="exact"/>
              <w:ind w:left="0" w:leftChars="0" w:firstLine="0" w:firstLineChars="0"/>
              <w:jc w:val="left"/>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napToGrid/>
                <w:color w:val="auto"/>
                <w:kern w:val="2"/>
                <w:sz w:val="24"/>
                <w:szCs w:val="24"/>
                <w:highlight w:val="none"/>
                <w:lang w:val="en-US" w:eastAsia="zh-CN" w:bidi="ar-SA"/>
              </w:rPr>
              <w:t>供应商具有经中国国家认证认可监督管理委员会认证机构颁发的有效的下列证书，每提供一项得 1 分，共4分。未提供或提供的不符合要求的不得分：</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Chars="0"/>
              <w:jc w:val="left"/>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（1）质量管理体系认证证书；</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Chars="0"/>
              <w:jc w:val="left"/>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（2）环境管理体系认证证书；</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Chars="0"/>
              <w:jc w:val="left"/>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（3）职业健康安全管理体系认证；</w:t>
            </w:r>
          </w:p>
          <w:p>
            <w:pPr>
              <w:pStyle w:val="4"/>
              <w:keepNext w:val="0"/>
              <w:keepLines w:val="0"/>
              <w:pageBreakBefore w:val="0"/>
              <w:widowControl w:val="0"/>
              <w:numPr>
                <w:ilvl w:val="0"/>
                <w:numId w:val="0"/>
              </w:numPr>
              <w:kinsoku/>
              <w:wordWrap/>
              <w:overflowPunct/>
              <w:topLinePunct w:val="0"/>
              <w:autoSpaceDE/>
              <w:autoSpaceDN/>
              <w:bidi w:val="0"/>
              <w:adjustRightInd/>
              <w:snapToGrid/>
              <w:spacing w:before="0" w:after="0" w:line="400" w:lineRule="exact"/>
              <w:ind w:leftChars="0"/>
              <w:jc w:val="left"/>
              <w:textAlignment w:val="auto"/>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（4）信息安全管理体系认证证书；</w:t>
            </w:r>
          </w:p>
          <w:p>
            <w:pPr>
              <w:pStyle w:val="4"/>
              <w:keepNext w:val="0"/>
              <w:keepLines w:val="0"/>
              <w:pageBreakBefore w:val="0"/>
              <w:widowControl w:val="0"/>
              <w:numPr>
                <w:ilvl w:val="0"/>
                <w:numId w:val="7"/>
              </w:numPr>
              <w:kinsoku/>
              <w:wordWrap/>
              <w:overflowPunct/>
              <w:topLinePunct w:val="0"/>
              <w:autoSpaceDE/>
              <w:autoSpaceDN/>
              <w:bidi w:val="0"/>
              <w:adjustRightInd/>
              <w:snapToGrid/>
              <w:spacing w:before="0" w:after="0" w:line="400" w:lineRule="exact"/>
              <w:ind w:left="0" w:leftChars="0" w:firstLine="0" w:firstLineChars="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snapToGrid/>
                <w:color w:val="auto"/>
                <w:kern w:val="2"/>
                <w:sz w:val="24"/>
                <w:szCs w:val="24"/>
                <w:highlight w:val="none"/>
                <w:lang w:val="en-US" w:eastAsia="zh-CN" w:bidi="ar-SA"/>
              </w:rPr>
              <w:t>有市级及以上劳动保障诚信示范单位称号或者市级以上劳动保障守法诚信等级A级的得2分；</w:t>
            </w:r>
          </w:p>
          <w:p>
            <w:pPr>
              <w:pStyle w:val="4"/>
              <w:keepNext w:val="0"/>
              <w:keepLines w:val="0"/>
              <w:pageBreakBefore w:val="0"/>
              <w:widowControl w:val="0"/>
              <w:numPr>
                <w:ilvl w:val="0"/>
                <w:numId w:val="7"/>
              </w:numPr>
              <w:kinsoku/>
              <w:wordWrap/>
              <w:overflowPunct/>
              <w:topLinePunct w:val="0"/>
              <w:autoSpaceDE/>
              <w:autoSpaceDN/>
              <w:bidi w:val="0"/>
              <w:adjustRightInd/>
              <w:snapToGrid/>
              <w:spacing w:before="0" w:after="0" w:line="400" w:lineRule="exact"/>
              <w:ind w:left="0" w:leftChars="0" w:firstLine="0" w:firstLineChars="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kern w:val="2"/>
                <w:sz w:val="24"/>
                <w:szCs w:val="24"/>
                <w:highlight w:val="none"/>
                <w:lang w:val="en-US" w:eastAsia="zh-CN" w:bidi="ar-SA"/>
              </w:rPr>
              <w:t>供应商具有“AAA”级以上人力资源服务机构和人力资源骨干企业信用等级证书的，得1分；具有“AAAAA”级人力资源服务机构和人力资源骨干企业信用等级证书的，得2分；</w:t>
            </w:r>
          </w:p>
          <w:p>
            <w:pPr>
              <w:pStyle w:val="4"/>
              <w:keepNext w:val="0"/>
              <w:keepLines w:val="0"/>
              <w:pageBreakBefore w:val="0"/>
              <w:widowControl w:val="0"/>
              <w:numPr>
                <w:ilvl w:val="0"/>
                <w:numId w:val="7"/>
              </w:numPr>
              <w:kinsoku/>
              <w:wordWrap/>
              <w:overflowPunct/>
              <w:topLinePunct w:val="0"/>
              <w:autoSpaceDE/>
              <w:autoSpaceDN/>
              <w:bidi w:val="0"/>
              <w:adjustRightInd/>
              <w:snapToGrid/>
              <w:spacing w:before="0" w:after="0" w:line="400" w:lineRule="exact"/>
              <w:ind w:left="0" w:leftChars="0" w:firstLine="0" w:firstLineChars="0"/>
              <w:jc w:val="left"/>
              <w:textAlignment w:val="auto"/>
              <w:rPr>
                <w:rFonts w:hint="eastAsia" w:asciiTheme="minorEastAsia" w:hAnsiTheme="minorEastAsia" w:eastAsiaTheme="minorEastAsia" w:cstheme="minorEastAsia"/>
                <w:b w:val="0"/>
                <w:bCs w:val="0"/>
                <w:color w:val="auto"/>
                <w:sz w:val="24"/>
                <w:szCs w:val="24"/>
                <w:highlight w:val="none"/>
              </w:rPr>
            </w:pPr>
            <w:r>
              <w:rPr>
                <w:rFonts w:hint="eastAsia" w:asciiTheme="minorEastAsia" w:hAnsiTheme="minorEastAsia" w:eastAsiaTheme="minorEastAsia" w:cstheme="minorEastAsia"/>
                <w:b w:val="0"/>
                <w:bCs w:val="0"/>
                <w:color w:val="auto"/>
                <w:kern w:val="2"/>
                <w:sz w:val="24"/>
                <w:szCs w:val="24"/>
                <w:highlight w:val="none"/>
                <w:lang w:val="en-US" w:eastAsia="zh-CN" w:bidi="ar-SA"/>
              </w:rPr>
              <w:t>投标人获得税务部门颁发的纳税信用评价A级的，得2分。</w:t>
            </w:r>
          </w:p>
          <w:p>
            <w:pPr>
              <w:pStyle w:val="4"/>
              <w:keepNext w:val="0"/>
              <w:keepLines w:val="0"/>
              <w:pageBreakBefore w:val="0"/>
              <w:widowControl w:val="0"/>
              <w:kinsoku/>
              <w:wordWrap/>
              <w:overflowPunct/>
              <w:topLinePunct w:val="0"/>
              <w:autoSpaceDE/>
              <w:autoSpaceDN/>
              <w:bidi w:val="0"/>
              <w:adjustRightInd/>
              <w:snapToGrid/>
              <w:spacing w:before="0" w:after="0" w:line="400" w:lineRule="exact"/>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w w:val="91"/>
                <w:sz w:val="24"/>
                <w:szCs w:val="24"/>
                <w:highlight w:val="none"/>
              </w:rPr>
              <w:t>注：响应文件中提供认证证书扫描件（或影印件）</w:t>
            </w:r>
            <w:r>
              <w:rPr>
                <w:rFonts w:hint="eastAsia" w:asciiTheme="minorEastAsia" w:hAnsiTheme="minorEastAsia" w:eastAsiaTheme="minorEastAsia" w:cstheme="minorEastAsia"/>
                <w:b/>
                <w:bCs/>
                <w:color w:val="auto"/>
                <w:w w:val="91"/>
                <w:sz w:val="24"/>
                <w:szCs w:val="24"/>
                <w:highlight w:val="none"/>
                <w:lang w:val="en-US" w:eastAsia="zh-CN"/>
              </w:rPr>
              <w:t>需加盖公章</w:t>
            </w:r>
            <w:r>
              <w:rPr>
                <w:rFonts w:hint="eastAsia" w:asciiTheme="minorEastAsia" w:hAnsiTheme="minorEastAsia" w:eastAsiaTheme="minorEastAsia" w:cstheme="minorEastAsia"/>
                <w:b/>
                <w:bCs/>
                <w:color w:val="auto"/>
                <w:w w:val="91"/>
                <w:sz w:val="24"/>
                <w:szCs w:val="24"/>
                <w:highlight w:val="none"/>
                <w:lang w:eastAsia="zh-CN"/>
              </w:rPr>
              <w:t>。</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0-</w:t>
            </w:r>
            <w:r>
              <w:rPr>
                <w:rFonts w:hint="eastAsia" w:asciiTheme="minorEastAsia" w:hAnsiTheme="minorEastAsia" w:eastAsiaTheme="minorEastAsia" w:cstheme="minorEastAsia"/>
                <w:b/>
                <w:bCs/>
                <w:color w:val="auto"/>
                <w:sz w:val="24"/>
                <w:szCs w:val="24"/>
                <w:highlight w:val="none"/>
                <w:lang w:val="en-US" w:eastAsia="zh-CN"/>
              </w:rPr>
              <w:t>10</w:t>
            </w:r>
            <w:r>
              <w:rPr>
                <w:rFonts w:hint="eastAsia" w:asciiTheme="minorEastAsia" w:hAnsiTheme="minorEastAsia" w:eastAsiaTheme="minorEastAsia" w:cstheme="minorEastAsia"/>
                <w:b/>
                <w:bCs/>
                <w:color w:val="auto"/>
                <w:sz w:val="24"/>
                <w:szCs w:val="24"/>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服务方案</w:t>
            </w:r>
          </w:p>
        </w:tc>
        <w:tc>
          <w:tcPr>
            <w:tcW w:w="4085" w:type="dxa"/>
            <w:shd w:val="clear" w:color="auto" w:fill="auto"/>
            <w:vAlign w:val="center"/>
          </w:tcPr>
          <w:p>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日常管理方案包含但不限于：人员配备、招聘、贮备、甄选制度、工资福利劳动保障制度、外包服务、管理方案、外包人员应急处置方案、用人风险防控等，评标委员会根据投标人提供方案进行综合评审，共10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1</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内容严谨、全面、详细、合理，可操作性强，得</w:t>
            </w:r>
            <w:r>
              <w:rPr>
                <w:rFonts w:hint="eastAsia" w:asciiTheme="minorEastAsia" w:hAnsiTheme="minorEastAsia" w:eastAsiaTheme="minorEastAsia" w:cstheme="minorEastAsia"/>
                <w:b w:val="0"/>
                <w:bCs/>
                <w:color w:val="auto"/>
                <w:sz w:val="24"/>
                <w:szCs w:val="24"/>
                <w:lang w:val="en-US" w:eastAsia="zh-CN" w:bidi="ar"/>
              </w:rPr>
              <w:t>[8-10]</w:t>
            </w:r>
            <w:r>
              <w:rPr>
                <w:rFonts w:hint="eastAsia" w:asciiTheme="minorEastAsia" w:hAnsiTheme="minorEastAsia" w:eastAsiaTheme="minorEastAsia" w:cstheme="minorEastAsia"/>
                <w:b w:val="0"/>
                <w:bCs/>
                <w:color w:val="auto"/>
                <w:sz w:val="24"/>
                <w:szCs w:val="24"/>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2</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内容较严谨，较详细、较合理，可操作性较强，得</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4-7]</w:t>
            </w:r>
            <w:r>
              <w:rPr>
                <w:rFonts w:hint="eastAsia" w:asciiTheme="minorEastAsia" w:hAnsiTheme="minorEastAsia" w:eastAsiaTheme="minorEastAsia" w:cstheme="minorEastAsia"/>
                <w:b w:val="0"/>
                <w:bCs/>
                <w:color w:val="auto"/>
                <w:sz w:val="24"/>
                <w:szCs w:val="24"/>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3</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内容基本合理，存在少量缺漏，可操作性较差，得</w:t>
            </w:r>
            <w:r>
              <w:rPr>
                <w:rFonts w:hint="eastAsia" w:asciiTheme="minorEastAsia" w:hAnsiTheme="minorEastAsia" w:eastAsiaTheme="minorEastAsia" w:cstheme="minorEastAsia"/>
                <w:color w:val="auto"/>
                <w:sz w:val="24"/>
                <w:szCs w:val="24"/>
              </w:rPr>
              <w:t>[0-</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b w:val="0"/>
                <w:bCs/>
                <w:color w:val="auto"/>
                <w:sz w:val="24"/>
                <w:szCs w:val="24"/>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4</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color w:val="auto"/>
                <w:sz w:val="24"/>
                <w:szCs w:val="24"/>
              </w:rPr>
              <w:t>较差或未提供不得分</w:t>
            </w:r>
            <w:r>
              <w:rPr>
                <w:rFonts w:hint="eastAsia" w:asciiTheme="minorEastAsia" w:hAnsiTheme="minorEastAsia" w:eastAsiaTheme="minorEastAsia" w:cstheme="minorEastAsia"/>
                <w:b w:val="0"/>
                <w:bCs/>
                <w:color w:val="auto"/>
                <w:sz w:val="24"/>
                <w:szCs w:val="24"/>
                <w:lang w:bidi="ar"/>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2.内部管理制度，</w:t>
            </w:r>
            <w:r>
              <w:rPr>
                <w:rFonts w:hint="eastAsia" w:asciiTheme="minorEastAsia" w:hAnsiTheme="minorEastAsia" w:eastAsiaTheme="minorEastAsia" w:cstheme="minorEastAsia"/>
                <w:color w:val="auto"/>
                <w:sz w:val="24"/>
                <w:szCs w:val="24"/>
              </w:rPr>
              <w:t>根据投标人的管理制度、企业内部岗位责任制、管理维护运作制度及标准、档案的建立与管理制度等，是否符合规范，体现高标准、科学合理、详细完整等。评标委员会根据投标人提供制度内容进行评审</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共5分</w:t>
            </w:r>
            <w:r>
              <w:rPr>
                <w:rFonts w:hint="eastAsia" w:asciiTheme="minorEastAsia" w:hAnsiTheme="minorEastAsia" w:eastAsiaTheme="minorEastAsia" w:cstheme="minorEastAsia"/>
                <w:color w:val="auto"/>
                <w:sz w:val="24"/>
                <w:szCs w:val="24"/>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管理制度科学合理，内部岗位责任清晰，服务方案优秀，操作性强得</w:t>
            </w:r>
            <w:r>
              <w:rPr>
                <w:rFonts w:hint="eastAsia" w:asciiTheme="minorEastAsia" w:hAnsiTheme="minorEastAsia" w:eastAsiaTheme="minorEastAsia" w:cstheme="minorEastAsia"/>
                <w:color w:val="auto"/>
                <w:sz w:val="24"/>
                <w:szCs w:val="24"/>
                <w:lang w:val="en-US" w:eastAsia="zh-CN"/>
              </w:rPr>
              <w:t>[4-5</w:t>
            </w:r>
            <w:r>
              <w:rPr>
                <w:rFonts w:hint="eastAsia" w:asciiTheme="minorEastAsia" w:hAnsiTheme="minorEastAsia" w:eastAsiaTheme="minorEastAsia" w:cstheme="minorEastAsia"/>
                <w:color w:val="auto"/>
                <w:sz w:val="24"/>
                <w:szCs w:val="24"/>
              </w:rPr>
              <w:t>] 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内部管理制度良好，服务方案一般，操作性一般得[</w:t>
            </w:r>
            <w:r>
              <w:rPr>
                <w:rFonts w:hint="eastAsia" w:asciiTheme="minorEastAsia" w:hAnsiTheme="minorEastAsia" w:eastAsiaTheme="minorEastAsia" w:cstheme="minorEastAsia"/>
                <w:color w:val="auto"/>
                <w:sz w:val="24"/>
                <w:szCs w:val="24"/>
                <w:lang w:val="en-US" w:eastAsia="zh-CN"/>
              </w:rPr>
              <w:t>2-3]</w:t>
            </w:r>
            <w:r>
              <w:rPr>
                <w:rFonts w:hint="eastAsia" w:asciiTheme="minorEastAsia" w:hAnsiTheme="minorEastAsia" w:eastAsiaTheme="minorEastAsia" w:cstheme="minorEastAsia"/>
                <w:color w:val="auto"/>
                <w:sz w:val="24"/>
                <w:szCs w:val="24"/>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内部管理制度一般，服务方案差，操作性差得[0-</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p>
          <w:p>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较差或未提供不得分。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b w:val="0"/>
                <w:bCs/>
                <w:color w:val="auto"/>
                <w:sz w:val="24"/>
                <w:szCs w:val="24"/>
                <w:lang w:bidi="ar"/>
              </w:rPr>
              <w:t>外包人员培训和考核方案</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根据</w:t>
            </w:r>
            <w:r>
              <w:rPr>
                <w:rFonts w:hint="eastAsia" w:asciiTheme="minorEastAsia" w:hAnsiTheme="minorEastAsia" w:eastAsiaTheme="minorEastAsia" w:cstheme="minorEastAsia"/>
                <w:b w:val="0"/>
                <w:bCs/>
                <w:color w:val="auto"/>
                <w:sz w:val="24"/>
                <w:szCs w:val="24"/>
                <w:lang w:eastAsia="zh-CN" w:bidi="ar"/>
              </w:rPr>
              <w:t>投标人</w:t>
            </w:r>
            <w:r>
              <w:rPr>
                <w:rFonts w:hint="eastAsia" w:asciiTheme="minorEastAsia" w:hAnsiTheme="minorEastAsia" w:eastAsiaTheme="minorEastAsia" w:cstheme="minorEastAsia"/>
                <w:b w:val="0"/>
                <w:bCs/>
                <w:color w:val="auto"/>
                <w:sz w:val="24"/>
                <w:szCs w:val="24"/>
                <w:lang w:bidi="ar"/>
              </w:rPr>
              <w:t>对外包（派遣）人员培训和考核制度，明确培训的目标、内容、培训方式，考核内容设定科学、合理进行综合评审：</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1</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内容严谨、全面、详细、合理，可操作性强，得</w:t>
            </w:r>
            <w:r>
              <w:rPr>
                <w:rFonts w:hint="eastAsia" w:asciiTheme="minorEastAsia" w:hAnsiTheme="minorEastAsia" w:eastAsiaTheme="minorEastAsia" w:cstheme="minorEastAsia"/>
                <w:b w:val="0"/>
                <w:bCs/>
                <w:color w:val="auto"/>
                <w:sz w:val="24"/>
                <w:szCs w:val="24"/>
                <w:lang w:val="en-US" w:eastAsia="zh-CN" w:bidi="ar"/>
              </w:rPr>
              <w:t>[8-10]</w:t>
            </w:r>
            <w:r>
              <w:rPr>
                <w:rFonts w:hint="eastAsia" w:asciiTheme="minorEastAsia" w:hAnsiTheme="minorEastAsia" w:eastAsiaTheme="minorEastAsia" w:cstheme="minorEastAsia"/>
                <w:b w:val="0"/>
                <w:bCs/>
                <w:color w:val="auto"/>
                <w:sz w:val="24"/>
                <w:szCs w:val="24"/>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2</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内容较严谨，较详细、较合理，可操作性较强，得</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4-7]</w:t>
            </w:r>
            <w:r>
              <w:rPr>
                <w:rFonts w:hint="eastAsia" w:asciiTheme="minorEastAsia" w:hAnsiTheme="minorEastAsia" w:eastAsiaTheme="minorEastAsia" w:cstheme="minorEastAsia"/>
                <w:b w:val="0"/>
                <w:bCs/>
                <w:color w:val="auto"/>
                <w:sz w:val="24"/>
                <w:szCs w:val="24"/>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3</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内容基本合理，存在少量缺漏，可操作性较差，得</w:t>
            </w:r>
            <w:r>
              <w:rPr>
                <w:rFonts w:hint="eastAsia" w:asciiTheme="minorEastAsia" w:hAnsiTheme="minorEastAsia" w:eastAsiaTheme="minorEastAsia" w:cstheme="minorEastAsia"/>
                <w:color w:val="auto"/>
                <w:sz w:val="24"/>
                <w:szCs w:val="24"/>
              </w:rPr>
              <w:t>[0-</w:t>
            </w: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eastAsiaTheme="minorEastAsia" w:cstheme="minorEastAsia"/>
                <w:b w:val="0"/>
                <w:bCs/>
                <w:color w:val="auto"/>
                <w:sz w:val="24"/>
                <w:szCs w:val="24"/>
                <w:lang w:bidi="ar"/>
              </w:rPr>
              <w:t>分。</w:t>
            </w:r>
          </w:p>
          <w:p>
            <w:pPr>
              <w:pStyle w:val="16"/>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val="en-US" w:eastAsia="zh-CN" w:bidi="ar"/>
              </w:rPr>
              <w:t>4</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color w:val="auto"/>
                <w:sz w:val="24"/>
                <w:szCs w:val="24"/>
              </w:rPr>
              <w:t>较差或未提供不得分</w:t>
            </w:r>
            <w:r>
              <w:rPr>
                <w:rFonts w:hint="eastAsia" w:asciiTheme="minorEastAsia" w:hAnsiTheme="minorEastAsia" w:eastAsiaTheme="minorEastAsia" w:cstheme="minorEastAsia"/>
                <w:b w:val="0"/>
                <w:bCs/>
                <w:color w:val="auto"/>
                <w:sz w:val="24"/>
                <w:szCs w:val="24"/>
                <w:lang w:bidi="ar"/>
              </w:rPr>
              <w:t>。</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0-</w:t>
            </w:r>
            <w:r>
              <w:rPr>
                <w:rFonts w:hint="eastAsia" w:asciiTheme="minorEastAsia" w:hAnsiTheme="minorEastAsia" w:eastAsiaTheme="minorEastAsia" w:cstheme="minorEastAsia"/>
                <w:b/>
                <w:bCs/>
                <w:color w:val="auto"/>
                <w:sz w:val="24"/>
                <w:szCs w:val="24"/>
                <w:lang w:val="en-US" w:eastAsia="zh-CN"/>
              </w:rPr>
              <w:t>25</w:t>
            </w:r>
            <w:r>
              <w:rPr>
                <w:rFonts w:hint="eastAsia" w:asciiTheme="minorEastAsia" w:hAnsiTheme="minorEastAsia" w:eastAsiaTheme="minorEastAsia" w:cstheme="minorEastAsia"/>
                <w:b/>
                <w:bCs/>
                <w:color w:val="auto"/>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项目团队配备</w:t>
            </w:r>
          </w:p>
        </w:tc>
        <w:tc>
          <w:tcPr>
            <w:tcW w:w="40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eastAsia="zh-CN" w:bidi="ar"/>
              </w:rPr>
            </w:pPr>
            <w:r>
              <w:rPr>
                <w:rFonts w:hint="eastAsia" w:asciiTheme="minorEastAsia" w:hAnsiTheme="minorEastAsia" w:eastAsiaTheme="minorEastAsia" w:cstheme="minorEastAsia"/>
                <w:b w:val="0"/>
                <w:bCs/>
                <w:color w:val="auto"/>
                <w:sz w:val="24"/>
                <w:szCs w:val="24"/>
                <w:lang w:val="en-US" w:eastAsia="zh-CN" w:bidi="ar"/>
              </w:rPr>
              <w:t>1.项目负责人资历（2分）。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eastAsia="zh-CN" w:bidi="ar"/>
              </w:rPr>
            </w:pPr>
            <w:r>
              <w:rPr>
                <w:rFonts w:hint="eastAsia" w:asciiTheme="minorEastAsia" w:hAnsiTheme="minorEastAsia" w:eastAsiaTheme="minorEastAsia" w:cstheme="minorEastAsia"/>
                <w:b w:val="0"/>
                <w:bCs/>
                <w:color w:val="auto"/>
                <w:sz w:val="24"/>
                <w:szCs w:val="24"/>
                <w:lang w:bidi="ar"/>
              </w:rPr>
              <w:t>拟为本项目配备的项目负责人具有人社部门颁发的一级人力资源管理师证书的，得2分</w:t>
            </w:r>
            <w:r>
              <w:rPr>
                <w:rFonts w:hint="eastAsia" w:asciiTheme="minorEastAsia" w:hAnsiTheme="minorEastAsia" w:eastAsiaTheme="minorEastAsia" w:cstheme="minorEastAsia"/>
                <w:b w:val="0"/>
                <w:bCs/>
                <w:color w:val="auto"/>
                <w:sz w:val="24"/>
                <w:szCs w:val="24"/>
                <w:lang w:eastAsia="zh-CN" w:bidi="ar"/>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eastAsia="zh-CN" w:bidi="ar"/>
              </w:rPr>
            </w:pPr>
            <w:r>
              <w:rPr>
                <w:rFonts w:hint="eastAsia" w:asciiTheme="minorEastAsia" w:hAnsiTheme="minorEastAsia" w:eastAsiaTheme="minorEastAsia" w:cstheme="minorEastAsia"/>
                <w:b w:val="0"/>
                <w:bCs/>
                <w:color w:val="auto"/>
                <w:sz w:val="24"/>
                <w:szCs w:val="24"/>
                <w:lang w:bidi="ar"/>
              </w:rPr>
              <w:t>具有人社部门颁发的</w:t>
            </w:r>
            <w:r>
              <w:rPr>
                <w:rFonts w:hint="eastAsia" w:asciiTheme="minorEastAsia" w:hAnsiTheme="minorEastAsia" w:eastAsiaTheme="minorEastAsia" w:cstheme="minorEastAsia"/>
                <w:b w:val="0"/>
                <w:bCs/>
                <w:color w:val="auto"/>
                <w:sz w:val="24"/>
                <w:szCs w:val="24"/>
                <w:lang w:val="en-US" w:eastAsia="zh-CN" w:bidi="ar"/>
              </w:rPr>
              <w:t>二级</w:t>
            </w:r>
            <w:r>
              <w:rPr>
                <w:rFonts w:hint="eastAsia" w:asciiTheme="minorEastAsia" w:hAnsiTheme="minorEastAsia" w:eastAsiaTheme="minorEastAsia" w:cstheme="minorEastAsia"/>
                <w:b w:val="0"/>
                <w:bCs/>
                <w:color w:val="auto"/>
                <w:sz w:val="24"/>
                <w:szCs w:val="24"/>
                <w:lang w:bidi="ar"/>
              </w:rPr>
              <w:t>人力资源管理师证书的，得</w:t>
            </w:r>
            <w:r>
              <w:rPr>
                <w:rFonts w:hint="eastAsia" w:asciiTheme="minorEastAsia" w:hAnsiTheme="minorEastAsia" w:eastAsiaTheme="minorEastAsia" w:cstheme="minorEastAsia"/>
                <w:b w:val="0"/>
                <w:bCs/>
                <w:color w:val="auto"/>
                <w:sz w:val="24"/>
                <w:szCs w:val="24"/>
                <w:lang w:val="en-US" w:eastAsia="zh-CN" w:bidi="ar"/>
              </w:rPr>
              <w:t>1</w:t>
            </w:r>
            <w:r>
              <w:rPr>
                <w:rFonts w:hint="eastAsia" w:asciiTheme="minorEastAsia" w:hAnsiTheme="minorEastAsia" w:eastAsiaTheme="minorEastAsia" w:cstheme="minorEastAsia"/>
                <w:b w:val="0"/>
                <w:bCs/>
                <w:color w:val="auto"/>
                <w:sz w:val="24"/>
                <w:szCs w:val="24"/>
                <w:lang w:bidi="ar"/>
              </w:rPr>
              <w:t>分</w:t>
            </w:r>
            <w:r>
              <w:rPr>
                <w:rFonts w:hint="eastAsia" w:asciiTheme="minorEastAsia" w:hAnsiTheme="minorEastAsia" w:eastAsiaTheme="minorEastAsia" w:cstheme="minorEastAsia"/>
                <w:b w:val="0"/>
                <w:bCs/>
                <w:color w:val="auto"/>
                <w:sz w:val="24"/>
                <w:szCs w:val="24"/>
                <w:lang w:eastAsia="zh-CN" w:bidi="ar"/>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eastAsia="zh-CN" w:bidi="ar"/>
              </w:rPr>
            </w:pPr>
            <w:r>
              <w:rPr>
                <w:rFonts w:hint="eastAsia" w:asciiTheme="minorEastAsia" w:hAnsiTheme="minorEastAsia" w:eastAsiaTheme="minorEastAsia" w:cstheme="minorEastAsia"/>
                <w:b w:val="0"/>
                <w:bCs/>
                <w:color w:val="auto"/>
                <w:sz w:val="24"/>
                <w:szCs w:val="24"/>
                <w:lang w:val="en-US" w:eastAsia="zh-CN" w:bidi="ar"/>
              </w:rPr>
              <w:t>2.其他项目人员（3分）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eastAsia="zh-CN" w:bidi="ar"/>
              </w:rPr>
            </w:pPr>
            <w:r>
              <w:rPr>
                <w:rFonts w:hint="eastAsia" w:asciiTheme="minorEastAsia" w:hAnsiTheme="minorEastAsia" w:eastAsiaTheme="minorEastAsia" w:cstheme="minorEastAsia"/>
                <w:b w:val="0"/>
                <w:bCs/>
                <w:color w:val="auto"/>
                <w:sz w:val="24"/>
                <w:szCs w:val="24"/>
                <w:lang w:bidi="ar"/>
              </w:rPr>
              <w:t>具有人社部门颁发的</w:t>
            </w:r>
            <w:r>
              <w:rPr>
                <w:rFonts w:hint="eastAsia" w:asciiTheme="minorEastAsia" w:hAnsiTheme="minorEastAsia" w:eastAsiaTheme="minorEastAsia" w:cstheme="minorEastAsia"/>
                <w:b w:val="0"/>
                <w:bCs/>
                <w:color w:val="auto"/>
                <w:sz w:val="24"/>
                <w:szCs w:val="24"/>
                <w:lang w:val="en-US" w:eastAsia="zh-CN" w:bidi="ar"/>
              </w:rPr>
              <w:t>二级</w:t>
            </w:r>
            <w:r>
              <w:rPr>
                <w:rFonts w:hint="eastAsia" w:asciiTheme="minorEastAsia" w:hAnsiTheme="minorEastAsia" w:eastAsiaTheme="minorEastAsia" w:cstheme="minorEastAsia"/>
                <w:b w:val="0"/>
                <w:bCs/>
                <w:color w:val="auto"/>
                <w:sz w:val="24"/>
                <w:szCs w:val="24"/>
                <w:lang w:bidi="ar"/>
              </w:rPr>
              <w:t>人力资源管理师证书的</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得2分</w:t>
            </w:r>
            <w:r>
              <w:rPr>
                <w:rFonts w:hint="eastAsia" w:asciiTheme="minorEastAsia" w:hAnsiTheme="minorEastAsia" w:eastAsiaTheme="minorEastAsia" w:cstheme="minorEastAsia"/>
                <w:b w:val="0"/>
                <w:bCs/>
                <w:color w:val="auto"/>
                <w:sz w:val="24"/>
                <w:szCs w:val="24"/>
                <w:lang w:eastAsia="zh-CN" w:bidi="ar"/>
              </w:rPr>
              <w:t>；</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val="en-US" w:eastAsia="zh-CN" w:bidi="ar"/>
              </w:rPr>
            </w:pPr>
            <w:r>
              <w:rPr>
                <w:rFonts w:hint="eastAsia" w:asciiTheme="minorEastAsia" w:hAnsiTheme="minorEastAsia" w:eastAsiaTheme="minorEastAsia" w:cstheme="minorEastAsia"/>
                <w:b w:val="0"/>
                <w:bCs/>
                <w:color w:val="auto"/>
                <w:sz w:val="24"/>
                <w:szCs w:val="24"/>
                <w:lang w:val="en-US" w:eastAsia="zh-CN" w:bidi="ar"/>
              </w:rPr>
              <w:t>具有人力资源相关专业硕士学历的，得1分。</w:t>
            </w:r>
          </w:p>
          <w:p>
            <w:pPr>
              <w:pStyle w:val="4"/>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注：</w:t>
            </w:r>
            <w:r>
              <w:rPr>
                <w:rFonts w:hint="eastAsia" w:asciiTheme="minorEastAsia" w:hAnsiTheme="minorEastAsia" w:eastAsiaTheme="minorEastAsia" w:cstheme="minorEastAsia"/>
                <w:b/>
                <w:bCs/>
                <w:color w:val="auto"/>
                <w:sz w:val="24"/>
                <w:szCs w:val="24"/>
              </w:rPr>
              <w:t>1.投标文件中提供人员资格证书扫描件和社保证明材料，社保证明材料要求如下：提供投标人所属社保机构出具的拟委任的上述人员自202</w:t>
            </w:r>
            <w:r>
              <w:rPr>
                <w:rFonts w:hint="eastAsia" w:asciiTheme="minorEastAsia" w:hAnsiTheme="minorEastAsia" w:eastAsiaTheme="minorEastAsia" w:cstheme="minorEastAsia"/>
                <w:b/>
                <w:bCs/>
                <w:color w:val="auto"/>
                <w:sz w:val="24"/>
                <w:szCs w:val="24"/>
                <w:lang w:val="en-US" w:eastAsia="zh-CN"/>
              </w:rPr>
              <w:t>3</w:t>
            </w:r>
            <w:r>
              <w:rPr>
                <w:rFonts w:hint="eastAsia" w:asciiTheme="minorEastAsia" w:hAnsiTheme="minorEastAsia" w:eastAsiaTheme="minorEastAsia" w:cstheme="minorEastAsia"/>
                <w:b/>
                <w:bCs/>
                <w:color w:val="auto"/>
                <w:sz w:val="24"/>
                <w:szCs w:val="24"/>
              </w:rPr>
              <w:t>年</w:t>
            </w:r>
            <w:r>
              <w:rPr>
                <w:rFonts w:hint="eastAsia" w:asciiTheme="minorEastAsia" w:hAnsiTheme="minorEastAsia" w:eastAsiaTheme="minorEastAsia" w:cstheme="minorEastAsia"/>
                <w:b/>
                <w:bCs/>
                <w:color w:val="auto"/>
                <w:sz w:val="24"/>
                <w:szCs w:val="24"/>
                <w:lang w:val="en-US" w:eastAsia="zh-CN"/>
              </w:rPr>
              <w:t>5</w:t>
            </w:r>
            <w:r>
              <w:rPr>
                <w:rFonts w:hint="eastAsia" w:asciiTheme="minorEastAsia" w:hAnsiTheme="minorEastAsia" w:eastAsiaTheme="minorEastAsia" w:cstheme="minorEastAsia"/>
                <w:b/>
                <w:bCs/>
                <w:color w:val="auto"/>
                <w:sz w:val="24"/>
                <w:szCs w:val="24"/>
              </w:rPr>
              <w:t>月1日以来任意连续</w:t>
            </w:r>
            <w:r>
              <w:rPr>
                <w:rFonts w:hint="eastAsia" w:asciiTheme="minorEastAsia" w:hAnsiTheme="minorEastAsia" w:eastAsiaTheme="minorEastAsia" w:cstheme="minorEastAsia"/>
                <w:b/>
                <w:bCs/>
                <w:color w:val="auto"/>
                <w:sz w:val="24"/>
                <w:szCs w:val="24"/>
                <w:lang w:val="en-US" w:eastAsia="zh-CN"/>
              </w:rPr>
              <w:t>一</w:t>
            </w:r>
            <w:r>
              <w:rPr>
                <w:rFonts w:hint="eastAsia" w:asciiTheme="minorEastAsia" w:hAnsiTheme="minorEastAsia" w:eastAsiaTheme="minorEastAsia" w:cstheme="minorEastAsia"/>
                <w:b/>
                <w:bCs/>
                <w:color w:val="auto"/>
                <w:sz w:val="24"/>
                <w:szCs w:val="24"/>
              </w:rPr>
              <w:t>个月的社保缴费证明材料，上述人员的社会保险的缴纳单位应当是投标人或者投标人不具备独立法人资格的分支机构）。</w:t>
            </w:r>
          </w:p>
          <w:p>
            <w:pPr>
              <w:pStyle w:val="4"/>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z w:val="24"/>
                <w:szCs w:val="24"/>
                <w:lang w:val="en-US" w:eastAsia="zh-CN"/>
              </w:rPr>
              <w:t>2.</w:t>
            </w:r>
            <w:r>
              <w:rPr>
                <w:rFonts w:hint="eastAsia" w:asciiTheme="minorEastAsia" w:hAnsiTheme="minorEastAsia" w:eastAsiaTheme="minorEastAsia" w:cstheme="minorEastAsia"/>
                <w:b/>
                <w:bCs/>
                <w:color w:val="auto"/>
                <w:sz w:val="24"/>
                <w:szCs w:val="24"/>
                <w:lang w:val="en-US" w:eastAsia="zh-CN" w:bidi="ar"/>
              </w:rPr>
              <w:t>同一人员具有多个证书的仅计分一次。</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应急和保障措施</w:t>
            </w:r>
          </w:p>
        </w:tc>
        <w:tc>
          <w:tcPr>
            <w:tcW w:w="40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bidi="ar"/>
              </w:rPr>
              <w:t>根据人力资源服务外包管理规律和可能发生的紧急事件，提出合理有效的保障措施及应急预案响应时间，评委会酌情评审：</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1.</w:t>
            </w:r>
            <w:r>
              <w:rPr>
                <w:rFonts w:hint="eastAsia" w:asciiTheme="minorEastAsia" w:hAnsiTheme="minorEastAsia" w:eastAsiaTheme="minorEastAsia" w:cstheme="minorEastAsia"/>
                <w:b w:val="0"/>
                <w:bCs/>
                <w:color w:val="auto"/>
                <w:sz w:val="24"/>
                <w:szCs w:val="24"/>
                <w:lang w:bidi="ar"/>
              </w:rPr>
              <w:t>保障措施：保障措施健全，可执行性，得</w:t>
            </w:r>
            <w:r>
              <w:rPr>
                <w:rFonts w:hint="eastAsia" w:asciiTheme="minorEastAsia" w:hAnsiTheme="minorEastAsia" w:eastAsiaTheme="minorEastAsia" w:cstheme="minorEastAsia"/>
                <w:b w:val="0"/>
                <w:bCs/>
                <w:color w:val="auto"/>
                <w:sz w:val="24"/>
                <w:szCs w:val="24"/>
                <w:lang w:val="en-US" w:eastAsia="zh-CN" w:bidi="ar"/>
              </w:rPr>
              <w:t>4-5</w:t>
            </w:r>
            <w:r>
              <w:rPr>
                <w:rFonts w:hint="eastAsia" w:asciiTheme="minorEastAsia" w:hAnsiTheme="minorEastAsia" w:eastAsiaTheme="minorEastAsia" w:cstheme="minorEastAsia"/>
                <w:b w:val="0"/>
                <w:bCs/>
                <w:color w:val="auto"/>
                <w:sz w:val="24"/>
                <w:szCs w:val="24"/>
                <w:lang w:bidi="ar"/>
              </w:rPr>
              <w:t>分；保障措施较健全，操作复杂，得</w:t>
            </w:r>
            <w:r>
              <w:rPr>
                <w:rFonts w:hint="eastAsia" w:asciiTheme="minorEastAsia" w:hAnsiTheme="minorEastAsia" w:eastAsiaTheme="minorEastAsia" w:cstheme="minorEastAsia"/>
                <w:b w:val="0"/>
                <w:bCs/>
                <w:color w:val="auto"/>
                <w:sz w:val="24"/>
                <w:szCs w:val="24"/>
                <w:lang w:val="en-US" w:eastAsia="zh-CN" w:bidi="ar"/>
              </w:rPr>
              <w:t>2-3</w:t>
            </w:r>
            <w:r>
              <w:rPr>
                <w:rFonts w:hint="eastAsia" w:asciiTheme="minorEastAsia" w:hAnsiTheme="minorEastAsia" w:eastAsiaTheme="minorEastAsia" w:cstheme="minorEastAsia"/>
                <w:b w:val="0"/>
                <w:bCs/>
                <w:color w:val="auto"/>
                <w:sz w:val="24"/>
                <w:szCs w:val="24"/>
                <w:lang w:bidi="ar"/>
              </w:rPr>
              <w:t>分；保障措施不够全面，可执行性待完善，得</w:t>
            </w:r>
            <w:r>
              <w:rPr>
                <w:rFonts w:hint="eastAsia" w:asciiTheme="minorEastAsia" w:hAnsiTheme="minorEastAsia" w:eastAsiaTheme="minorEastAsia" w:cstheme="minorEastAsia"/>
                <w:b w:val="0"/>
                <w:bCs/>
                <w:color w:val="auto"/>
                <w:sz w:val="24"/>
                <w:szCs w:val="24"/>
                <w:lang w:val="en-US" w:eastAsia="zh-CN" w:bidi="ar"/>
              </w:rPr>
              <w:t>2-1</w:t>
            </w:r>
            <w:r>
              <w:rPr>
                <w:rFonts w:hint="eastAsia" w:asciiTheme="minorEastAsia" w:hAnsiTheme="minorEastAsia" w:eastAsiaTheme="minorEastAsia" w:cstheme="minorEastAsia"/>
                <w:b w:val="0"/>
                <w:bCs/>
                <w:color w:val="auto"/>
                <w:sz w:val="24"/>
                <w:szCs w:val="24"/>
                <w:lang w:bidi="ar"/>
              </w:rPr>
              <w:t>分；差的酌情评审</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未提供的不得分。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sz w:val="24"/>
                <w:szCs w:val="24"/>
                <w:lang w:bidi="ar"/>
              </w:rPr>
            </w:pPr>
            <w:r>
              <w:rPr>
                <w:rFonts w:hint="eastAsia" w:asciiTheme="minorEastAsia" w:hAnsiTheme="minorEastAsia" w:eastAsiaTheme="minorEastAsia" w:cstheme="minorEastAsia"/>
                <w:b w:val="0"/>
                <w:bCs/>
                <w:color w:val="auto"/>
                <w:sz w:val="24"/>
                <w:szCs w:val="24"/>
                <w:lang w:eastAsia="zh-CN" w:bidi="ar"/>
              </w:rPr>
              <w:t>2.</w:t>
            </w:r>
            <w:r>
              <w:rPr>
                <w:rFonts w:hint="eastAsia" w:asciiTheme="minorEastAsia" w:hAnsiTheme="minorEastAsia" w:eastAsiaTheme="minorEastAsia" w:cstheme="minorEastAsia"/>
                <w:b w:val="0"/>
                <w:bCs/>
                <w:color w:val="auto"/>
                <w:sz w:val="24"/>
                <w:szCs w:val="24"/>
                <w:lang w:bidi="ar"/>
              </w:rPr>
              <w:t>应急预案响应时间：响应迅速，能够妥善解决问题得</w:t>
            </w:r>
            <w:r>
              <w:rPr>
                <w:rFonts w:hint="eastAsia" w:asciiTheme="minorEastAsia" w:hAnsiTheme="minorEastAsia" w:eastAsiaTheme="minorEastAsia" w:cstheme="minorEastAsia"/>
                <w:b w:val="0"/>
                <w:bCs/>
                <w:color w:val="auto"/>
                <w:sz w:val="24"/>
                <w:szCs w:val="24"/>
                <w:lang w:val="en-US" w:eastAsia="zh-CN" w:bidi="ar"/>
              </w:rPr>
              <w:t>4-5</w:t>
            </w:r>
            <w:r>
              <w:rPr>
                <w:rFonts w:hint="eastAsia" w:asciiTheme="minorEastAsia" w:hAnsiTheme="minorEastAsia" w:eastAsiaTheme="minorEastAsia" w:cstheme="minorEastAsia"/>
                <w:b w:val="0"/>
                <w:bCs/>
                <w:color w:val="auto"/>
                <w:sz w:val="24"/>
                <w:szCs w:val="24"/>
                <w:lang w:bidi="ar"/>
              </w:rPr>
              <w:t>分；响应较为及时，基本保障项目需要得</w:t>
            </w:r>
            <w:r>
              <w:rPr>
                <w:rFonts w:hint="eastAsia" w:asciiTheme="minorEastAsia" w:hAnsiTheme="minorEastAsia" w:eastAsiaTheme="minorEastAsia" w:cstheme="minorEastAsia"/>
                <w:b w:val="0"/>
                <w:bCs/>
                <w:color w:val="auto"/>
                <w:sz w:val="24"/>
                <w:szCs w:val="24"/>
                <w:lang w:val="en-US" w:eastAsia="zh-CN" w:bidi="ar"/>
              </w:rPr>
              <w:t>2-3</w:t>
            </w:r>
            <w:r>
              <w:rPr>
                <w:rFonts w:hint="eastAsia" w:asciiTheme="minorEastAsia" w:hAnsiTheme="minorEastAsia" w:eastAsiaTheme="minorEastAsia" w:cstheme="minorEastAsia"/>
                <w:b w:val="0"/>
                <w:bCs/>
                <w:color w:val="auto"/>
                <w:sz w:val="24"/>
                <w:szCs w:val="24"/>
                <w:lang w:bidi="ar"/>
              </w:rPr>
              <w:t>分；能够响应服务要求，细节有待完善得</w:t>
            </w:r>
            <w:r>
              <w:rPr>
                <w:rFonts w:hint="eastAsia" w:asciiTheme="minorEastAsia" w:hAnsiTheme="minorEastAsia" w:eastAsiaTheme="minorEastAsia" w:cstheme="minorEastAsia"/>
                <w:b w:val="0"/>
                <w:bCs/>
                <w:color w:val="auto"/>
                <w:sz w:val="24"/>
                <w:szCs w:val="24"/>
                <w:lang w:val="en-US" w:eastAsia="zh-CN" w:bidi="ar"/>
              </w:rPr>
              <w:t>2-1</w:t>
            </w:r>
            <w:r>
              <w:rPr>
                <w:rFonts w:hint="eastAsia" w:asciiTheme="minorEastAsia" w:hAnsiTheme="minorEastAsia" w:eastAsiaTheme="minorEastAsia" w:cstheme="minorEastAsia"/>
                <w:b w:val="0"/>
                <w:bCs/>
                <w:color w:val="auto"/>
                <w:sz w:val="24"/>
                <w:szCs w:val="24"/>
                <w:lang w:bidi="ar"/>
              </w:rPr>
              <w:t>分；</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sz w:val="24"/>
                <w:szCs w:val="24"/>
                <w:lang w:val="en-US" w:eastAsia="zh-CN" w:bidi="ar"/>
              </w:rPr>
              <w:t>3.</w:t>
            </w:r>
            <w:r>
              <w:rPr>
                <w:rFonts w:hint="eastAsia" w:asciiTheme="minorEastAsia" w:hAnsiTheme="minorEastAsia" w:eastAsiaTheme="minorEastAsia" w:cstheme="minorEastAsia"/>
                <w:b w:val="0"/>
                <w:bCs/>
                <w:color w:val="auto"/>
                <w:sz w:val="24"/>
                <w:szCs w:val="24"/>
                <w:lang w:bidi="ar"/>
              </w:rPr>
              <w:t>差的酌情评审</w:t>
            </w:r>
            <w:r>
              <w:rPr>
                <w:rFonts w:hint="eastAsia" w:asciiTheme="minorEastAsia" w:hAnsiTheme="minorEastAsia" w:eastAsiaTheme="minorEastAsia" w:cstheme="minorEastAsia"/>
                <w:b w:val="0"/>
                <w:bCs/>
                <w:color w:val="auto"/>
                <w:sz w:val="24"/>
                <w:szCs w:val="24"/>
                <w:lang w:eastAsia="zh-CN" w:bidi="ar"/>
              </w:rPr>
              <w:t>，</w:t>
            </w:r>
            <w:r>
              <w:rPr>
                <w:rFonts w:hint="eastAsia" w:asciiTheme="minorEastAsia" w:hAnsiTheme="minorEastAsia" w:eastAsiaTheme="minorEastAsia" w:cstheme="minorEastAsia"/>
                <w:b w:val="0"/>
                <w:bCs/>
                <w:color w:val="auto"/>
                <w:sz w:val="24"/>
                <w:szCs w:val="24"/>
                <w:lang w:bidi="ar"/>
              </w:rPr>
              <w:t>未提供的不得分</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0-</w:t>
            </w:r>
            <w:r>
              <w:rPr>
                <w:rFonts w:hint="eastAsia" w:asciiTheme="minorEastAsia" w:hAnsiTheme="minorEastAsia" w:eastAsiaTheme="minorEastAsia" w:cstheme="minorEastAsia"/>
                <w:b/>
                <w:bCs/>
                <w:color w:val="auto"/>
                <w:sz w:val="24"/>
                <w:szCs w:val="24"/>
                <w:lang w:val="en-US" w:eastAsia="zh-CN"/>
              </w:rPr>
              <w:t>10</w:t>
            </w:r>
            <w:r>
              <w:rPr>
                <w:rFonts w:hint="eastAsia" w:asciiTheme="minorEastAsia" w:hAnsiTheme="minorEastAsia" w:eastAsiaTheme="minorEastAsia" w:cstheme="minorEastAsia"/>
                <w:b/>
                <w:bCs/>
                <w:color w:val="auto"/>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11"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ind w:firstLine="435"/>
              <w:jc w:val="center"/>
              <w:textAlignment w:val="auto"/>
              <w:outlineLvl w:val="9"/>
              <w:rPr>
                <w:rFonts w:hint="eastAsia" w:asciiTheme="minorEastAsia" w:hAnsiTheme="minorEastAsia" w:eastAsiaTheme="minorEastAsia" w:cstheme="minorEastAsia"/>
                <w:b/>
                <w:bCs/>
                <w:color w:val="auto"/>
                <w:sz w:val="24"/>
                <w:szCs w:val="24"/>
              </w:rPr>
            </w:pPr>
          </w:p>
        </w:tc>
        <w:tc>
          <w:tcPr>
            <w:tcW w:w="187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kern w:val="0"/>
                <w:sz w:val="24"/>
                <w:szCs w:val="24"/>
                <w:lang w:val="en-US" w:eastAsia="zh-CN" w:bidi="ar"/>
              </w:rPr>
              <w:t>特色和增值服务方案</w:t>
            </w:r>
          </w:p>
        </w:tc>
        <w:tc>
          <w:tcPr>
            <w:tcW w:w="408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kern w:val="0"/>
                <w:sz w:val="24"/>
                <w:szCs w:val="24"/>
                <w:lang w:val="en-US" w:eastAsia="zh-CN" w:bidi="ar"/>
              </w:rPr>
            </w:pPr>
            <w:r>
              <w:rPr>
                <w:rFonts w:hint="eastAsia" w:asciiTheme="minorEastAsia" w:hAnsiTheme="minorEastAsia" w:eastAsiaTheme="minorEastAsia" w:cstheme="minorEastAsia"/>
                <w:b w:val="0"/>
                <w:bCs/>
                <w:color w:val="auto"/>
                <w:kern w:val="0"/>
                <w:sz w:val="24"/>
                <w:szCs w:val="24"/>
                <w:lang w:val="en-US" w:eastAsia="zh-CN" w:bidi="ar"/>
              </w:rPr>
              <w:t>投标人根据招标人的业务板块所需岗位（</w:t>
            </w:r>
            <w:r>
              <w:rPr>
                <w:rFonts w:hint="eastAsia" w:asciiTheme="minorEastAsia" w:hAnsiTheme="minorEastAsia" w:eastAsiaTheme="minorEastAsia" w:cstheme="minorEastAsia"/>
                <w:i w:val="0"/>
                <w:iCs w:val="0"/>
                <w:color w:val="auto"/>
                <w:kern w:val="0"/>
                <w:sz w:val="24"/>
                <w:szCs w:val="24"/>
                <w:u w:val="none"/>
                <w:lang w:val="en-US" w:eastAsia="zh-CN" w:bidi="ar"/>
              </w:rPr>
              <w:t>管理研究岗、咨询服务岗、营销岗、信息研发岗等</w:t>
            </w:r>
            <w:r>
              <w:rPr>
                <w:rFonts w:hint="eastAsia" w:asciiTheme="minorEastAsia" w:hAnsiTheme="minorEastAsia" w:eastAsiaTheme="minorEastAsia" w:cstheme="minorEastAsia"/>
                <w:b w:val="0"/>
                <w:bCs/>
                <w:color w:val="auto"/>
                <w:kern w:val="0"/>
                <w:sz w:val="24"/>
                <w:szCs w:val="24"/>
                <w:lang w:val="en-US" w:eastAsia="zh-CN" w:bidi="ar"/>
              </w:rPr>
              <w:t>）和本项目特点，编制具有创新性的特色和增值服务方案。评标委员会根据投标人提供的方案进行评分：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kern w:val="0"/>
                <w:sz w:val="24"/>
                <w:szCs w:val="24"/>
                <w:lang w:val="en-US" w:eastAsia="zh-CN" w:bidi="ar"/>
              </w:rPr>
            </w:pPr>
            <w:r>
              <w:rPr>
                <w:rFonts w:hint="eastAsia" w:asciiTheme="minorEastAsia" w:hAnsiTheme="minorEastAsia" w:eastAsiaTheme="minorEastAsia" w:cstheme="minorEastAsia"/>
                <w:b w:val="0"/>
                <w:bCs/>
                <w:color w:val="auto"/>
                <w:kern w:val="0"/>
                <w:sz w:val="24"/>
                <w:szCs w:val="24"/>
                <w:lang w:val="en-US" w:eastAsia="zh-CN" w:bidi="ar"/>
              </w:rPr>
              <w:t>1.特色明显，创新性高，完全满足采购人需求的，得10-8分；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kern w:val="0"/>
                <w:sz w:val="24"/>
                <w:szCs w:val="24"/>
                <w:lang w:val="en-US" w:eastAsia="zh-CN" w:bidi="ar"/>
              </w:rPr>
            </w:pPr>
            <w:r>
              <w:rPr>
                <w:rFonts w:hint="eastAsia" w:asciiTheme="minorEastAsia" w:hAnsiTheme="minorEastAsia" w:eastAsiaTheme="minorEastAsia" w:cstheme="minorEastAsia"/>
                <w:b w:val="0"/>
                <w:bCs/>
                <w:color w:val="auto"/>
                <w:kern w:val="0"/>
                <w:sz w:val="24"/>
                <w:szCs w:val="24"/>
                <w:lang w:val="en-US" w:eastAsia="zh-CN" w:bidi="ar"/>
              </w:rPr>
              <w:t>2.特色和创新性较高，基本满足采购人需求，得7-5分；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val="0"/>
                <w:bCs/>
                <w:color w:val="auto"/>
                <w:kern w:val="0"/>
                <w:sz w:val="24"/>
                <w:szCs w:val="24"/>
                <w:lang w:val="en-US" w:eastAsia="zh-CN" w:bidi="ar"/>
              </w:rPr>
            </w:pPr>
            <w:r>
              <w:rPr>
                <w:rFonts w:hint="eastAsia" w:asciiTheme="minorEastAsia" w:hAnsiTheme="minorEastAsia" w:eastAsiaTheme="minorEastAsia" w:cstheme="minorEastAsia"/>
                <w:b w:val="0"/>
                <w:bCs/>
                <w:color w:val="auto"/>
                <w:kern w:val="0"/>
                <w:sz w:val="24"/>
                <w:szCs w:val="24"/>
                <w:lang w:val="en-US" w:eastAsia="zh-CN" w:bidi="ar"/>
              </w:rPr>
              <w:t>3.方案有待完善和充实的，得4-1分；</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val="0"/>
                <w:bCs/>
                <w:color w:val="auto"/>
                <w:kern w:val="0"/>
                <w:sz w:val="24"/>
                <w:szCs w:val="24"/>
                <w:lang w:val="en-US" w:eastAsia="zh-CN" w:bidi="ar"/>
              </w:rPr>
              <w:t>4.差或未提供，得 0 分。</w:t>
            </w:r>
          </w:p>
        </w:tc>
        <w:tc>
          <w:tcPr>
            <w:tcW w:w="1721" w:type="dxa"/>
            <w:shd w:val="clear" w:color="auto" w:fill="auto"/>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0-10</w:t>
            </w:r>
            <w:r>
              <w:rPr>
                <w:rFonts w:hint="eastAsia" w:asciiTheme="minorEastAsia" w:hAnsiTheme="minorEastAsia" w:eastAsiaTheme="minorEastAsia" w:cstheme="minorEastAsia"/>
                <w:b/>
                <w:bCs/>
                <w:color w:val="auto"/>
                <w:sz w:val="24"/>
                <w:szCs w:val="24"/>
              </w:rPr>
              <w:t>分</w:t>
            </w:r>
          </w:p>
        </w:tc>
      </w:tr>
    </w:tbl>
    <w:p>
      <w:pPr>
        <w:spacing w:line="360" w:lineRule="auto"/>
        <w:ind w:firstLine="482" w:firstLineChars="200"/>
        <w:rPr>
          <w:rFonts w:hint="eastAsia" w:ascii="宋体" w:hAnsi="宋体"/>
          <w:b/>
          <w:color w:val="auto"/>
          <w:sz w:val="24"/>
          <w:szCs w:val="28"/>
        </w:rPr>
      </w:pPr>
    </w:p>
    <w:p>
      <w:pPr>
        <w:spacing w:line="360" w:lineRule="auto"/>
        <w:ind w:firstLine="482" w:firstLineChars="200"/>
        <w:rPr>
          <w:rFonts w:hint="eastAsia" w:ascii="宋体" w:hAnsi="宋体"/>
          <w:b/>
          <w:color w:val="auto"/>
          <w:sz w:val="24"/>
          <w:szCs w:val="28"/>
        </w:rPr>
      </w:pPr>
    </w:p>
    <w:p>
      <w:pPr>
        <w:spacing w:line="360" w:lineRule="auto"/>
        <w:ind w:firstLine="482" w:firstLineChars="200"/>
        <w:rPr>
          <w:rFonts w:hint="eastAsia" w:ascii="宋体" w:hAnsi="宋体"/>
          <w:b/>
          <w:color w:val="000000"/>
          <w:sz w:val="24"/>
          <w:szCs w:val="28"/>
        </w:rPr>
      </w:pPr>
    </w:p>
    <w:p>
      <w:pPr>
        <w:spacing w:line="360" w:lineRule="auto"/>
        <w:ind w:firstLine="482" w:firstLineChars="200"/>
        <w:rPr>
          <w:rFonts w:ascii="宋体" w:hAnsi="宋体"/>
          <w:b/>
          <w:color w:val="000000"/>
          <w:sz w:val="24"/>
          <w:szCs w:val="28"/>
        </w:rPr>
      </w:pPr>
      <w:r>
        <w:rPr>
          <w:rFonts w:hint="eastAsia" w:ascii="宋体" w:hAnsi="宋体"/>
          <w:b/>
          <w:color w:val="000000"/>
          <w:sz w:val="24"/>
          <w:szCs w:val="28"/>
        </w:rPr>
        <w:t>8.3商务部分得分计算（</w:t>
      </w:r>
      <w:r>
        <w:rPr>
          <w:rFonts w:hint="eastAsia" w:ascii="宋体" w:hAnsi="宋体"/>
          <w:b/>
          <w:color w:val="000000"/>
          <w:sz w:val="24"/>
          <w:szCs w:val="28"/>
          <w:lang w:val="en-US" w:eastAsia="zh-CN"/>
        </w:rPr>
        <w:t>20</w:t>
      </w:r>
      <w:r>
        <w:rPr>
          <w:rFonts w:hint="eastAsia" w:ascii="宋体" w:hAnsi="宋体"/>
          <w:b/>
          <w:color w:val="000000"/>
          <w:sz w:val="24"/>
          <w:szCs w:val="28"/>
        </w:rPr>
        <w:t>分）</w:t>
      </w:r>
    </w:p>
    <w:tbl>
      <w:tblPr>
        <w:tblStyle w:val="51"/>
        <w:tblW w:w="9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7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tcBorders>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asciiTheme="minorEastAsia" w:hAnsiTheme="minorEastAsia" w:eastAsiaTheme="minorEastAsia"/>
                <w:sz w:val="24"/>
              </w:rPr>
            </w:pPr>
            <w:r>
              <w:rPr>
                <w:rFonts w:hint="eastAsia" w:asciiTheme="minorEastAsia" w:hAnsiTheme="minorEastAsia" w:eastAsiaTheme="minorEastAsia"/>
                <w:sz w:val="24"/>
              </w:rPr>
              <w:t>价格分</w:t>
            </w:r>
          </w:p>
          <w:p>
            <w:pPr>
              <w:keepNext w:val="0"/>
              <w:keepLines w:val="0"/>
              <w:pageBreakBefore w:val="0"/>
              <w:widowControl w:val="0"/>
              <w:kinsoku/>
              <w:wordWrap/>
              <w:overflowPunct/>
              <w:topLinePunct w:val="0"/>
              <w:autoSpaceDE/>
              <w:autoSpaceDN/>
              <w:bidi w:val="0"/>
              <w:spacing w:line="500" w:lineRule="exact"/>
              <w:jc w:val="center"/>
              <w:textAlignment w:val="auto"/>
              <w:outlineLvl w:val="9"/>
              <w:rPr>
                <w:rFonts w:asciiTheme="minorEastAsia" w:hAnsiTheme="minorEastAsia" w:eastAsiaTheme="minorEastAsia"/>
                <w:b/>
                <w:bCs/>
                <w:sz w:val="24"/>
              </w:rPr>
            </w:pPr>
            <w:r>
              <w:rPr>
                <w:rFonts w:hint="eastAsia" w:asciiTheme="minorEastAsia" w:hAnsiTheme="minorEastAsia" w:eastAsiaTheme="minorEastAsia"/>
                <w:sz w:val="24"/>
              </w:rPr>
              <w:t>（</w:t>
            </w:r>
            <w:r>
              <w:rPr>
                <w:rFonts w:hint="eastAsia" w:asciiTheme="minorEastAsia" w:hAnsiTheme="minorEastAsia" w:eastAsiaTheme="minorEastAsia"/>
                <w:sz w:val="24"/>
                <w:u w:val="single"/>
                <w:lang w:val="en-US" w:eastAsia="zh-CN"/>
              </w:rPr>
              <w:t>20</w:t>
            </w:r>
            <w:r>
              <w:rPr>
                <w:rFonts w:hint="eastAsia" w:asciiTheme="minorEastAsia" w:hAnsiTheme="minorEastAsia" w:eastAsiaTheme="minorEastAsia"/>
                <w:sz w:val="24"/>
              </w:rPr>
              <w:t>分）</w:t>
            </w:r>
          </w:p>
        </w:tc>
        <w:tc>
          <w:tcPr>
            <w:tcW w:w="768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9"/>
              <w:rPr>
                <w:sz w:val="24"/>
                <w:szCs w:val="24"/>
              </w:rPr>
            </w:pPr>
            <w:r>
              <w:rPr>
                <w:rFonts w:ascii="宋体" w:hAnsi="宋体"/>
                <w:color w:val="000000"/>
                <w:sz w:val="24"/>
                <w:szCs w:val="24"/>
              </w:rPr>
              <w:t>价格分统一采用</w:t>
            </w:r>
            <w:r>
              <w:rPr>
                <w:rFonts w:hint="eastAsia" w:ascii="宋体" w:hAnsi="宋体"/>
                <w:color w:val="000000"/>
                <w:sz w:val="24"/>
                <w:szCs w:val="24"/>
              </w:rPr>
              <w:t>综合评分法</w:t>
            </w:r>
            <w:r>
              <w:rPr>
                <w:rFonts w:ascii="宋体" w:hAnsi="宋体"/>
                <w:color w:val="000000"/>
                <w:sz w:val="24"/>
                <w:szCs w:val="24"/>
              </w:rPr>
              <w:t>，即满足招标文件要求且投标</w:t>
            </w:r>
            <w:r>
              <w:rPr>
                <w:rFonts w:hint="eastAsia" w:ascii="宋体" w:hAnsi="宋体"/>
                <w:color w:val="000000"/>
                <w:sz w:val="24"/>
                <w:szCs w:val="24"/>
                <w:lang w:val="en-US" w:eastAsia="zh-CN"/>
              </w:rPr>
              <w:t>综合费率报价</w:t>
            </w:r>
            <w:r>
              <w:rPr>
                <w:rFonts w:ascii="宋体" w:hAnsi="宋体"/>
                <w:color w:val="000000"/>
                <w:sz w:val="24"/>
                <w:szCs w:val="24"/>
              </w:rPr>
              <w:t>最低的投标报价为评标基准价，其价格分为满分。</w:t>
            </w:r>
            <w:r>
              <w:rPr>
                <w:rFonts w:hint="eastAsia"/>
                <w:sz w:val="24"/>
                <w:szCs w:val="24"/>
              </w:rPr>
              <w:t>其他投标人的</w:t>
            </w:r>
            <w:r>
              <w:rPr>
                <w:rFonts w:ascii="宋体" w:hAnsi="宋体"/>
                <w:color w:val="000000"/>
                <w:sz w:val="24"/>
                <w:szCs w:val="24"/>
              </w:rPr>
              <w:t>投标</w:t>
            </w:r>
            <w:r>
              <w:rPr>
                <w:rFonts w:hint="eastAsia" w:ascii="宋体" w:hAnsi="宋体"/>
                <w:color w:val="000000"/>
                <w:sz w:val="24"/>
                <w:szCs w:val="24"/>
                <w:lang w:val="en-US" w:eastAsia="zh-CN"/>
              </w:rPr>
              <w:t>综合费率报价得</w:t>
            </w:r>
            <w:r>
              <w:rPr>
                <w:rFonts w:hint="eastAsia"/>
                <w:sz w:val="24"/>
                <w:szCs w:val="24"/>
              </w:rPr>
              <w:t>分统一按照下列公式计算：</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9"/>
              <w:rPr>
                <w:rFonts w:eastAsiaTheme="minorEastAsia"/>
              </w:rPr>
            </w:pPr>
            <w:r>
              <w:rPr>
                <w:rFonts w:hint="eastAsia"/>
                <w:sz w:val="24"/>
                <w:szCs w:val="24"/>
              </w:rPr>
              <w:t>报价得分＝（</w:t>
            </w:r>
            <w:r>
              <w:rPr>
                <w:rFonts w:ascii="宋体" w:hAnsi="宋体"/>
                <w:color w:val="000000"/>
                <w:sz w:val="24"/>
                <w:szCs w:val="24"/>
              </w:rPr>
              <w:t>评标基准价</w:t>
            </w:r>
            <w:r>
              <w:rPr>
                <w:rFonts w:hint="eastAsia"/>
                <w:sz w:val="24"/>
                <w:szCs w:val="24"/>
              </w:rPr>
              <w:t>/</w:t>
            </w:r>
            <w:r>
              <w:rPr>
                <w:rFonts w:cs="宋体"/>
                <w:sz w:val="24"/>
                <w:szCs w:val="24"/>
              </w:rPr>
              <w:t>最终投标报价</w:t>
            </w:r>
            <w:r>
              <w:rPr>
                <w:rFonts w:hint="eastAsia"/>
                <w:sz w:val="24"/>
                <w:szCs w:val="24"/>
              </w:rPr>
              <w:t>）×</w:t>
            </w:r>
            <w:r>
              <w:rPr>
                <w:rFonts w:hint="eastAsia"/>
                <w:sz w:val="24"/>
                <w:szCs w:val="24"/>
                <w:lang w:val="en-US" w:eastAsia="zh-CN"/>
              </w:rPr>
              <w:t>20</w:t>
            </w:r>
            <w:r>
              <w:rPr>
                <w:rFonts w:hint="eastAsia"/>
                <w:sz w:val="24"/>
                <w:szCs w:val="24"/>
              </w:rPr>
              <w:t>％×100</w:t>
            </w:r>
          </w:p>
        </w:tc>
      </w:tr>
    </w:tbl>
    <w:p>
      <w:pPr>
        <w:adjustRightInd w:val="0"/>
        <w:snapToGrid w:val="0"/>
        <w:spacing w:line="360" w:lineRule="auto"/>
        <w:ind w:right="-10"/>
        <w:rPr>
          <w:rFonts w:ascii="宋体" w:hAnsi="宋体"/>
          <w:b/>
          <w:sz w:val="24"/>
          <w:szCs w:val="24"/>
          <w:highlight w:val="green"/>
        </w:rPr>
      </w:pPr>
    </w:p>
    <w:p>
      <w:pPr>
        <w:adjustRightInd w:val="0"/>
        <w:snapToGrid w:val="0"/>
        <w:spacing w:line="360" w:lineRule="auto"/>
        <w:ind w:right="-10" w:firstLine="482" w:firstLineChars="200"/>
        <w:rPr>
          <w:rFonts w:ascii="宋体" w:hAnsi="宋体"/>
          <w:sz w:val="24"/>
        </w:rPr>
      </w:pPr>
      <w:r>
        <w:rPr>
          <w:rFonts w:hint="eastAsia" w:ascii="宋体" w:hAnsi="宋体"/>
          <w:b/>
          <w:sz w:val="24"/>
          <w:szCs w:val="24"/>
        </w:rPr>
        <w:t>8.4 确定中标候选人</w:t>
      </w:r>
    </w:p>
    <w:p>
      <w:pPr>
        <w:adjustRightInd w:val="0"/>
        <w:snapToGrid w:val="0"/>
        <w:spacing w:line="360" w:lineRule="auto"/>
        <w:ind w:right="-10" w:firstLine="420" w:firstLineChars="175"/>
        <w:rPr>
          <w:rFonts w:ascii="宋体" w:hAnsi="宋体"/>
          <w:bCs/>
          <w:sz w:val="24"/>
        </w:rPr>
      </w:pPr>
      <w:r>
        <w:rPr>
          <w:rFonts w:hint="eastAsia" w:ascii="宋体" w:hAnsi="宋体"/>
          <w:bCs/>
          <w:sz w:val="24"/>
        </w:rPr>
        <w:t>8</w:t>
      </w:r>
      <w:r>
        <w:rPr>
          <w:rFonts w:ascii="宋体" w:hAnsi="宋体"/>
          <w:bCs/>
          <w:sz w:val="24"/>
        </w:rPr>
        <w:t>.4.1</w:t>
      </w:r>
      <w:r>
        <w:rPr>
          <w:rFonts w:hint="eastAsia" w:ascii="宋体" w:hAnsi="宋体"/>
          <w:bCs/>
          <w:sz w:val="24"/>
        </w:rPr>
        <w:t>计算最终得分</w:t>
      </w:r>
    </w:p>
    <w:p>
      <w:pPr>
        <w:adjustRightInd w:val="0"/>
        <w:snapToGrid w:val="0"/>
        <w:spacing w:line="360" w:lineRule="auto"/>
        <w:ind w:firstLine="480" w:firstLineChars="200"/>
        <w:jc w:val="left"/>
        <w:rPr>
          <w:rFonts w:ascii="宋体" w:hAnsi="宋体"/>
          <w:bCs/>
          <w:sz w:val="24"/>
        </w:rPr>
      </w:pPr>
      <w:r>
        <w:rPr>
          <w:rFonts w:hint="eastAsia" w:ascii="宋体" w:hAnsi="宋体"/>
          <w:bCs/>
          <w:sz w:val="24"/>
        </w:rPr>
        <w:t>依据每个有效投标人的所有评分项相加，得出该投标人的最终得分。投标人的各项得分均</w:t>
      </w:r>
      <w:bookmarkStart w:id="72" w:name="_Hlk514730679"/>
      <w:r>
        <w:rPr>
          <w:rFonts w:hint="eastAsia" w:ascii="宋体" w:hAnsi="宋体"/>
          <w:bCs/>
          <w:sz w:val="24"/>
        </w:rPr>
        <w:t>保留小数点后两位（小数点后第三位四舍五入）</w:t>
      </w:r>
      <w:bookmarkEnd w:id="72"/>
      <w:r>
        <w:rPr>
          <w:rFonts w:hint="eastAsia" w:ascii="宋体" w:hAnsi="宋体"/>
          <w:bCs/>
          <w:sz w:val="24"/>
        </w:rPr>
        <w:t>。</w:t>
      </w:r>
    </w:p>
    <w:p>
      <w:pPr>
        <w:adjustRightInd w:val="0"/>
        <w:snapToGrid w:val="0"/>
        <w:spacing w:line="360" w:lineRule="auto"/>
        <w:ind w:right="-10" w:firstLine="420" w:firstLineChars="175"/>
        <w:rPr>
          <w:rFonts w:ascii="宋体" w:hAnsi="宋体"/>
          <w:bCs/>
          <w:sz w:val="24"/>
        </w:rPr>
      </w:pPr>
      <w:r>
        <w:rPr>
          <w:rFonts w:hint="eastAsia" w:ascii="宋体" w:hAnsi="宋体"/>
          <w:bCs/>
          <w:sz w:val="24"/>
        </w:rPr>
        <w:t>8</w:t>
      </w:r>
      <w:r>
        <w:rPr>
          <w:rFonts w:ascii="宋体" w:hAnsi="宋体"/>
          <w:bCs/>
          <w:sz w:val="24"/>
        </w:rPr>
        <w:t>.4.2</w:t>
      </w:r>
      <w:r>
        <w:rPr>
          <w:rFonts w:hint="eastAsia" w:ascii="宋体" w:hAnsi="宋体"/>
          <w:bCs/>
          <w:sz w:val="24"/>
        </w:rPr>
        <w:t>按照有效投标人最终得分由高到低排出中标候选人。最终得分相同的，</w:t>
      </w:r>
      <w:bookmarkStart w:id="73" w:name="_Hlk514735510"/>
      <w:r>
        <w:rPr>
          <w:rFonts w:hint="eastAsia" w:ascii="宋体" w:hAnsi="宋体"/>
          <w:bCs/>
          <w:sz w:val="24"/>
        </w:rPr>
        <w:t>则采取评标委员会抽签方式确定其前后次序。</w:t>
      </w:r>
      <w:bookmarkEnd w:id="73"/>
    </w:p>
    <w:p>
      <w:pPr>
        <w:pStyle w:val="20"/>
        <w:spacing w:line="360" w:lineRule="auto"/>
        <w:ind w:right="-10" w:firstLine="482" w:firstLineChars="200"/>
        <w:rPr>
          <w:rFonts w:ascii="宋体" w:hAnsi="宋体" w:eastAsia="宋体"/>
          <w:sz w:val="24"/>
        </w:rPr>
      </w:pPr>
      <w:r>
        <w:rPr>
          <w:rFonts w:hint="eastAsia" w:ascii="宋体" w:hAnsi="宋体" w:eastAsia="宋体"/>
          <w:b/>
          <w:sz w:val="24"/>
        </w:rPr>
        <w:t>9.</w:t>
      </w:r>
      <w:r>
        <w:rPr>
          <w:rFonts w:hint="eastAsia" w:ascii="宋体" w:hAnsi="宋体" w:eastAsia="宋体"/>
          <w:sz w:val="24"/>
        </w:rPr>
        <w:t>如果有效投标报价出现两家或两家以上相同者，则采取评标委员会抽签方式确定其前后次序。</w:t>
      </w:r>
    </w:p>
    <w:p>
      <w:pPr>
        <w:adjustRightInd w:val="0"/>
        <w:snapToGrid w:val="0"/>
        <w:spacing w:line="360" w:lineRule="auto"/>
        <w:ind w:right="-10" w:firstLine="482" w:firstLineChars="200"/>
        <w:rPr>
          <w:rFonts w:ascii="宋体" w:hAnsi="宋体"/>
          <w:b/>
          <w:sz w:val="24"/>
        </w:rPr>
      </w:pPr>
      <w:r>
        <w:rPr>
          <w:rFonts w:hint="eastAsia" w:ascii="宋体" w:hAnsi="宋体"/>
          <w:b/>
          <w:sz w:val="24"/>
        </w:rPr>
        <w:t>10.</w:t>
      </w:r>
      <w:r>
        <w:rPr>
          <w:rFonts w:hint="eastAsia" w:ascii="宋体" w:hAnsi="宋体"/>
          <w:sz w:val="24"/>
        </w:rPr>
        <w:t>评标委员会在评标过程中发现的问题，应当及时作出处理或者向招标人提出处理建议，并作书面记录。</w:t>
      </w:r>
    </w:p>
    <w:p>
      <w:pPr>
        <w:adjustRightInd w:val="0"/>
        <w:snapToGrid w:val="0"/>
        <w:spacing w:line="360" w:lineRule="auto"/>
        <w:ind w:right="-10" w:firstLine="482" w:firstLineChars="200"/>
        <w:rPr>
          <w:rFonts w:ascii="宋体" w:hAnsi="宋体"/>
          <w:sz w:val="24"/>
        </w:rPr>
      </w:pPr>
      <w:r>
        <w:rPr>
          <w:rFonts w:hint="eastAsia" w:ascii="宋体" w:hAnsi="宋体"/>
          <w:b/>
          <w:sz w:val="24"/>
        </w:rPr>
        <w:t>11.</w:t>
      </w:r>
      <w:r>
        <w:rPr>
          <w:rFonts w:hint="eastAsia" w:ascii="宋体" w:hAnsi="宋体"/>
          <w:sz w:val="24"/>
        </w:rPr>
        <w:t>在评审过程中，评标委员会发现投标人的报价或者某些分项报价可能低于成本或者高于招标文件设定的最高投标限价的，评标委员会将以询标的方式告知并要求投标人以书面方式进行必要的说明或补正，经评标委员会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pPr>
        <w:adjustRightInd w:val="0"/>
        <w:snapToGrid w:val="0"/>
        <w:spacing w:line="360" w:lineRule="auto"/>
        <w:ind w:right="-10" w:firstLine="482" w:firstLineChars="200"/>
        <w:rPr>
          <w:rFonts w:ascii="宋体" w:hAnsi="宋体"/>
          <w:sz w:val="24"/>
        </w:rPr>
      </w:pPr>
      <w:r>
        <w:rPr>
          <w:rFonts w:hint="eastAsia" w:ascii="宋体" w:hAnsi="宋体"/>
          <w:b/>
          <w:sz w:val="24"/>
        </w:rPr>
        <w:t>12.</w:t>
      </w:r>
      <w:r>
        <w:rPr>
          <w:rFonts w:hint="eastAsia" w:ascii="宋体" w:hAnsi="宋体"/>
          <w:sz w:val="24"/>
        </w:rPr>
        <w:t>投标人投标报价与公布的预算价（或控制价)相比降幅过小，或投标人投标报价明显缺乏竞争性的，评标委员会可以否决所有投标。</w:t>
      </w:r>
    </w:p>
    <w:p>
      <w:pPr>
        <w:adjustRightInd w:val="0"/>
        <w:snapToGrid w:val="0"/>
        <w:spacing w:line="360" w:lineRule="auto"/>
        <w:ind w:right="-10" w:firstLine="472" w:firstLineChars="196"/>
        <w:rPr>
          <w:rFonts w:ascii="宋体" w:hAnsi="宋体"/>
          <w:bCs/>
          <w:sz w:val="24"/>
        </w:rPr>
      </w:pPr>
      <w:r>
        <w:rPr>
          <w:rFonts w:hint="eastAsia" w:ascii="宋体" w:hAnsi="宋体"/>
          <w:b/>
          <w:bCs/>
          <w:sz w:val="24"/>
        </w:rPr>
        <w:t>13.</w:t>
      </w:r>
      <w:r>
        <w:rPr>
          <w:rFonts w:hint="eastAsia" w:ascii="宋体" w:hAnsi="宋体"/>
          <w:bCs/>
          <w:sz w:val="24"/>
        </w:rPr>
        <w:t>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0" w:firstLine="482" w:firstLineChars="200"/>
        <w:rPr>
          <w:rFonts w:ascii="宋体" w:hAnsi="宋体"/>
          <w:sz w:val="24"/>
        </w:rPr>
      </w:pPr>
      <w:r>
        <w:rPr>
          <w:rFonts w:hint="eastAsia" w:ascii="宋体" w:hAnsi="宋体"/>
          <w:b/>
          <w:bCs/>
          <w:sz w:val="24"/>
        </w:rPr>
        <w:t>14.</w:t>
      </w:r>
      <w:r>
        <w:rPr>
          <w:rFonts w:hint="eastAsia" w:ascii="宋体" w:hAnsi="宋体"/>
          <w:sz w:val="24"/>
        </w:rPr>
        <w:t xml:space="preserve"> 评标委员会和评标工作人员应严格遵守国家的法律、法规和规章制度；严格按照本次招标文件进行评标；公正廉洁、不徇私情，不得损害国家利益；保护招、投标人的合法权益。</w:t>
      </w:r>
    </w:p>
    <w:p>
      <w:pPr>
        <w:spacing w:line="360" w:lineRule="auto"/>
        <w:ind w:firstLine="482" w:firstLineChars="200"/>
      </w:pPr>
      <w:r>
        <w:rPr>
          <w:rFonts w:hint="eastAsia" w:ascii="宋体" w:hAnsi="宋体"/>
          <w:b/>
          <w:bCs/>
          <w:sz w:val="24"/>
        </w:rPr>
        <w:t>15.</w:t>
      </w:r>
      <w:r>
        <w:rPr>
          <w:rFonts w:hint="eastAsia" w:ascii="宋体" w:hAnsi="宋体"/>
          <w:bCs/>
          <w:sz w:val="24"/>
        </w:rPr>
        <w:t>在评标过程中，评委及其他评标工作人员必须对评标情况严格保密，任何人不得将评标情况透露给与投标人有关的单位和个人。</w:t>
      </w:r>
    </w:p>
    <w:p>
      <w:pPr>
        <w:pStyle w:val="19"/>
        <w:spacing w:line="360" w:lineRule="auto"/>
        <w:ind w:firstLine="482" w:firstLineChars="200"/>
        <w:rPr>
          <w:rFonts w:hAnsi="宋体" w:cs="黑体"/>
          <w:b/>
          <w:sz w:val="24"/>
          <w:szCs w:val="24"/>
        </w:rPr>
      </w:pPr>
      <w:r>
        <w:rPr>
          <w:rFonts w:hint="eastAsia" w:hAnsi="宋体" w:cs="黑体"/>
          <w:b/>
          <w:sz w:val="24"/>
          <w:szCs w:val="24"/>
        </w:rPr>
        <w:t>16. 其他</w:t>
      </w:r>
      <w:bookmarkEnd w:id="67"/>
      <w:bookmarkEnd w:id="68"/>
      <w:bookmarkEnd w:id="69"/>
    </w:p>
    <w:p>
      <w:pPr>
        <w:pStyle w:val="84"/>
        <w:spacing w:line="360" w:lineRule="auto"/>
        <w:ind w:firstLine="482" w:firstLineChars="200"/>
        <w:rPr>
          <w:rFonts w:ascii="宋体" w:hAnsi="宋体"/>
          <w:b/>
          <w:sz w:val="24"/>
        </w:rPr>
      </w:pPr>
      <w:r>
        <w:rPr>
          <w:rFonts w:hint="eastAsia" w:ascii="宋体" w:hAnsi="宋体"/>
          <w:b/>
          <w:bCs/>
          <w:kern w:val="0"/>
          <w:sz w:val="24"/>
        </w:rPr>
        <w:t>投标人提供的与投标有关的各类证书、证明、文件、资料等的真实性、合法性由投标人负全责。如发现投标人有弄虚作假或提供不实信息的行为，无论在投标有效期内还是在工程实施过程中，一经发现，将被取消其中标资格或终止合同，视为企业不诚信行为。合肥文旅博览集团将按相关规定予以处罚并记入不良行为记录，予以披露</w:t>
      </w:r>
      <w:r>
        <w:rPr>
          <w:rFonts w:hint="eastAsia" w:ascii="宋体" w:hAnsi="宋体"/>
          <w:b/>
          <w:sz w:val="24"/>
        </w:rPr>
        <w:t>。</w:t>
      </w:r>
    </w:p>
    <w:p>
      <w:pPr>
        <w:spacing w:line="360" w:lineRule="auto"/>
        <w:ind w:firstLine="480" w:firstLineChars="200"/>
        <w:rPr>
          <w:rFonts w:ascii="宋体" w:hAnsi="宋体"/>
          <w:bCs/>
          <w:color w:val="000000" w:themeColor="text1"/>
          <w:sz w:val="24"/>
          <w:szCs w:val="24"/>
          <w14:textFill>
            <w14:solidFill>
              <w14:schemeClr w14:val="tx1"/>
            </w14:solidFill>
          </w14:textFill>
        </w:rPr>
      </w:pPr>
    </w:p>
    <w:bookmarkEnd w:id="65"/>
    <w:p>
      <w:pPr>
        <w:pStyle w:val="50"/>
        <w:ind w:left="0" w:leftChars="0" w:firstLine="0" w:firstLineChars="0"/>
        <w:rPr>
          <w:rFonts w:ascii="宋体" w:hAnsi="宋体"/>
          <w:color w:val="000000" w:themeColor="text1"/>
          <w14:textFill>
            <w14:solidFill>
              <w14:schemeClr w14:val="tx1"/>
            </w14:solidFill>
          </w14:textFill>
        </w:rPr>
      </w:pPr>
    </w:p>
    <w:p>
      <w:pPr>
        <w:pStyle w:val="2"/>
        <w:numPr>
          <w:ilvl w:val="0"/>
          <w:numId w:val="8"/>
        </w:numPr>
        <w:spacing w:line="500" w:lineRule="exact"/>
        <w:jc w:val="center"/>
        <w:rPr>
          <w:rFonts w:ascii="宋体" w:hAnsi="宋体"/>
          <w:color w:val="000000" w:themeColor="text1"/>
          <w14:textFill>
            <w14:solidFill>
              <w14:schemeClr w14:val="tx1"/>
            </w14:solidFill>
          </w14:textFill>
        </w:rPr>
      </w:pPr>
      <w:bookmarkStart w:id="74" w:name="_Toc5990"/>
      <w:bookmarkStart w:id="75" w:name="_Toc220232392"/>
      <w:r>
        <w:rPr>
          <w:rFonts w:ascii="宋体" w:hAnsi="宋体"/>
          <w:color w:val="000000" w:themeColor="text1"/>
          <w14:textFill>
            <w14:solidFill>
              <w14:schemeClr w14:val="tx1"/>
            </w14:solidFill>
          </w14:textFill>
        </w:rPr>
        <w:t>合同</w:t>
      </w:r>
      <w:bookmarkEnd w:id="74"/>
      <w:bookmarkEnd w:id="75"/>
    </w:p>
    <w:p>
      <w:pPr>
        <w:rPr>
          <w:color w:val="000000" w:themeColor="text1"/>
          <w14:textFill>
            <w14:solidFill>
              <w14:schemeClr w14:val="tx1"/>
            </w14:solidFill>
          </w14:textFill>
        </w:rPr>
      </w:pP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b/>
          <w:bCs/>
          <w:sz w:val="24"/>
        </w:rPr>
        <w:t>用工单位（以下简称甲方）</w:t>
      </w:r>
      <w:r>
        <w:rPr>
          <w:rFonts w:hint="eastAsia" w:ascii="仿宋_GB2312" w:hAnsi="仿宋_GB2312" w:eastAsia="仿宋_GB2312" w:cs="仿宋_GB2312"/>
          <w:sz w:val="24"/>
        </w:rPr>
        <w:t xml:space="preserve">：                           </w:t>
      </w:r>
    </w:p>
    <w:p>
      <w:pPr>
        <w:spacing w:line="5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地址：  </w:t>
      </w: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p>
    <w:p>
      <w:pPr>
        <w:adjustRightInd w:val="0"/>
        <w:snapToGrid w:val="0"/>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电话：  </w:t>
      </w:r>
    </w:p>
    <w:p>
      <w:pPr>
        <w:pStyle w:val="50"/>
        <w:rPr>
          <w:rFonts w:hint="eastAsia"/>
          <w:lang w:eastAsia="zh-CN"/>
        </w:rPr>
      </w:pPr>
    </w:p>
    <w:p>
      <w:pPr>
        <w:spacing w:line="520" w:lineRule="exact"/>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 xml:space="preserve">外包单位（以下简称乙方）：         </w:t>
      </w: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地址：</w:t>
      </w:r>
    </w:p>
    <w:p>
      <w:pPr>
        <w:spacing w:line="5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法定代表人：                            </w:t>
      </w:r>
    </w:p>
    <w:p>
      <w:pPr>
        <w:spacing w:line="360" w:lineRule="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电话： </w:t>
      </w:r>
    </w:p>
    <w:p>
      <w:pPr>
        <w:pStyle w:val="50"/>
        <w:rPr>
          <w:rFonts w:hint="eastAsia"/>
          <w:lang w:eastAsia="zh-CN"/>
        </w:rPr>
      </w:pP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甲乙双方按照国家相关法律法规，本着诚信及互利互惠的原则，就甲方将部分工作岗位的工作任务外包给乙方进行</w:t>
      </w:r>
      <w:r>
        <w:rPr>
          <w:rFonts w:hint="eastAsia" w:ascii="仿宋_GB2312" w:hAnsi="仿宋_GB2312" w:eastAsia="仿宋_GB2312" w:cs="仿宋_GB2312"/>
          <w:sz w:val="24"/>
          <w:u w:val="single"/>
        </w:rPr>
        <w:t>劳务外包</w:t>
      </w:r>
      <w:r>
        <w:rPr>
          <w:rFonts w:hint="eastAsia" w:ascii="仿宋_GB2312" w:hAnsi="仿宋_GB2312" w:eastAsia="仿宋_GB2312" w:cs="仿宋_GB2312"/>
          <w:sz w:val="24"/>
        </w:rPr>
        <w:t>项目（以下称“本项目”）达成如下协议：</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一、协议标的的定义</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甲方将其实际工作所需产生的工作岗位包括但不限于羽毛球教练员、乒乓球教练员、游泳教练员、网球教练员、篮球教练员、体适能教练员、客服、工程管理人员、仓管员、场馆员、救生员及其他工种等劳务外包给乙方，乙方按甲方的职责要求完成工作任务。甲方按双方的约定结算方式支付给乙方相应的承包服务费。</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二、合同期限及费用</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2.1本协议的期限自【  】年【  】月 【  】日起至 【  】年【  】月【  】日止。甲、乙双方任何一方希望续约的，应当</w:t>
      </w:r>
      <w:r>
        <w:rPr>
          <w:rFonts w:hint="eastAsia" w:ascii="仿宋_GB2312" w:hAnsi="仿宋_GB2312" w:eastAsia="仿宋_GB2312" w:cs="仿宋_GB2312"/>
          <w:sz w:val="24"/>
          <w:lang w:val="en-US" w:eastAsia="zh-CN"/>
        </w:rPr>
        <w:t>不迟于</w:t>
      </w:r>
      <w:r>
        <w:rPr>
          <w:rFonts w:hint="eastAsia" w:ascii="仿宋_GB2312" w:hAnsi="仿宋_GB2312" w:eastAsia="仿宋_GB2312" w:cs="仿宋_GB2312"/>
          <w:sz w:val="24"/>
        </w:rPr>
        <w:t>本协议期满前1个月向对方发出续约通知书，经双方协商一致后可续约1年，本协议最多续约2年。</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2.2合同有效期内，乙方的服务管理费率为</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(不含税)，另税负为</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%，由甲方承担。即当期总结算费用=当期劳务外包服务费用* (1+</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当期劳务外包服务费用应为不含税金额)。前述服务费用为包干价该费用包括但不限于乙方委派人员的工资报酬、社会保险、福利待遇.乙方的管理服务费、税费等乙方为完成本合同项下服务工作所需的全部费用除非本合同另有约定外，甲方无须再向乙方或任何第三人支付其他费用。</w:t>
      </w:r>
    </w:p>
    <w:p>
      <w:pPr>
        <w:spacing w:line="52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2.3 支付方式为:按【月】甲方按乙方提供劳务人员的具体人数、期限及本合同约定费用标准向乙方支付劳务费用，自劳务人员在甲方实际服务之日起开始支付。 甲方每【月】开始的前 20 日内核定乙方上一【月】指派至甲方处工作人员的具体人数、出勤天数、课时等相关材料，经甲方书面确认并收到乙方提供相应数额的发票后，甲方安排付款，向乙方支付上一【月】的服务费用</w:t>
      </w:r>
    </w:p>
    <w:p>
      <w:pPr>
        <w:spacing w:line="52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2.4 甲方每次付款前，乙方应按照甲方核定的结算费用开具正规的增值税专用发票，甲方收到发票后15日内向乙方付款。甲方未收到发票的，有权延迟或拒绝付款，且不承担违约责任。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乙方指定的结算账户资料如下：</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户名：</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银行账号</w:t>
      </w:r>
      <w:r>
        <w:rPr>
          <w:rFonts w:hint="eastAsia" w:ascii="仿宋_GB2312" w:hAnsi="仿宋_GB2312" w:eastAsia="仿宋_GB2312" w:cs="仿宋_GB2312"/>
          <w:sz w:val="24"/>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开户银行</w:t>
      </w:r>
      <w:r>
        <w:rPr>
          <w:rFonts w:hint="eastAsia" w:ascii="仿宋_GB2312" w:hAnsi="仿宋_GB2312" w:eastAsia="仿宋_GB2312" w:cs="仿宋_GB2312"/>
          <w:sz w:val="24"/>
        </w:rPr>
        <w:t>：</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三、甲方的权利及义务</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3.1甲方应明确本项目工作岗位、工作任务和工作要求，并根据甲方分配的岗位及工作任务指派合适的员工上岗。</w:t>
      </w:r>
    </w:p>
    <w:p>
      <w:pPr>
        <w:spacing w:line="520" w:lineRule="exact"/>
        <w:ind w:firstLine="480" w:firstLineChars="200"/>
        <w:rPr>
          <w:rFonts w:hint="eastAsia" w:ascii="仿宋_GB2312" w:hAnsi="仿宋_GB2312" w:eastAsia="仿宋_GB2312" w:cs="仿宋_GB2312"/>
          <w:b/>
          <w:bCs/>
          <w:sz w:val="24"/>
        </w:rPr>
      </w:pPr>
      <w:r>
        <w:rPr>
          <w:rFonts w:hint="eastAsia" w:ascii="仿宋_GB2312" w:hAnsi="仿宋_GB2312" w:eastAsia="仿宋_GB2312" w:cs="仿宋_GB2312"/>
          <w:sz w:val="24"/>
        </w:rPr>
        <w:t>3.2甲方有权抽查复检经过乙方认定体检合格的员工，对于复检不合格的乙方员工，甲方有权要求乙方及时更换，同时乙方必须保证出勤人数，不影响甲方的工作；甲方有权抽查乙方指派的员工的身份证明、资格证书等，乙方及其指派的员工应配合甲方的抽检。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3.3甲方应为乙方指派的员工提供符合政府法律规定的工作场所和各项安全生产条件。</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3.4甲方应按照本协议约定的标准和方式支付乙方劳务服务费用。</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3.5甲方应对知悉的乙方有关信息、数据和资料及其他信息负有严格的保密的责任。         </w:t>
      </w:r>
    </w:p>
    <w:p>
      <w:pPr>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3.6乙方指派的员工有下列行为的，一经发现，甲方有权要求乙方退回或更换，每发现一次，乙方应向甲方支付2000元赔违约金，累计达3次的，甲方有权解除合同，同时乙方必须保证出勤人数，不影响甲方的正常工作进展</w:t>
      </w:r>
      <w:r>
        <w:rPr>
          <w:rFonts w:hint="eastAsia" w:ascii="仿宋_GB2312" w:hAnsi="仿宋_GB2312" w:eastAsia="仿宋_GB2312" w:cs="仿宋_GB2312"/>
          <w:sz w:val="24"/>
          <w:lang w:eastAsia="zh-CN"/>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3.6.1乙方指派的员工严重违反</w:t>
      </w:r>
      <w:r>
        <w:rPr>
          <w:rFonts w:hint="eastAsia" w:ascii="仿宋_GB2312" w:hAnsi="仿宋_GB2312" w:eastAsia="仿宋_GB2312" w:cs="仿宋_GB2312"/>
          <w:color w:val="auto"/>
          <w:sz w:val="24"/>
        </w:rPr>
        <w:t>甲方规章制度</w:t>
      </w:r>
      <w:r>
        <w:rPr>
          <w:rFonts w:hint="eastAsia" w:ascii="仿宋_GB2312" w:hAnsi="仿宋_GB2312" w:eastAsia="仿宋_GB2312" w:cs="仿宋_GB2312"/>
          <w:sz w:val="24"/>
        </w:rPr>
        <w:t>、岗位职责和劳动纪律的；</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3.6.2乙方指派的员工不能提供真实有效的健康证明、身份证明的，或提供虚假的健康证明、身份证明的；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3.6.3乙方指派的员工在工作中有谩骂他人或斗殴或以肢体、拳脚相击的等不文明或违法行为的；</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3.6.4乙方指派的员工工作不负责任，或不能保证工作质量的； </w:t>
      </w:r>
    </w:p>
    <w:p>
      <w:pPr>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3.6.5乙方指派的员工的行为给甲方或者第三方造成5万元以上损失的</w:t>
      </w:r>
      <w:r>
        <w:rPr>
          <w:rFonts w:hint="eastAsia" w:ascii="仿宋_GB2312" w:hAnsi="仿宋_GB2312" w:eastAsia="仿宋_GB2312" w:cs="仿宋_GB2312"/>
          <w:sz w:val="24"/>
          <w:lang w:eastAsia="zh-CN"/>
        </w:rPr>
        <w:t>；</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四、乙方的权利及义务</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4.1乙方应保证具有履行协议的法定资质，向甲方提供有关营业执照等资质证明的原件（核实后退还）及复印件。</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4.2乙方根据甲方的要求，指派符合甲方要求的员工到甲方指定的工作地点从事劳务外包工作。</w:t>
      </w:r>
    </w:p>
    <w:p>
      <w:pPr>
        <w:spacing w:line="520" w:lineRule="exact"/>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4.3乙方指派的员工与甲方不存在任何劳动或雇佣关系</w:t>
      </w:r>
      <w:r>
        <w:rPr>
          <w:rFonts w:hint="eastAsia" w:ascii="仿宋_GB2312" w:hAnsi="仿宋_GB2312" w:eastAsia="仿宋_GB2312" w:cs="仿宋_GB2312"/>
          <w:sz w:val="24"/>
          <w:lang w:eastAsia="zh-CN"/>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4.4乙方应教导其指派的员工严格按照甲方的工作标准进行工作。乙方指派的员工工作过程中产生的工伤、经济补偿、劳动争议等均由乙方负责协调或承担，概与甲方无关。</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4.5乙方按照甲方要求的时间、地点、岗位、人员条件</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 xml:space="preserve">人员，因乙方指派的员工离职或被更换造成甲方外包工作岗位的空缺，乙方应自接到通知后尽快补齐。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4.6乙方指派的员工在工作期间发生工伤，乙方应承担工伤认定申请和劳动能力鉴定申请以及协调工作，甲方应积极配合。</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4.7乙方应对知悉的甲方有关信息、数据和资料及其他信息负有严格的保密的责任，并保证其指派至甲方的员工同样承担严格的保密责任。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4.8乙方指派的员工在服务期间，</w:t>
      </w:r>
      <w:r>
        <w:rPr>
          <w:rFonts w:hint="eastAsia" w:ascii="仿宋_GB2312" w:hAnsi="仿宋_GB2312" w:eastAsia="仿宋_GB2312" w:cs="仿宋_GB2312"/>
          <w:sz w:val="24"/>
          <w:lang w:val="en-US" w:eastAsia="zh-CN"/>
        </w:rPr>
        <w:t>应设定</w:t>
      </w:r>
      <w:r>
        <w:rPr>
          <w:rFonts w:hint="eastAsia" w:ascii="仿宋_GB2312" w:hAnsi="仿宋_GB2312" w:eastAsia="仿宋_GB2312" w:cs="仿宋_GB2312"/>
          <w:sz w:val="24"/>
        </w:rPr>
        <w:t>科学、合理</w:t>
      </w:r>
      <w:r>
        <w:rPr>
          <w:rFonts w:hint="eastAsia" w:ascii="仿宋_GB2312" w:hAnsi="仿宋_GB2312" w:eastAsia="仿宋_GB2312" w:cs="仿宋_GB2312"/>
          <w:sz w:val="24"/>
          <w:lang w:val="en-US" w:eastAsia="zh-CN"/>
        </w:rPr>
        <w:t>的考核机制，</w:t>
      </w:r>
      <w:r>
        <w:rPr>
          <w:rFonts w:hint="eastAsia" w:ascii="仿宋_GB2312" w:hAnsi="仿宋_GB2312" w:eastAsia="仿宋_GB2312" w:cs="仿宋_GB2312"/>
          <w:sz w:val="24"/>
          <w:lang w:eastAsia="zh-CN"/>
        </w:rPr>
        <w:t>为教育培训、工作调动以及提薪、晋升、奖励表彰等带给客观可靠的依据。透过这些评价可促使员工有计划地改善工作，以保证</w:t>
      </w:r>
      <w:r>
        <w:rPr>
          <w:rFonts w:hint="eastAsia" w:ascii="仿宋_GB2312" w:hAnsi="仿宋_GB2312" w:eastAsia="仿宋_GB2312" w:cs="仿宋_GB2312"/>
          <w:sz w:val="24"/>
          <w:lang w:val="en-US" w:eastAsia="zh-CN"/>
        </w:rPr>
        <w:t>满足甲方用人部门</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lang w:val="en-US" w:eastAsia="zh-CN"/>
        </w:rPr>
        <w:t>工作</w:t>
      </w:r>
      <w:r>
        <w:rPr>
          <w:rFonts w:hint="eastAsia" w:ascii="仿宋_GB2312" w:hAnsi="仿宋_GB2312" w:eastAsia="仿宋_GB2312" w:cs="仿宋_GB2312"/>
          <w:sz w:val="24"/>
          <w:lang w:eastAsia="zh-CN"/>
        </w:rPr>
        <w:t>要求。</w:t>
      </w:r>
      <w:r>
        <w:rPr>
          <w:rFonts w:hint="eastAsia" w:ascii="仿宋_GB2312" w:hAnsi="仿宋_GB2312" w:eastAsia="仿宋_GB2312" w:cs="仿宋_GB2312"/>
          <w:sz w:val="24"/>
          <w:lang w:val="en-US" w:eastAsia="zh-CN"/>
        </w:rPr>
        <w:t>做到鼓励激励、容错纠错、能上能下、能进能出</w:t>
      </w:r>
      <w:r>
        <w:rPr>
          <w:rFonts w:hint="eastAsia" w:ascii="仿宋_GB2312" w:hAnsi="仿宋_GB2312" w:eastAsia="仿宋_GB2312" w:cs="仿宋_GB2312"/>
          <w:sz w:val="24"/>
        </w:rPr>
        <w:t>。</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4.9乙方指派的员工在外包服务期间造成甲方或任何第三方人身或者财产损害的，应由乙方承担全部责任，甲方因此受损失或者致使甲方向第三方承担责任的的，甲方有权就自身遭受的损失以及对第三方承担的责任向乙方追偿。</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4.10</w:t>
      </w:r>
      <w:r>
        <w:rPr>
          <w:rFonts w:hint="eastAsia" w:ascii="仿宋_GB2312" w:hAnsi="仿宋_GB2312" w:eastAsia="仿宋_GB2312" w:cs="仿宋_GB2312"/>
        </w:rPr>
        <w:t xml:space="preserve"> </w:t>
      </w:r>
      <w:r>
        <w:rPr>
          <w:rFonts w:hint="eastAsia" w:ascii="仿宋_GB2312" w:hAnsi="仿宋_GB2312" w:eastAsia="仿宋_GB2312" w:cs="仿宋_GB2312"/>
          <w:sz w:val="24"/>
        </w:rPr>
        <w:t>乙方</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人员在提供服务过程中发生的事故、事件、相关经营条件及经营设备投资等费用均由乙方承担；对经营活动中因乙方原因发生的质量问题、安全问题和事故等由乙方负全部责任.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4.11 乙方对</w:t>
      </w:r>
      <w:r>
        <w:rPr>
          <w:rFonts w:hint="eastAsia" w:ascii="仿宋_GB2312" w:hAnsi="仿宋_GB2312" w:eastAsia="仿宋_GB2312" w:cs="仿宋_GB2312"/>
          <w:sz w:val="24"/>
          <w:lang w:val="en-US" w:eastAsia="zh-CN"/>
        </w:rPr>
        <w:t>外包</w:t>
      </w:r>
      <w:r>
        <w:rPr>
          <w:rFonts w:hint="eastAsia" w:ascii="仿宋_GB2312" w:hAnsi="仿宋_GB2312" w:eastAsia="仿宋_GB2312" w:cs="仿宋_GB2312"/>
          <w:sz w:val="24"/>
        </w:rPr>
        <w:t>员工承担用人单位的全部责任，包括但不限于发放工资福利、办理五险一金、处理劳动工伤，与劳务</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人员签订或者变更劳动合同。如甲方被要求承担用人单位责任的，乙方应当对甲方因此遭受的损失进行赔偿。</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4.12</w:t>
      </w:r>
      <w:r>
        <w:rPr>
          <w:rFonts w:hint="eastAsia" w:ascii="仿宋_GB2312" w:hAnsi="仿宋_GB2312" w:eastAsia="仿宋_GB2312" w:cs="仿宋_GB2312"/>
          <w:sz w:val="24"/>
        </w:rPr>
        <w:t>因</w:t>
      </w:r>
      <w:r>
        <w:rPr>
          <w:rFonts w:hint="eastAsia" w:ascii="仿宋_GB2312" w:hAnsi="仿宋_GB2312" w:eastAsia="仿宋_GB2312" w:cs="仿宋_GB2312"/>
          <w:sz w:val="24"/>
          <w:lang w:val="en-US" w:eastAsia="zh-CN"/>
        </w:rPr>
        <w:t>乙方指派的员工</w:t>
      </w:r>
      <w:r>
        <w:rPr>
          <w:rFonts w:hint="eastAsia" w:ascii="仿宋_GB2312" w:hAnsi="仿宋_GB2312" w:eastAsia="仿宋_GB2312" w:cs="仿宋_GB2312"/>
          <w:sz w:val="24"/>
        </w:rPr>
        <w:t>造成重大安全责任事故或形成恶劣社会影响，</w:t>
      </w:r>
      <w:r>
        <w:rPr>
          <w:rFonts w:hint="eastAsia" w:ascii="仿宋_GB2312" w:hAnsi="仿宋_GB2312" w:eastAsia="仿宋_GB2312" w:cs="仿宋_GB2312"/>
          <w:sz w:val="24"/>
          <w:lang w:val="en-US" w:eastAsia="zh-CN"/>
        </w:rPr>
        <w:t>甲方</w:t>
      </w:r>
      <w:r>
        <w:rPr>
          <w:rFonts w:hint="eastAsia" w:ascii="仿宋_GB2312" w:hAnsi="仿宋_GB2312" w:eastAsia="仿宋_GB2312" w:cs="仿宋_GB2312"/>
          <w:sz w:val="24"/>
        </w:rPr>
        <w:t>有权终止合同，因此给</w:t>
      </w:r>
      <w:r>
        <w:rPr>
          <w:rFonts w:hint="eastAsia" w:ascii="仿宋_GB2312" w:hAnsi="仿宋_GB2312" w:eastAsia="仿宋_GB2312" w:cs="仿宋_GB2312"/>
          <w:sz w:val="24"/>
          <w:lang w:val="en-US" w:eastAsia="zh-CN"/>
        </w:rPr>
        <w:t>甲方</w:t>
      </w:r>
      <w:r>
        <w:rPr>
          <w:rFonts w:hint="eastAsia" w:ascii="仿宋_GB2312" w:hAnsi="仿宋_GB2312" w:eastAsia="仿宋_GB2312" w:cs="仿宋_GB2312"/>
          <w:sz w:val="24"/>
        </w:rPr>
        <w:t>造成的损失</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甲方除了有权向乙方全额追偿之外，乙方还应向甲方支付最近一年度劳务管理服务费</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%的违约金。。</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五、岗位职责要求</w:t>
      </w:r>
    </w:p>
    <w:p>
      <w:pPr>
        <w:spacing w:line="360" w:lineRule="auto"/>
        <w:ind w:firstLine="480" w:firstLineChars="200"/>
        <w:rPr>
          <w:rFonts w:hint="eastAsia" w:ascii="仿宋_GB2312" w:hAnsi="仿宋_GB2312" w:eastAsia="仿宋_GB2312" w:cs="仿宋_GB2312"/>
          <w:color w:val="000000"/>
          <w:sz w:val="24"/>
          <w:szCs w:val="28"/>
          <w:lang w:eastAsia="zh-CN"/>
        </w:rPr>
      </w:pPr>
      <w:r>
        <w:rPr>
          <w:rFonts w:hint="eastAsia" w:ascii="仿宋_GB2312" w:hAnsi="仿宋_GB2312" w:eastAsia="仿宋_GB2312" w:cs="仿宋_GB2312"/>
          <w:kern w:val="2"/>
          <w:sz w:val="24"/>
          <w:szCs w:val="24"/>
          <w:lang w:val="en-US" w:eastAsia="zh-CN"/>
        </w:rPr>
        <w:t>5.1根据实际岗位要求据实约定。</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六、违约责任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6.1甲方无故未按期支付乙方本协议项下的劳务服务费用，经乙方书面催告后超过10个工作日未付的，每逾期一日，应按全国银行间同业拆借中心公布的贷款市场报价利率支付应付未付款的违约金，除此之外不承担其他责任。</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6.2如本合同项下所有因乙方违约造成甲方损失或乙方应承担的违约责任，甲方有权从应付乙方的任何一笔服务费中直接扣除，甲方未予扣除的，并不视为放弃相应权利。  </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6.3乙方违反中国有关法律法规和本合同的其他规定的，甲方有权解除本协议的履行；因乙方原因导致本协议终止的（包括甲方行使解除权），</w:t>
      </w:r>
      <w:r>
        <w:rPr>
          <w:rFonts w:hint="eastAsia" w:ascii="仿宋_GB2312" w:hAnsi="仿宋_GB2312" w:eastAsia="仿宋_GB2312" w:cs="仿宋_GB2312"/>
          <w:sz w:val="24"/>
          <w:lang w:val="en-US" w:eastAsia="zh-CN"/>
        </w:rPr>
        <w:t>并且</w:t>
      </w:r>
      <w:r>
        <w:rPr>
          <w:rFonts w:hint="eastAsia" w:ascii="仿宋_GB2312" w:hAnsi="仿宋_GB2312" w:eastAsia="仿宋_GB2312" w:cs="仿宋_GB2312"/>
          <w:sz w:val="24"/>
        </w:rPr>
        <w:t>乙方应承担最近一年度劳务管理服务费</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%的违约金。</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6.4乙方未按照甲方要求的时间、地点、人员、岗位</w:t>
      </w:r>
      <w:r>
        <w:rPr>
          <w:rFonts w:hint="eastAsia" w:ascii="仿宋_GB2312" w:hAnsi="仿宋_GB2312" w:eastAsia="仿宋_GB2312" w:cs="仿宋_GB2312"/>
          <w:sz w:val="24"/>
          <w:lang w:eastAsia="zh-CN"/>
        </w:rPr>
        <w:t>外包</w:t>
      </w:r>
      <w:r>
        <w:rPr>
          <w:rFonts w:hint="eastAsia" w:ascii="仿宋_GB2312" w:hAnsi="仿宋_GB2312" w:eastAsia="仿宋_GB2312" w:cs="仿宋_GB2312"/>
          <w:sz w:val="24"/>
        </w:rPr>
        <w:t>符合甲方要求的人员的，每发生一次违约行为，乙方应当向甲方支付违约金200元，违约金不足以弥补甲方损失的，乙方应当继续赔偿因此给甲方造成的损失。</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6.5因乙方违约造成甲方损失的，乙方还应赔偿甲方为维护自身合法权益而支出的包括但不限于诉讼费、律师费、保全费、担保费、差旅费、文印费、保全担保费等一切支出。</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6.6因乙方原因导致甲方承担赔偿责任的（包括但不限于乙方与指派员工之间的争议纠纷、工伤纠纷以及向第三方承担赔偿责任等），甲方除了有权向乙方全额追偿之外，乙方还应向甲方支付最近一年度劳务管理服务费</w:t>
      </w:r>
      <w:r>
        <w:rPr>
          <w:rFonts w:hint="eastAsia" w:ascii="仿宋_GB2312" w:hAnsi="仿宋_GB2312" w:eastAsia="仿宋_GB2312" w:cs="仿宋_GB2312"/>
          <w:sz w:val="24"/>
          <w:lang w:val="en-US" w:eastAsia="zh-CN"/>
        </w:rPr>
        <w:t>10</w:t>
      </w:r>
      <w:r>
        <w:rPr>
          <w:rFonts w:hint="eastAsia" w:ascii="仿宋_GB2312" w:hAnsi="仿宋_GB2312" w:eastAsia="仿宋_GB2312" w:cs="仿宋_GB2312"/>
          <w:sz w:val="24"/>
        </w:rPr>
        <w:t>%的违约金。</w:t>
      </w:r>
    </w:p>
    <w:p>
      <w:p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七、其他</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7.1关于本协议的任何争议，甲乙双方应协商解决，不能解决的，任何一方均有权向甲方所在地人民法院诉讼。</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7.2如甲方需要乙方提供本补充协议以外的服务项目，采取一事一议的方式另行结算费用。</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7.3本协议未尽事宜，由双方进行补充约定。</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7.4本合同一式两份，双方各执一份，协议自双方签字盖章之日起生效。</w:t>
      </w:r>
    </w:p>
    <w:p>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7.5双方同意，合同载明的地址为双方约定的法律文书送达地址，寄往该地址的各类法律文书，自交邮之日起3日后视为送达之日。任何一方地址有变动的，应提前15日以书面形式通知另一方，否则视为地址未变动。</w:t>
      </w:r>
    </w:p>
    <w:p>
      <w:pPr>
        <w:spacing w:line="520" w:lineRule="exact"/>
        <w:ind w:firstLine="480" w:firstLineChars="200"/>
        <w:rPr>
          <w:rFonts w:hint="eastAsia" w:ascii="仿宋_GB2312" w:hAnsi="仿宋_GB2312" w:eastAsia="仿宋_GB2312" w:cs="仿宋_GB2312"/>
          <w:sz w:val="24"/>
        </w:rPr>
      </w:pPr>
    </w:p>
    <w:p>
      <w:pPr>
        <w:adjustRightInd w:val="0"/>
        <w:snapToGrid w:val="0"/>
        <w:spacing w:line="520" w:lineRule="exact"/>
        <w:rPr>
          <w:rFonts w:hint="eastAsia" w:ascii="仿宋_GB2312" w:hAnsi="仿宋_GB2312" w:eastAsia="仿宋_GB2312" w:cs="仿宋_GB2312"/>
          <w:b/>
          <w:bCs/>
          <w:sz w:val="24"/>
        </w:rPr>
      </w:pPr>
      <w:r>
        <w:rPr>
          <w:rFonts w:hint="eastAsia" w:ascii="仿宋_GB2312" w:hAnsi="仿宋_GB2312" w:eastAsia="仿宋_GB2312" w:cs="仿宋_GB2312"/>
          <w:b/>
          <w:bCs/>
          <w:sz w:val="24"/>
        </w:rPr>
        <w:t>甲方（盖章）：                        乙方（盖章）：</w:t>
      </w:r>
    </w:p>
    <w:p>
      <w:pPr>
        <w:adjustRightInd w:val="0"/>
        <w:snapToGrid w:val="0"/>
        <w:spacing w:line="520" w:lineRule="exact"/>
        <w:rPr>
          <w:rFonts w:hint="eastAsia" w:ascii="仿宋_GB2312" w:hAnsi="仿宋_GB2312" w:eastAsia="仿宋_GB2312" w:cs="仿宋_GB2312"/>
          <w:sz w:val="24"/>
        </w:rPr>
      </w:pPr>
      <w:r>
        <w:rPr>
          <w:rFonts w:hint="eastAsia" w:ascii="仿宋_GB2312" w:hAnsi="仿宋_GB2312" w:eastAsia="仿宋_GB2312" w:cs="仿宋_GB2312"/>
          <w:sz w:val="24"/>
        </w:rPr>
        <w:t>法定代表人/授权代理人（签字）：</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法定代表人/授权代理人（签字）：</w:t>
      </w:r>
    </w:p>
    <w:p>
      <w:pPr>
        <w:spacing w:before="8" w:line="560" w:lineRule="exact"/>
        <w:rPr>
          <w:rFonts w:hint="eastAsia" w:ascii="仿宋_GB2312" w:hAnsi="仿宋_GB2312" w:eastAsia="仿宋_GB2312" w:cs="仿宋_GB2312"/>
          <w:sz w:val="19"/>
          <w:szCs w:val="19"/>
        </w:rPr>
      </w:pPr>
      <w:r>
        <w:rPr>
          <w:rFonts w:hint="eastAsia" w:ascii="仿宋_GB2312" w:hAnsi="仿宋_GB2312" w:eastAsia="仿宋_GB2312" w:cs="仿宋_GB2312"/>
          <w:sz w:val="24"/>
        </w:rPr>
        <w:t>签约日期：    年  月  日</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签约日期：    年  月  日</w:t>
      </w:r>
    </w:p>
    <w:p>
      <w:pPr>
        <w:rPr>
          <w:rFonts w:hint="default"/>
          <w:lang w:val="en-US" w:eastAsia="zh-CN"/>
        </w:rPr>
      </w:pPr>
    </w:p>
    <w:p>
      <w:pPr>
        <w:spacing w:line="490" w:lineRule="exact"/>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7"/>
          <w14:textFill>
            <w14:solidFill>
              <w14:schemeClr w14:val="tx1"/>
            </w14:solidFill>
          </w14:textFill>
        </w:rPr>
        <w:t>备注：本合同仅供参考，如本合同的约定如与本项目</w:t>
      </w:r>
      <w:r>
        <w:rPr>
          <w:rFonts w:hint="eastAsia" w:ascii="宋体" w:hAnsi="宋体"/>
          <w:b/>
          <w:color w:val="000000" w:themeColor="text1"/>
          <w:sz w:val="24"/>
          <w14:textFill>
            <w14:solidFill>
              <w14:schemeClr w14:val="tx1"/>
            </w14:solidFill>
          </w14:textFill>
        </w:rPr>
        <w:t>招标</w:t>
      </w:r>
      <w:r>
        <w:rPr>
          <w:rFonts w:hint="eastAsia" w:ascii="宋体" w:hAnsi="宋体"/>
          <w:b/>
          <w:color w:val="000000" w:themeColor="text1"/>
          <w:sz w:val="24"/>
          <w:szCs w:val="27"/>
          <w14:textFill>
            <w14:solidFill>
              <w14:schemeClr w14:val="tx1"/>
            </w14:solidFill>
          </w14:textFill>
        </w:rPr>
        <w:t>文件的投标人须知前附表、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的约定不一致的地方，以投标人须知前附表、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的约定为准。</w:t>
      </w: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pStyle w:val="50"/>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bookmarkStart w:id="76" w:name="_Toc1217"/>
      <w:bookmarkStart w:id="77" w:name="_Toc7078087"/>
      <w:bookmarkStart w:id="78" w:name="_Toc3121"/>
      <w:r>
        <w:rPr>
          <w:rFonts w:hint="eastAsia" w:ascii="宋体" w:hAnsi="宋体"/>
          <w:b/>
          <w:bCs/>
          <w:color w:val="000000" w:themeColor="text1"/>
          <w:sz w:val="32"/>
          <w:szCs w:val="32"/>
          <w:lang w:val="zh-CN"/>
          <w14:textFill>
            <w14:solidFill>
              <w14:schemeClr w14:val="tx1"/>
            </w14:solidFill>
          </w14:textFill>
        </w:rPr>
        <w:t>第七章 投标文件格式</w:t>
      </w:r>
      <w:bookmarkEnd w:id="76"/>
      <w:bookmarkEnd w:id="77"/>
      <w:bookmarkEnd w:id="78"/>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spacing w:line="500" w:lineRule="exact"/>
        <w:jc w:val="center"/>
        <w:rPr>
          <w:rFonts w:hint="eastAsia" w:ascii="宋体" w:hAnsi="宋体"/>
          <w:b/>
          <w:color w:val="000000"/>
          <w:sz w:val="24"/>
          <w:szCs w:val="24"/>
        </w:rPr>
      </w:pPr>
      <w:r>
        <w:rPr>
          <w:rFonts w:hint="eastAsia" w:ascii="宋体" w:hAnsi="宋体"/>
          <w:b/>
          <w:color w:val="000000"/>
          <w:sz w:val="24"/>
          <w:szCs w:val="24"/>
        </w:rPr>
        <w:t>投标文件资料清单</w:t>
      </w:r>
    </w:p>
    <w:p>
      <w:pPr>
        <w:spacing w:line="500" w:lineRule="exact"/>
        <w:jc w:val="center"/>
        <w:rPr>
          <w:rFonts w:hint="eastAsia" w:ascii="宋体" w:hAnsi="宋体"/>
          <w:b/>
          <w:color w:val="000000"/>
          <w:sz w:val="24"/>
          <w:szCs w:val="24"/>
        </w:rPr>
      </w:pP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noWrap w:val="0"/>
            <w:vAlign w:val="center"/>
          </w:tcPr>
          <w:p>
            <w:pPr>
              <w:spacing w:line="400" w:lineRule="exact"/>
              <w:jc w:val="center"/>
              <w:rPr>
                <w:rFonts w:hint="eastAsia" w:ascii="宋体" w:hAnsi="宋体"/>
                <w:b/>
                <w:color w:val="000000"/>
                <w:sz w:val="24"/>
              </w:rPr>
            </w:pPr>
            <w:r>
              <w:rPr>
                <w:rFonts w:hint="eastAsia" w:ascii="宋体" w:hAnsi="宋体"/>
                <w:b/>
                <w:color w:val="000000"/>
                <w:sz w:val="24"/>
              </w:rPr>
              <w:t>序号</w:t>
            </w:r>
          </w:p>
        </w:tc>
        <w:tc>
          <w:tcPr>
            <w:tcW w:w="5376" w:type="dxa"/>
            <w:noWrap w:val="0"/>
            <w:vAlign w:val="center"/>
          </w:tcPr>
          <w:p>
            <w:pPr>
              <w:spacing w:line="400" w:lineRule="exact"/>
              <w:jc w:val="center"/>
              <w:rPr>
                <w:rFonts w:hint="eastAsia" w:ascii="宋体" w:hAnsi="宋体"/>
                <w:b/>
                <w:color w:val="000000"/>
                <w:sz w:val="24"/>
              </w:rPr>
            </w:pPr>
            <w:r>
              <w:rPr>
                <w:rFonts w:hint="eastAsia" w:ascii="宋体" w:hAnsi="宋体"/>
                <w:b/>
                <w:color w:val="000000"/>
                <w:sz w:val="24"/>
              </w:rPr>
              <w:t>资料名称</w:t>
            </w:r>
          </w:p>
        </w:tc>
        <w:tc>
          <w:tcPr>
            <w:tcW w:w="2625" w:type="dxa"/>
            <w:noWrap w:val="0"/>
            <w:vAlign w:val="center"/>
          </w:tcPr>
          <w:p>
            <w:pPr>
              <w:spacing w:line="400" w:lineRule="exact"/>
              <w:jc w:val="center"/>
              <w:rPr>
                <w:rFonts w:hint="eastAsia" w:ascii="宋体" w:hAnsi="宋体"/>
                <w:b/>
                <w:color w:val="000000"/>
                <w:sz w:val="24"/>
              </w:rPr>
            </w:pPr>
            <w:r>
              <w:rPr>
                <w:rFonts w:hint="eastAsia" w:ascii="宋体" w:hAnsi="宋体"/>
                <w:b/>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一</w:t>
            </w:r>
          </w:p>
        </w:tc>
        <w:tc>
          <w:tcPr>
            <w:tcW w:w="5376" w:type="dxa"/>
            <w:noWrap w:val="0"/>
            <w:vAlign w:val="center"/>
          </w:tcPr>
          <w:p>
            <w:pPr>
              <w:rPr>
                <w:rFonts w:hint="eastAsia"/>
                <w:color w:val="000000"/>
                <w:u w:val="single"/>
              </w:rPr>
            </w:pPr>
            <w:r>
              <w:rPr>
                <w:rFonts w:hint="eastAsia"/>
                <w:bCs/>
                <w:color w:val="000000"/>
                <w:sz w:val="24"/>
              </w:rPr>
              <w:t>投标函</w:t>
            </w:r>
          </w:p>
        </w:tc>
        <w:tc>
          <w:tcPr>
            <w:tcW w:w="2625" w:type="dxa"/>
            <w:noWrap w:val="0"/>
            <w:vAlign w:val="center"/>
          </w:tcPr>
          <w:p>
            <w:pPr>
              <w:spacing w:line="360" w:lineRule="auto"/>
              <w:jc w:val="center"/>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二</w:t>
            </w:r>
          </w:p>
        </w:tc>
        <w:tc>
          <w:tcPr>
            <w:tcW w:w="5376" w:type="dxa"/>
            <w:noWrap w:val="0"/>
            <w:vAlign w:val="center"/>
          </w:tcPr>
          <w:p>
            <w:pPr>
              <w:rPr>
                <w:rFonts w:hint="eastAsia"/>
                <w:bCs/>
                <w:color w:val="000000"/>
                <w:sz w:val="24"/>
              </w:rPr>
            </w:pPr>
            <w:r>
              <w:rPr>
                <w:rFonts w:hint="eastAsia"/>
                <w:color w:val="000000"/>
                <w:sz w:val="24"/>
              </w:rPr>
              <w:t>拟投标人情况综合简介</w:t>
            </w:r>
          </w:p>
        </w:tc>
        <w:tc>
          <w:tcPr>
            <w:tcW w:w="2625" w:type="dxa"/>
            <w:noWrap w:val="0"/>
            <w:vAlign w:val="center"/>
          </w:tcPr>
          <w:p>
            <w:pPr>
              <w:spacing w:line="360" w:lineRule="auto"/>
              <w:jc w:val="center"/>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三</w:t>
            </w:r>
          </w:p>
        </w:tc>
        <w:tc>
          <w:tcPr>
            <w:tcW w:w="5376" w:type="dxa"/>
            <w:noWrap w:val="0"/>
            <w:vAlign w:val="center"/>
          </w:tcPr>
          <w:p>
            <w:pPr>
              <w:rPr>
                <w:rFonts w:hint="eastAsia"/>
                <w:bCs/>
                <w:color w:val="000000"/>
                <w:sz w:val="24"/>
              </w:rPr>
            </w:pPr>
            <w:r>
              <w:rPr>
                <w:rFonts w:hint="eastAsia"/>
                <w:bCs/>
                <w:color w:val="000000"/>
                <w:sz w:val="24"/>
              </w:rPr>
              <w:t>开标一览表</w:t>
            </w:r>
          </w:p>
        </w:tc>
        <w:tc>
          <w:tcPr>
            <w:tcW w:w="2625" w:type="dxa"/>
            <w:noWrap w:val="0"/>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四</w:t>
            </w:r>
          </w:p>
        </w:tc>
        <w:tc>
          <w:tcPr>
            <w:tcW w:w="5376" w:type="dxa"/>
            <w:noWrap w:val="0"/>
            <w:vAlign w:val="center"/>
          </w:tcPr>
          <w:p>
            <w:pPr>
              <w:rPr>
                <w:rFonts w:hint="eastAsia"/>
                <w:bCs/>
                <w:color w:val="000000"/>
                <w:sz w:val="24"/>
              </w:rPr>
            </w:pPr>
            <w:r>
              <w:rPr>
                <w:rFonts w:hint="eastAsia"/>
                <w:color w:val="000000"/>
                <w:sz w:val="24"/>
              </w:rPr>
              <w:t>投标人信用承诺</w:t>
            </w:r>
          </w:p>
        </w:tc>
        <w:tc>
          <w:tcPr>
            <w:tcW w:w="2625" w:type="dxa"/>
            <w:noWrap w:val="0"/>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五</w:t>
            </w:r>
          </w:p>
        </w:tc>
        <w:tc>
          <w:tcPr>
            <w:tcW w:w="5376" w:type="dxa"/>
            <w:noWrap w:val="0"/>
            <w:vAlign w:val="center"/>
          </w:tcPr>
          <w:p>
            <w:pPr>
              <w:pStyle w:val="70"/>
              <w:rPr>
                <w:rFonts w:hint="eastAsia" w:ascii="Times New Roman" w:hAnsi="Times New Roman"/>
                <w:bCs/>
                <w:color w:val="000000"/>
              </w:rPr>
            </w:pPr>
            <w:r>
              <w:rPr>
                <w:rFonts w:hint="eastAsia"/>
                <w:color w:val="000000"/>
                <w:sz w:val="24"/>
              </w:rPr>
              <w:t>投标业绩</w:t>
            </w:r>
          </w:p>
        </w:tc>
        <w:tc>
          <w:tcPr>
            <w:tcW w:w="2625" w:type="dxa"/>
            <w:noWrap w:val="0"/>
            <w:vAlign w:val="center"/>
          </w:tcPr>
          <w:p>
            <w:pP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六</w:t>
            </w:r>
          </w:p>
        </w:tc>
        <w:tc>
          <w:tcPr>
            <w:tcW w:w="5376" w:type="dxa"/>
            <w:noWrap w:val="0"/>
            <w:vAlign w:val="center"/>
          </w:tcPr>
          <w:p>
            <w:pPr>
              <w:rPr>
                <w:rFonts w:hint="eastAsia"/>
                <w:color w:val="000000"/>
                <w:sz w:val="24"/>
              </w:rPr>
            </w:pPr>
            <w:r>
              <w:rPr>
                <w:rFonts w:hint="eastAsia"/>
                <w:color w:val="000000"/>
                <w:sz w:val="24"/>
              </w:rPr>
              <w:t>拟投标本项目的人员情况</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七</w:t>
            </w:r>
          </w:p>
        </w:tc>
        <w:tc>
          <w:tcPr>
            <w:tcW w:w="5376" w:type="dxa"/>
            <w:noWrap w:val="0"/>
            <w:vAlign w:val="center"/>
          </w:tcPr>
          <w:p>
            <w:pPr>
              <w:rPr>
                <w:rFonts w:hint="eastAsia"/>
                <w:color w:val="000000"/>
                <w:sz w:val="24"/>
              </w:rPr>
            </w:pPr>
            <w:r>
              <w:rPr>
                <w:rFonts w:hint="eastAsia"/>
                <w:color w:val="000000"/>
                <w:sz w:val="24"/>
              </w:rPr>
              <w:t>服务方案</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八</w:t>
            </w:r>
          </w:p>
        </w:tc>
        <w:tc>
          <w:tcPr>
            <w:tcW w:w="5376" w:type="dxa"/>
            <w:noWrap w:val="0"/>
            <w:vAlign w:val="center"/>
          </w:tcPr>
          <w:p>
            <w:pPr>
              <w:rPr>
                <w:rFonts w:hint="eastAsia"/>
                <w:color w:val="000000"/>
                <w:sz w:val="24"/>
              </w:rPr>
            </w:pPr>
            <w:r>
              <w:rPr>
                <w:rFonts w:hint="eastAsia"/>
                <w:color w:val="000000"/>
                <w:sz w:val="24"/>
              </w:rPr>
              <w:t>有关证明文件</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九</w:t>
            </w:r>
          </w:p>
        </w:tc>
        <w:tc>
          <w:tcPr>
            <w:tcW w:w="5376" w:type="dxa"/>
            <w:noWrap w:val="0"/>
            <w:vAlign w:val="center"/>
          </w:tcPr>
          <w:p>
            <w:pPr>
              <w:rPr>
                <w:rFonts w:hint="eastAsia"/>
                <w:color w:val="000000"/>
                <w:sz w:val="24"/>
              </w:rPr>
            </w:pPr>
            <w:r>
              <w:rPr>
                <w:color w:val="000000"/>
                <w:sz w:val="24"/>
              </w:rPr>
              <w:t>投标授权书</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r>
              <w:rPr>
                <w:rFonts w:hint="eastAsia"/>
                <w:color w:val="000000"/>
                <w:sz w:val="24"/>
              </w:rPr>
              <w:t>十</w:t>
            </w:r>
          </w:p>
        </w:tc>
        <w:tc>
          <w:tcPr>
            <w:tcW w:w="5376" w:type="dxa"/>
            <w:noWrap w:val="0"/>
            <w:vAlign w:val="center"/>
          </w:tcPr>
          <w:p>
            <w:pPr>
              <w:rPr>
                <w:color w:val="000000"/>
                <w:sz w:val="24"/>
              </w:rPr>
            </w:pPr>
            <w:r>
              <w:rPr>
                <w:rFonts w:hint="eastAsia"/>
                <w:color w:val="000000"/>
                <w:sz w:val="24"/>
              </w:rPr>
              <w:t>投标人认为需提供的其他资料</w:t>
            </w: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360" w:lineRule="auto"/>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rFonts w:hint="eastAsia"/>
                <w:color w:val="000000"/>
                <w:sz w:val="24"/>
              </w:rPr>
            </w:pPr>
          </w:p>
        </w:tc>
        <w:tc>
          <w:tcPr>
            <w:tcW w:w="2625" w:type="dxa"/>
            <w:noWrap w:val="0"/>
            <w:vAlign w:val="center"/>
          </w:tcPr>
          <w:p>
            <w:pPr>
              <w:spacing w:line="500" w:lineRule="exact"/>
              <w:rPr>
                <w:rFonts w:hint="eastAsia" w:ascii="宋体" w:hAnsi="宋体"/>
                <w:color w:val="000000"/>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pPr>
              <w:jc w:val="center"/>
              <w:rPr>
                <w:rFonts w:hint="eastAsia"/>
                <w:color w:val="000000"/>
                <w:sz w:val="24"/>
              </w:rPr>
            </w:pPr>
          </w:p>
        </w:tc>
        <w:tc>
          <w:tcPr>
            <w:tcW w:w="5376" w:type="dxa"/>
            <w:noWrap w:val="0"/>
            <w:vAlign w:val="center"/>
          </w:tcPr>
          <w:p>
            <w:pPr>
              <w:rPr>
                <w:color w:val="000000"/>
                <w:sz w:val="24"/>
              </w:rPr>
            </w:pPr>
          </w:p>
        </w:tc>
        <w:tc>
          <w:tcPr>
            <w:tcW w:w="2625" w:type="dxa"/>
            <w:noWrap w:val="0"/>
            <w:vAlign w:val="center"/>
          </w:tcPr>
          <w:p>
            <w:pPr>
              <w:spacing w:line="500" w:lineRule="exact"/>
              <w:rPr>
                <w:rFonts w:hint="eastAsia" w:ascii="宋体" w:hAnsi="宋体"/>
                <w:b/>
                <w:color w:val="000000"/>
                <w:sz w:val="28"/>
              </w:rPr>
            </w:pPr>
          </w:p>
        </w:tc>
      </w:tr>
    </w:tbl>
    <w:p>
      <w:pPr>
        <w:rPr>
          <w:rFonts w:hint="eastAsia"/>
          <w:color w:val="000000"/>
        </w:rPr>
      </w:pPr>
      <w:bookmarkStart w:id="79" w:name="_Toc197934561"/>
    </w:p>
    <w:p>
      <w:pPr>
        <w:rPr>
          <w:rFonts w:hint="eastAsia"/>
          <w:color w:val="000000"/>
        </w:rPr>
      </w:pPr>
      <w:bookmarkStart w:id="80" w:name="_Toc471736407"/>
    </w:p>
    <w:p>
      <w:pPr>
        <w:rPr>
          <w:rFonts w:hint="eastAsia"/>
          <w:color w:val="000000"/>
        </w:rPr>
      </w:pPr>
    </w:p>
    <w:p>
      <w:pPr>
        <w:rPr>
          <w:rFonts w:hint="eastAsia"/>
          <w:color w:val="000000"/>
        </w:rPr>
      </w:pPr>
    </w:p>
    <w:p>
      <w:pPr>
        <w:pStyle w:val="4"/>
        <w:rPr>
          <w:rFonts w:hint="eastAsia" w:hAnsi="宋体"/>
          <w:color w:val="000000"/>
          <w:sz w:val="28"/>
        </w:rPr>
      </w:pPr>
      <w:bookmarkStart w:id="81" w:name="_Toc516969098"/>
      <w:bookmarkStart w:id="82" w:name="_Toc97880112"/>
      <w:bookmarkStart w:id="83" w:name="_Toc471736410"/>
      <w:r>
        <w:rPr>
          <w:rFonts w:hint="eastAsia" w:hAnsi="宋体"/>
          <w:color w:val="000000"/>
          <w:sz w:val="28"/>
        </w:rPr>
        <w:t>一．投标函</w:t>
      </w:r>
      <w:bookmarkEnd w:id="81"/>
      <w:bookmarkEnd w:id="82"/>
      <w:bookmarkEnd w:id="83"/>
    </w:p>
    <w:p>
      <w:pPr>
        <w:spacing w:line="360" w:lineRule="auto"/>
        <w:rPr>
          <w:rFonts w:ascii="宋体" w:hAnsi="宋体"/>
          <w:color w:val="000000"/>
          <w:sz w:val="24"/>
        </w:rPr>
      </w:pPr>
      <w:r>
        <w:rPr>
          <w:rFonts w:hint="eastAsia" w:ascii="宋体" w:hAnsi="宋体"/>
          <w:color w:val="000000"/>
          <w:sz w:val="24"/>
        </w:rPr>
        <w:t>致：</w:t>
      </w:r>
      <w:r>
        <w:rPr>
          <w:rFonts w:hint="eastAsia" w:ascii="宋体" w:hAnsi="宋体"/>
          <w:color w:val="000000"/>
          <w:sz w:val="24"/>
          <w:lang w:val="en-US" w:eastAsia="zh-CN"/>
        </w:rPr>
        <w:t>合肥体育产业投资</w:t>
      </w:r>
      <w:r>
        <w:rPr>
          <w:rFonts w:hint="eastAsia" w:ascii="宋体" w:hAnsi="宋体"/>
          <w:color w:val="000000"/>
          <w:sz w:val="24"/>
        </w:rPr>
        <w:t>有限公司</w:t>
      </w:r>
    </w:p>
    <w:p>
      <w:pPr>
        <w:spacing w:line="360" w:lineRule="auto"/>
        <w:ind w:left="101" w:leftChars="48" w:firstLine="480" w:firstLineChars="200"/>
        <w:jc w:val="left"/>
        <w:rPr>
          <w:rFonts w:hint="eastAsia" w:ascii="宋体" w:hAnsi="宋体"/>
          <w:dstrike/>
          <w:color w:val="000000"/>
          <w:sz w:val="24"/>
        </w:rPr>
      </w:pPr>
      <w:r>
        <w:rPr>
          <w:rFonts w:hint="eastAsia" w:ascii="宋体" w:hAnsi="宋体"/>
          <w:color w:val="000000"/>
          <w:sz w:val="24"/>
        </w:rPr>
        <w:t>根据贵方“</w:t>
      </w:r>
      <w:r>
        <w:rPr>
          <w:rFonts w:hint="eastAsia" w:ascii="宋体" w:hAnsi="宋体"/>
          <w:b/>
          <w:bCs/>
          <w:color w:val="000000"/>
          <w:sz w:val="24"/>
          <w:u w:val="single"/>
        </w:rPr>
        <w:t xml:space="preserve">                   项目</w:t>
      </w:r>
      <w:r>
        <w:rPr>
          <w:rFonts w:hint="eastAsia" w:ascii="宋体" w:hAnsi="宋体"/>
          <w:color w:val="000000"/>
          <w:sz w:val="24"/>
        </w:rPr>
        <w:t>”的第</w:t>
      </w:r>
      <w:r>
        <w:rPr>
          <w:rFonts w:hint="eastAsia" w:ascii="宋体" w:hAnsi="宋体"/>
          <w:b/>
          <w:color w:val="000000"/>
          <w:kern w:val="0"/>
          <w:sz w:val="24"/>
          <w:u w:val="single"/>
          <w:lang w:val="zh-CN"/>
        </w:rPr>
        <w:t xml:space="preserve">                </w:t>
      </w:r>
      <w:r>
        <w:rPr>
          <w:rFonts w:hint="eastAsia" w:ascii="宋体" w:hAnsi="宋体"/>
          <w:color w:val="000000"/>
          <w:sz w:val="24"/>
        </w:rPr>
        <w:t>号招标邀请书，正式授权</w:t>
      </w:r>
      <w:r>
        <w:rPr>
          <w:rFonts w:hint="eastAsia" w:ascii="宋体" w:hAnsi="宋体"/>
          <w:color w:val="000000"/>
          <w:sz w:val="24"/>
          <w:u w:val="single"/>
        </w:rPr>
        <w:t xml:space="preserve">                   　</w:t>
      </w:r>
      <w:r>
        <w:rPr>
          <w:rFonts w:hint="eastAsia" w:ascii="宋体" w:hAnsi="宋体"/>
          <w:color w:val="000000"/>
          <w:sz w:val="24"/>
        </w:rPr>
        <w:t>（姓名、身份证号）代表投标人</w:t>
      </w:r>
      <w:r>
        <w:rPr>
          <w:rFonts w:hint="eastAsia" w:ascii="宋体" w:hAnsi="宋体"/>
          <w:color w:val="000000"/>
          <w:sz w:val="24"/>
          <w:u w:val="single"/>
        </w:rPr>
        <w:t xml:space="preserve">        　   </w:t>
      </w:r>
      <w:r>
        <w:rPr>
          <w:rFonts w:hint="eastAsia" w:ascii="宋体" w:hAnsi="宋体"/>
          <w:color w:val="000000"/>
          <w:sz w:val="24"/>
        </w:rPr>
        <w:t>（投标人全称），提交规定形式的投标文件。</w:t>
      </w:r>
    </w:p>
    <w:p>
      <w:pPr>
        <w:spacing w:line="360" w:lineRule="auto"/>
        <w:ind w:firstLine="480" w:firstLineChars="200"/>
        <w:rPr>
          <w:rFonts w:hint="eastAsia" w:ascii="宋体" w:hAnsi="宋体"/>
          <w:color w:val="000000"/>
          <w:sz w:val="24"/>
        </w:rPr>
      </w:pPr>
      <w:r>
        <w:rPr>
          <w:rFonts w:hint="eastAsia" w:ascii="宋体" w:hAnsi="宋体"/>
          <w:color w:val="000000"/>
          <w:sz w:val="24"/>
        </w:rPr>
        <w:t>据此函，我方兹宣布同意如下：</w:t>
      </w:r>
    </w:p>
    <w:p>
      <w:pPr>
        <w:spacing w:line="360" w:lineRule="auto"/>
        <w:ind w:firstLine="628" w:firstLineChars="262"/>
        <w:rPr>
          <w:rFonts w:hint="eastAsia" w:ascii="宋体" w:hAnsi="宋体"/>
          <w:color w:val="000000"/>
          <w:sz w:val="24"/>
        </w:rPr>
      </w:pPr>
      <w:r>
        <w:rPr>
          <w:rFonts w:hint="eastAsia" w:ascii="宋体" w:hAnsi="宋体"/>
          <w:color w:val="000000"/>
          <w:sz w:val="24"/>
        </w:rPr>
        <w:t>（1）我方按招标文件规定提供服务的最终投标报价详见开标一览表，我方完全响应招标文件规定的服务期限及付款方式。如我公司中标，我公司承诺愿意按招标文件规定交纳履约保证金。</w:t>
      </w:r>
    </w:p>
    <w:p>
      <w:pPr>
        <w:spacing w:line="360" w:lineRule="auto"/>
        <w:ind w:firstLine="630"/>
        <w:rPr>
          <w:rFonts w:hint="eastAsia" w:ascii="宋体" w:hAnsi="宋体"/>
          <w:color w:val="000000"/>
          <w:sz w:val="24"/>
        </w:rPr>
      </w:pPr>
      <w:r>
        <w:rPr>
          <w:rFonts w:hint="eastAsia" w:ascii="宋体" w:hAnsi="宋体"/>
          <w:color w:val="000000"/>
          <w:sz w:val="24"/>
        </w:rPr>
        <w:t>（2）我方根据招标文件的规定，严格履行合同的责任和义务</w:t>
      </w:r>
      <w:r>
        <w:rPr>
          <w:rFonts w:ascii="宋体" w:hAnsi="宋体"/>
          <w:color w:val="000000"/>
          <w:sz w:val="24"/>
        </w:rPr>
        <w:t>,</w:t>
      </w:r>
      <w:r>
        <w:rPr>
          <w:rFonts w:hint="eastAsia" w:ascii="宋体" w:hAnsi="宋体"/>
          <w:color w:val="000000"/>
          <w:sz w:val="24"/>
        </w:rPr>
        <w:t>并保证于买方要求的日期内完成服务，并通过买方验收。</w:t>
      </w:r>
    </w:p>
    <w:p>
      <w:pPr>
        <w:spacing w:line="360" w:lineRule="auto"/>
        <w:ind w:firstLine="630"/>
        <w:rPr>
          <w:rFonts w:hint="eastAsia" w:ascii="宋体" w:hAnsi="宋体"/>
          <w:color w:val="000000"/>
          <w:sz w:val="24"/>
        </w:rPr>
      </w:pPr>
      <w:r>
        <w:rPr>
          <w:rFonts w:hint="eastAsia" w:ascii="宋体" w:hAnsi="宋体"/>
          <w:color w:val="000000"/>
          <w:sz w:val="24"/>
        </w:rPr>
        <w:t>（3）我方承诺报价低于</w:t>
      </w:r>
      <w:r>
        <w:rPr>
          <w:rFonts w:ascii="宋体" w:hAnsi="宋体"/>
          <w:color w:val="000000"/>
          <w:sz w:val="24"/>
        </w:rPr>
        <w:t>同类服务的市场平均价格。</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（5）我方同意从招标文件规定的开标日期起遵循本投标文件，并在招标文件规定的投标有效期之前均具有约束力。</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（6）我方声明投标文件所提供的一切资料均真实无误、及时、有效。企业运营正常（</w:t>
      </w:r>
      <w:r>
        <w:rPr>
          <w:rFonts w:ascii="宋体" w:hAnsi="宋体"/>
          <w:color w:val="000000"/>
          <w:sz w:val="24"/>
        </w:rPr>
        <w:t>注册登记信息、年报信息</w:t>
      </w:r>
      <w:r>
        <w:rPr>
          <w:rFonts w:hint="eastAsia" w:ascii="宋体" w:hAnsi="宋体"/>
          <w:color w:val="000000"/>
          <w:sz w:val="24"/>
        </w:rPr>
        <w:t>可查）。由于我方提供资料不实而造成的责任和后果由我方承担。我方同意按照贵方提出的要求，提供与投标有关的任何证据、数据或资料。</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（7）我方完全理解贵方不一定接受最低报价的投标。</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（8）我方承诺若中标，按招标文件要求提供本地化服务。</w:t>
      </w:r>
    </w:p>
    <w:p>
      <w:pPr>
        <w:spacing w:line="360" w:lineRule="auto"/>
        <w:ind w:left="101" w:leftChars="48" w:firstLine="480" w:firstLineChars="200"/>
        <w:jc w:val="left"/>
        <w:rPr>
          <w:rFonts w:hint="eastAsia" w:ascii="宋体" w:hAnsi="宋体"/>
          <w:color w:val="000000"/>
          <w:sz w:val="24"/>
        </w:rPr>
      </w:pPr>
      <w:r>
        <w:rPr>
          <w:rFonts w:hint="eastAsia" w:ascii="宋体" w:hAnsi="宋体"/>
          <w:color w:val="000000"/>
          <w:sz w:val="24"/>
        </w:rPr>
        <w:t>（9）我方同意招标文件规定的付款方式。</w:t>
      </w:r>
    </w:p>
    <w:p>
      <w:pPr>
        <w:spacing w:line="360" w:lineRule="auto"/>
        <w:ind w:firstLine="630"/>
        <w:rPr>
          <w:rFonts w:hint="eastAsia" w:ascii="宋体" w:hAnsi="宋体"/>
          <w:color w:val="000000"/>
          <w:sz w:val="24"/>
          <w:u w:val="single"/>
        </w:rPr>
      </w:pPr>
      <w:r>
        <w:rPr>
          <w:rFonts w:hint="eastAsia" w:ascii="宋体" w:hAnsi="宋体"/>
          <w:color w:val="000000"/>
          <w:sz w:val="24"/>
        </w:rPr>
        <w:t>（10）与本投标有关的通讯地址：</w:t>
      </w:r>
      <w:r>
        <w:rPr>
          <w:rFonts w:hint="eastAsia" w:ascii="宋体" w:hAnsi="宋体"/>
          <w:color w:val="000000"/>
          <w:sz w:val="24"/>
          <w:u w:val="single"/>
        </w:rPr>
        <w:t xml:space="preserve">                                  </w:t>
      </w:r>
    </w:p>
    <w:p>
      <w:pPr>
        <w:spacing w:line="360" w:lineRule="auto"/>
        <w:ind w:firstLine="630"/>
        <w:rPr>
          <w:rFonts w:hint="eastAsia" w:ascii="宋体" w:hAnsi="宋体"/>
          <w:color w:val="000000"/>
          <w:sz w:val="24"/>
          <w:u w:val="single"/>
        </w:rPr>
      </w:pPr>
      <w:r>
        <w:rPr>
          <w:rFonts w:hint="eastAsia" w:ascii="宋体" w:hAnsi="宋体"/>
          <w:color w:val="000000"/>
          <w:sz w:val="24"/>
        </w:rPr>
        <w:t>电    话：</w:t>
      </w:r>
      <w:r>
        <w:rPr>
          <w:rFonts w:hint="eastAsia" w:ascii="宋体" w:hAnsi="宋体"/>
          <w:color w:val="000000"/>
          <w:sz w:val="24"/>
          <w:u w:val="single"/>
        </w:rPr>
        <w:t xml:space="preserve">                      </w:t>
      </w:r>
      <w:r>
        <w:rPr>
          <w:rFonts w:hint="eastAsia" w:ascii="宋体" w:hAnsi="宋体"/>
          <w:color w:val="000000"/>
          <w:sz w:val="24"/>
        </w:rPr>
        <w:t>传    真：</w:t>
      </w:r>
      <w:r>
        <w:rPr>
          <w:rFonts w:hint="eastAsia" w:ascii="宋体" w:hAnsi="宋体"/>
          <w:color w:val="000000"/>
          <w:sz w:val="24"/>
          <w:u w:val="single"/>
        </w:rPr>
        <w:t xml:space="preserve">                 </w:t>
      </w:r>
    </w:p>
    <w:p>
      <w:pPr>
        <w:spacing w:line="360" w:lineRule="auto"/>
        <w:ind w:firstLine="630"/>
        <w:rPr>
          <w:rFonts w:hint="eastAsia" w:ascii="宋体" w:hAnsi="宋体"/>
          <w:color w:val="000000"/>
          <w:sz w:val="24"/>
        </w:rPr>
      </w:pPr>
      <w:r>
        <w:rPr>
          <w:rFonts w:hint="eastAsia" w:ascii="宋体" w:hAnsi="宋体"/>
          <w:color w:val="000000"/>
          <w:sz w:val="24"/>
        </w:rPr>
        <w:t>投标人基本账户开户名：</w:t>
      </w:r>
      <w:r>
        <w:rPr>
          <w:rFonts w:hint="eastAsia" w:ascii="宋体" w:hAnsi="宋体"/>
          <w:color w:val="000000"/>
          <w:sz w:val="24"/>
          <w:u w:val="single"/>
        </w:rPr>
        <w:t xml:space="preserve">           </w:t>
      </w:r>
      <w:r>
        <w:rPr>
          <w:rFonts w:hint="eastAsia" w:ascii="宋体" w:hAnsi="宋体"/>
          <w:color w:val="000000"/>
          <w:sz w:val="24"/>
        </w:rPr>
        <w:t xml:space="preserve"> 账号：</w:t>
      </w:r>
      <w:r>
        <w:rPr>
          <w:rFonts w:hint="eastAsia" w:ascii="宋体" w:hAnsi="宋体"/>
          <w:color w:val="000000"/>
          <w:sz w:val="24"/>
          <w:u w:val="single"/>
        </w:rPr>
        <w:t xml:space="preserve">            </w:t>
      </w:r>
      <w:r>
        <w:rPr>
          <w:rFonts w:hint="eastAsia" w:ascii="宋体" w:hAnsi="宋体"/>
          <w:color w:val="000000"/>
          <w:sz w:val="24"/>
        </w:rPr>
        <w:t xml:space="preserve"> 开户行：</w:t>
      </w:r>
      <w:r>
        <w:rPr>
          <w:rFonts w:hint="eastAsia" w:ascii="宋体" w:hAnsi="宋体"/>
          <w:color w:val="000000"/>
          <w:sz w:val="24"/>
          <w:u w:val="single"/>
        </w:rPr>
        <w:t xml:space="preserve">            </w:t>
      </w:r>
    </w:p>
    <w:p>
      <w:pPr>
        <w:spacing w:line="360" w:lineRule="auto"/>
        <w:ind w:firstLine="630"/>
        <w:rPr>
          <w:rFonts w:hint="eastAsia" w:ascii="宋体" w:hAnsi="宋体"/>
          <w:color w:val="000000"/>
          <w:sz w:val="24"/>
        </w:rPr>
      </w:pPr>
      <w:r>
        <w:rPr>
          <w:rFonts w:hint="eastAsia" w:ascii="宋体" w:hAnsi="宋体"/>
          <w:color w:val="000000"/>
          <w:sz w:val="24"/>
        </w:rPr>
        <w:t xml:space="preserve">投标人章： </w:t>
      </w:r>
      <w:r>
        <w:rPr>
          <w:rFonts w:hint="eastAsia" w:ascii="宋体" w:hAnsi="宋体"/>
          <w:color w:val="000000"/>
          <w:sz w:val="24"/>
          <w:u w:val="single"/>
        </w:rPr>
        <w:t xml:space="preserve">                     </w:t>
      </w:r>
      <w:r>
        <w:rPr>
          <w:rFonts w:hint="eastAsia" w:ascii="宋体" w:hAnsi="宋体"/>
          <w:color w:val="000000"/>
          <w:sz w:val="24"/>
        </w:rPr>
        <w:t>日    期：</w:t>
      </w:r>
      <w:r>
        <w:rPr>
          <w:rFonts w:hint="eastAsia" w:ascii="宋体" w:hAnsi="宋体"/>
          <w:color w:val="000000"/>
          <w:sz w:val="24"/>
          <w:u w:val="single"/>
        </w:rPr>
        <w:t xml:space="preserve">                     </w:t>
      </w:r>
      <w:r>
        <w:rPr>
          <w:rFonts w:hint="eastAsia" w:ascii="宋体" w:hAnsi="宋体"/>
          <w:color w:val="000000"/>
          <w:sz w:val="24"/>
        </w:rPr>
        <w:t xml:space="preserve"> </w:t>
      </w:r>
      <w:bookmarkStart w:id="84" w:name="_Hlt533408944"/>
      <w:bookmarkEnd w:id="84"/>
      <w:bookmarkStart w:id="85" w:name="_Hlt514495724"/>
      <w:bookmarkEnd w:id="85"/>
    </w:p>
    <w:p>
      <w:pPr>
        <w:widowControl/>
        <w:spacing w:line="360" w:lineRule="auto"/>
        <w:ind w:firstLine="480"/>
        <w:jc w:val="left"/>
        <w:rPr>
          <w:rFonts w:hint="eastAsia" w:ascii="宋体" w:hAnsi="宋体" w:cs="宋体"/>
          <w:color w:val="000000"/>
          <w:kern w:val="0"/>
          <w:sz w:val="24"/>
        </w:rPr>
      </w:pPr>
      <w:r>
        <w:rPr>
          <w:rFonts w:hint="eastAsia" w:ascii="宋体" w:hAnsi="宋体" w:cs="宋体"/>
          <w:color w:val="000000"/>
          <w:kern w:val="0"/>
          <w:sz w:val="24"/>
        </w:rPr>
        <w:t>特此承诺</w:t>
      </w:r>
    </w:p>
    <w:p>
      <w:pPr>
        <w:widowControl/>
        <w:spacing w:line="360" w:lineRule="auto"/>
        <w:ind w:left="840" w:leftChars="400"/>
        <w:jc w:val="left"/>
        <w:rPr>
          <w:rFonts w:hint="eastAsia" w:ascii="宋体" w:hAnsi="宋体" w:cs="宋体"/>
          <w:color w:val="000000"/>
          <w:kern w:val="0"/>
          <w:sz w:val="24"/>
        </w:rPr>
      </w:pP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投标人（公章）：</w:t>
      </w: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企业法人（签字）：</w:t>
      </w: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授权代表（签字）：</w:t>
      </w:r>
    </w:p>
    <w:p>
      <w:pPr>
        <w:widowControl/>
        <w:spacing w:line="360" w:lineRule="auto"/>
        <w:ind w:left="480"/>
        <w:jc w:val="left"/>
        <w:rPr>
          <w:rFonts w:hint="eastAsia" w:ascii="宋体" w:hAnsi="宋体" w:cs="宋体"/>
          <w:color w:val="000000"/>
          <w:kern w:val="0"/>
          <w:sz w:val="24"/>
        </w:rPr>
      </w:pPr>
      <w:r>
        <w:rPr>
          <w:rFonts w:hint="eastAsia" w:ascii="宋体" w:hAnsi="宋体" w:cs="宋体"/>
          <w:color w:val="000000"/>
          <w:kern w:val="0"/>
          <w:sz w:val="24"/>
        </w:rPr>
        <w:t xml:space="preserve">                                            年</w:t>
      </w:r>
      <w:r>
        <w:rPr>
          <w:rFonts w:hint="eastAsia" w:ascii="宋体" w:hAnsi="宋体" w:cs="宋体"/>
          <w:color w:val="000000"/>
          <w:kern w:val="0"/>
          <w:sz w:val="24"/>
          <w:u w:val="single"/>
        </w:rPr>
        <w:t xml:space="preserve">   </w:t>
      </w:r>
      <w:r>
        <w:rPr>
          <w:rFonts w:hint="eastAsia" w:ascii="宋体" w:hAnsi="宋体" w:cs="宋体"/>
          <w:color w:val="000000"/>
          <w:kern w:val="0"/>
          <w:sz w:val="24"/>
        </w:rPr>
        <w:t>月</w:t>
      </w:r>
      <w:r>
        <w:rPr>
          <w:rFonts w:hint="eastAsia" w:ascii="宋体" w:hAnsi="宋体" w:cs="宋体"/>
          <w:color w:val="000000"/>
          <w:kern w:val="0"/>
          <w:sz w:val="24"/>
          <w:u w:val="single"/>
        </w:rPr>
        <w:t xml:space="preserve">   </w:t>
      </w:r>
      <w:r>
        <w:rPr>
          <w:rFonts w:hint="eastAsia" w:ascii="宋体" w:hAnsi="宋体" w:cs="宋体"/>
          <w:color w:val="000000"/>
          <w:kern w:val="0"/>
          <w:sz w:val="24"/>
        </w:rPr>
        <w:t>日</w:t>
      </w:r>
    </w:p>
    <w:p>
      <w:pPr>
        <w:spacing w:line="360" w:lineRule="auto"/>
        <w:rPr>
          <w:rFonts w:hint="eastAsia"/>
          <w:color w:val="000000"/>
        </w:rPr>
      </w:pPr>
    </w:p>
    <w:p>
      <w:pPr>
        <w:spacing w:line="360" w:lineRule="auto"/>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bookmarkEnd w:id="79"/>
    <w:bookmarkEnd w:id="80"/>
    <w:p>
      <w:pPr>
        <w:pStyle w:val="4"/>
        <w:rPr>
          <w:rFonts w:hint="eastAsia" w:hAnsi="宋体"/>
          <w:color w:val="000000"/>
          <w:sz w:val="28"/>
        </w:rPr>
      </w:pPr>
      <w:bookmarkStart w:id="86" w:name="_Toc97880113"/>
      <w:bookmarkStart w:id="87" w:name="_Toc471736409"/>
      <w:bookmarkStart w:id="88" w:name="_Toc516969097"/>
      <w:r>
        <w:rPr>
          <w:rFonts w:hint="eastAsia" w:hAnsi="宋体"/>
          <w:color w:val="000000"/>
          <w:sz w:val="28"/>
        </w:rPr>
        <w:t>二．投标人情况综合简介</w:t>
      </w:r>
      <w:bookmarkEnd w:id="86"/>
      <w:bookmarkEnd w:id="87"/>
      <w:bookmarkEnd w:id="88"/>
    </w:p>
    <w:p>
      <w:pPr>
        <w:spacing w:line="500" w:lineRule="exact"/>
        <w:jc w:val="center"/>
        <w:rPr>
          <w:rFonts w:hint="eastAsia" w:ascii="宋体" w:hAnsi="宋体"/>
          <w:color w:val="000000"/>
          <w:sz w:val="24"/>
        </w:rPr>
      </w:pPr>
      <w:r>
        <w:rPr>
          <w:rFonts w:hint="eastAsia" w:ascii="宋体" w:hAnsi="宋体"/>
          <w:color w:val="000000"/>
          <w:sz w:val="24"/>
        </w:rPr>
        <w:t>(投标人可自行制作格式)</w:t>
      </w: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spacing w:line="500" w:lineRule="exact"/>
        <w:jc w:val="center"/>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12"/>
        <w:ind w:firstLine="480"/>
        <w:rPr>
          <w:rFonts w:hint="eastAsia" w:ascii="宋体" w:hAnsi="宋体"/>
          <w:color w:val="000000"/>
          <w:sz w:val="24"/>
        </w:rPr>
      </w:pPr>
    </w:p>
    <w:p>
      <w:pPr>
        <w:pStyle w:val="4"/>
        <w:jc w:val="center"/>
        <w:rPr>
          <w:rFonts w:hAnsi="宋体"/>
          <w:color w:val="000000"/>
          <w:sz w:val="28"/>
        </w:rPr>
      </w:pPr>
      <w:bookmarkStart w:id="89" w:name="_Toc97880114"/>
      <w:r>
        <w:rPr>
          <w:rFonts w:hint="eastAsia" w:hAnsi="宋体"/>
          <w:color w:val="000000"/>
          <w:sz w:val="28"/>
        </w:rPr>
        <w:t>三．开标一览表</w:t>
      </w:r>
      <w:bookmarkEnd w:id="89"/>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noWrap w:val="0"/>
            <w:vAlign w:val="center"/>
          </w:tcPr>
          <w:p>
            <w:pPr>
              <w:widowControl/>
              <w:spacing w:line="360" w:lineRule="exact"/>
              <w:jc w:val="center"/>
              <w:rPr>
                <w:rFonts w:hint="eastAsia" w:ascii="宋体" w:hAnsi="宋体"/>
                <w:b/>
                <w:color w:val="000000"/>
                <w:sz w:val="24"/>
              </w:rPr>
            </w:pPr>
            <w:r>
              <w:rPr>
                <w:rFonts w:hint="eastAsia" w:ascii="宋体" w:hAnsi="宋体"/>
                <w:b/>
                <w:color w:val="000000"/>
                <w:sz w:val="24"/>
              </w:rPr>
              <w:t>项 目 名 称</w:t>
            </w:r>
          </w:p>
        </w:tc>
        <w:tc>
          <w:tcPr>
            <w:tcW w:w="6667" w:type="dxa"/>
            <w:tcBorders>
              <w:top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bCs/>
                <w:color w:val="00000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pPr>
              <w:spacing w:line="360" w:lineRule="exact"/>
              <w:jc w:val="center"/>
              <w:rPr>
                <w:rFonts w:hint="eastAsia" w:ascii="宋体" w:hAnsi="宋体"/>
                <w:b/>
                <w:color w:val="000000"/>
                <w:sz w:val="24"/>
              </w:rPr>
            </w:pPr>
            <w:r>
              <w:rPr>
                <w:rFonts w:hint="eastAsia" w:ascii="宋体" w:hAnsi="宋体"/>
                <w:b/>
                <w:color w:val="000000"/>
                <w:sz w:val="24"/>
              </w:rPr>
              <w:t>投标人全称</w:t>
            </w:r>
          </w:p>
        </w:tc>
        <w:tc>
          <w:tcPr>
            <w:tcW w:w="6667" w:type="dxa"/>
            <w:tcBorders>
              <w:top w:val="nil"/>
            </w:tcBorders>
            <w:noWrap w:val="0"/>
            <w:vAlign w:val="center"/>
          </w:tcPr>
          <w:p>
            <w:pPr>
              <w:spacing w:line="360" w:lineRule="auto"/>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pPr>
              <w:spacing w:line="360" w:lineRule="exact"/>
              <w:jc w:val="center"/>
              <w:rPr>
                <w:rFonts w:hint="eastAsia" w:ascii="宋体" w:hAnsi="宋体"/>
                <w:b/>
                <w:color w:val="000000"/>
                <w:sz w:val="24"/>
              </w:rPr>
            </w:pPr>
            <w:r>
              <w:rPr>
                <w:rFonts w:hint="eastAsia" w:ascii="宋体" w:hAnsi="宋体"/>
                <w:b/>
                <w:color w:val="000000"/>
                <w:sz w:val="24"/>
              </w:rPr>
              <w:t>投标范围</w:t>
            </w:r>
          </w:p>
        </w:tc>
        <w:tc>
          <w:tcPr>
            <w:tcW w:w="6667" w:type="dxa"/>
            <w:tcBorders>
              <w:top w:val="nil"/>
            </w:tcBorders>
            <w:noWrap w:val="0"/>
            <w:vAlign w:val="center"/>
          </w:tcPr>
          <w:p>
            <w:pPr>
              <w:widowControl/>
              <w:spacing w:line="360" w:lineRule="exact"/>
              <w:rPr>
                <w:rFonts w:hint="eastAsia" w:ascii="宋体" w:hAnsi="宋体"/>
                <w:b/>
                <w:color w:val="000000"/>
                <w:sz w:val="24"/>
              </w:rPr>
            </w:pPr>
            <w:r>
              <w:rPr>
                <w:rFonts w:hint="eastAsia" w:ascii="宋体" w:hAnsi="宋体"/>
                <w:color w:val="000000"/>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noWrap w:val="0"/>
            <w:vAlign w:val="center"/>
          </w:tcPr>
          <w:p>
            <w:pPr>
              <w:spacing w:line="360" w:lineRule="exact"/>
              <w:jc w:val="center"/>
              <w:rPr>
                <w:rFonts w:hint="eastAsia" w:ascii="宋体" w:hAnsi="宋体"/>
                <w:b/>
                <w:color w:val="000000"/>
                <w:sz w:val="24"/>
              </w:rPr>
            </w:pPr>
            <w:r>
              <w:rPr>
                <w:rFonts w:hint="eastAsia" w:ascii="宋体" w:hAnsi="宋体"/>
                <w:b/>
                <w:color w:val="000000"/>
                <w:sz w:val="24"/>
              </w:rPr>
              <w:t>最终投标报价</w:t>
            </w:r>
          </w:p>
          <w:p>
            <w:pPr>
              <w:spacing w:line="360" w:lineRule="exact"/>
              <w:jc w:val="center"/>
              <w:rPr>
                <w:rFonts w:ascii="宋体" w:hAnsi="宋体"/>
                <w:b/>
                <w:color w:val="000000"/>
                <w:sz w:val="24"/>
              </w:rPr>
            </w:pPr>
            <w:r>
              <w:rPr>
                <w:rFonts w:hint="eastAsia" w:ascii="宋体" w:hAnsi="宋体"/>
                <w:b/>
                <w:color w:val="000000"/>
                <w:sz w:val="24"/>
              </w:rPr>
              <w:t>（</w:t>
            </w:r>
            <w:r>
              <w:rPr>
                <w:rFonts w:hint="eastAsia" w:ascii="宋体" w:hAnsi="宋体"/>
                <w:b/>
                <w:color w:val="000000"/>
                <w:sz w:val="24"/>
                <w:lang w:val="en-US" w:eastAsia="zh-CN"/>
              </w:rPr>
              <w:t>费率</w:t>
            </w:r>
            <w:r>
              <w:rPr>
                <w:rFonts w:hint="eastAsia" w:ascii="宋体" w:hAnsi="宋体"/>
                <w:b/>
                <w:color w:val="000000"/>
                <w:sz w:val="24"/>
              </w:rPr>
              <w:t>）</w:t>
            </w:r>
          </w:p>
        </w:tc>
        <w:tc>
          <w:tcPr>
            <w:tcW w:w="6667" w:type="dxa"/>
            <w:tcBorders>
              <w:top w:val="nil"/>
            </w:tcBorders>
            <w:noWrap w:val="0"/>
            <w:vAlign w:val="center"/>
          </w:tcPr>
          <w:p>
            <w:pPr>
              <w:spacing w:line="360" w:lineRule="auto"/>
              <w:ind w:right="-670"/>
              <w:rPr>
                <w:rFonts w:hint="eastAsia" w:ascii="宋体" w:hAnsi="宋体"/>
                <w:color w:val="000000"/>
                <w:sz w:val="24"/>
              </w:rPr>
            </w:pPr>
          </w:p>
          <w:p>
            <w:pPr>
              <w:spacing w:line="360" w:lineRule="auto"/>
              <w:ind w:right="-670"/>
              <w:rPr>
                <w:rFonts w:hint="eastAsia"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noWrap w:val="0"/>
            <w:vAlign w:val="center"/>
          </w:tcPr>
          <w:p>
            <w:pPr>
              <w:spacing w:line="360" w:lineRule="auto"/>
              <w:jc w:val="center"/>
              <w:rPr>
                <w:rFonts w:ascii="宋体" w:hAnsi="宋体"/>
                <w:b/>
                <w:color w:val="000000"/>
                <w:sz w:val="24"/>
              </w:rPr>
            </w:pPr>
            <w:r>
              <w:rPr>
                <w:rFonts w:hint="eastAsia" w:ascii="宋体" w:hAnsi="宋体"/>
                <w:b/>
                <w:color w:val="000000"/>
                <w:sz w:val="24"/>
              </w:rPr>
              <w:t>备注</w:t>
            </w:r>
          </w:p>
        </w:tc>
        <w:tc>
          <w:tcPr>
            <w:tcW w:w="6667" w:type="dxa"/>
            <w:tcBorders>
              <w:top w:val="nil"/>
            </w:tcBorders>
            <w:noWrap w:val="0"/>
            <w:vAlign w:val="center"/>
          </w:tcPr>
          <w:p>
            <w:pPr>
              <w:spacing w:line="360" w:lineRule="auto"/>
              <w:jc w:val="left"/>
              <w:rPr>
                <w:rFonts w:hint="eastAsia" w:ascii="宋体" w:hAnsi="宋体"/>
                <w:color w:val="000000"/>
                <w:sz w:val="24"/>
                <w:szCs w:val="28"/>
              </w:rPr>
            </w:pPr>
          </w:p>
        </w:tc>
      </w:tr>
    </w:tbl>
    <w:p>
      <w:pPr>
        <w:spacing w:before="100" w:beforeAutospacing="1" w:after="100" w:afterAutospacing="1" w:line="360" w:lineRule="auto"/>
        <w:rPr>
          <w:rFonts w:hint="eastAsia" w:ascii="宋体" w:hAnsi="宋体"/>
          <w:b/>
          <w:color w:val="000000"/>
          <w:sz w:val="24"/>
        </w:rPr>
      </w:pPr>
      <w:r>
        <w:rPr>
          <w:rFonts w:hint="eastAsia" w:ascii="宋体" w:hAnsi="宋体"/>
          <w:b/>
          <w:color w:val="000000"/>
          <w:sz w:val="24"/>
        </w:rPr>
        <w:t xml:space="preserve">投标人(公章)：                                           </w:t>
      </w:r>
    </w:p>
    <w:p>
      <w:pPr>
        <w:spacing w:line="360" w:lineRule="auto"/>
        <w:rPr>
          <w:rFonts w:hint="eastAsia" w:ascii="宋体" w:hAnsi="宋体"/>
          <w:b/>
          <w:color w:val="000000"/>
          <w:sz w:val="24"/>
        </w:rPr>
      </w:pPr>
      <w:r>
        <w:rPr>
          <w:rFonts w:hint="eastAsia" w:ascii="宋体" w:hAnsi="宋体"/>
          <w:b/>
          <w:color w:val="000000"/>
          <w:sz w:val="24"/>
        </w:rPr>
        <w:t>备注：表中最终投标报价即为优惠后报价，并作为评审及定标依据。任何有选择或有条件的最终投标报价，超过项目概算或者表中某一标段填写多个报价，均为无效报价。</w:t>
      </w: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pStyle w:val="4"/>
        <w:rPr>
          <w:rFonts w:hAnsi="宋体"/>
          <w:color w:val="000000"/>
          <w:sz w:val="28"/>
        </w:rPr>
      </w:pPr>
      <w:bookmarkStart w:id="90" w:name="_Toc29288"/>
      <w:bookmarkStart w:id="91" w:name="_Toc528276345"/>
      <w:bookmarkStart w:id="92" w:name="_Toc220232409"/>
      <w:bookmarkStart w:id="93" w:name="_Toc471736413"/>
      <w:bookmarkStart w:id="94" w:name="_Toc20723"/>
      <w:bookmarkStart w:id="95" w:name="_Toc536542358"/>
      <w:bookmarkStart w:id="96" w:name="_Toc27108"/>
      <w:bookmarkStart w:id="97" w:name="_Toc36563030"/>
      <w:r>
        <w:rPr>
          <w:rFonts w:hint="eastAsia" w:ascii="宋体" w:hAnsi="宋体"/>
          <w:b/>
          <w:bCs/>
          <w:color w:val="000000"/>
          <w:sz w:val="28"/>
          <w:szCs w:val="32"/>
        </w:rPr>
        <w:t>四．</w:t>
      </w:r>
      <w:bookmarkEnd w:id="90"/>
      <w:bookmarkEnd w:id="91"/>
      <w:bookmarkEnd w:id="92"/>
      <w:bookmarkEnd w:id="93"/>
      <w:bookmarkEnd w:id="94"/>
      <w:bookmarkEnd w:id="95"/>
      <w:bookmarkEnd w:id="96"/>
      <w:bookmarkEnd w:id="97"/>
      <w:bookmarkStart w:id="98" w:name="_Toc97880115"/>
      <w:bookmarkStart w:id="99" w:name="_Toc461103234"/>
      <w:bookmarkStart w:id="100" w:name="_Toc471736411"/>
      <w:bookmarkStart w:id="101" w:name="_Toc197934563"/>
      <w:r>
        <w:rPr>
          <w:rFonts w:hint="eastAsia" w:hAnsi="宋体"/>
          <w:color w:val="000000"/>
          <w:sz w:val="28"/>
        </w:rPr>
        <w:t>投标人信用承诺</w:t>
      </w:r>
      <w:bookmarkEnd w:id="98"/>
      <w:bookmarkEnd w:id="99"/>
      <w:bookmarkEnd w:id="100"/>
    </w:p>
    <w:p>
      <w:pPr>
        <w:spacing w:line="360" w:lineRule="auto"/>
        <w:ind w:firstLine="630"/>
        <w:rPr>
          <w:rFonts w:ascii="宋体" w:hAnsi="宋体"/>
          <w:color w:val="000000"/>
          <w:sz w:val="24"/>
        </w:rPr>
      </w:pPr>
      <w:r>
        <w:rPr>
          <w:rFonts w:hint="eastAsia" w:ascii="宋体" w:hAnsi="宋体"/>
          <w:color w:val="000000"/>
          <w:sz w:val="24"/>
        </w:rPr>
        <w:t>我公司申明，我公司无以下不良信用记录情形：</w:t>
      </w:r>
    </w:p>
    <w:p>
      <w:pPr>
        <w:spacing w:line="360" w:lineRule="auto"/>
        <w:ind w:firstLine="630"/>
        <w:rPr>
          <w:rFonts w:ascii="宋体" w:hAnsi="宋体"/>
          <w:color w:val="000000"/>
          <w:sz w:val="24"/>
        </w:rPr>
      </w:pPr>
      <w:r>
        <w:rPr>
          <w:rFonts w:hint="eastAsia" w:ascii="宋体" w:hAnsi="宋体"/>
          <w:color w:val="000000"/>
          <w:sz w:val="24"/>
        </w:rPr>
        <w:t>1.公司被人民法院列入失信被执行人；</w:t>
      </w:r>
    </w:p>
    <w:p>
      <w:pPr>
        <w:spacing w:line="360" w:lineRule="auto"/>
        <w:ind w:firstLine="630"/>
        <w:rPr>
          <w:rFonts w:ascii="宋体" w:hAnsi="宋体"/>
          <w:color w:val="000000"/>
          <w:sz w:val="24"/>
        </w:rPr>
      </w:pPr>
      <w:r>
        <w:rPr>
          <w:rFonts w:hint="eastAsia" w:ascii="宋体" w:hAnsi="宋体"/>
          <w:color w:val="000000"/>
          <w:sz w:val="24"/>
        </w:rPr>
        <w:t>2.公司、公司法定代表人被人民检察院列入行贿犯罪档案；</w:t>
      </w:r>
    </w:p>
    <w:p>
      <w:pPr>
        <w:spacing w:line="360" w:lineRule="auto"/>
        <w:ind w:firstLine="630"/>
        <w:rPr>
          <w:rFonts w:ascii="宋体" w:hAnsi="宋体"/>
          <w:color w:val="000000"/>
          <w:sz w:val="24"/>
        </w:rPr>
      </w:pPr>
      <w:r>
        <w:rPr>
          <w:rFonts w:hint="eastAsia" w:ascii="宋体" w:hAnsi="宋体"/>
          <w:color w:val="000000"/>
          <w:sz w:val="24"/>
        </w:rPr>
        <w:t>3.公司被工商行政管理部门列入企业经营异常名录；</w:t>
      </w:r>
    </w:p>
    <w:p>
      <w:pPr>
        <w:spacing w:line="360" w:lineRule="auto"/>
        <w:ind w:firstLine="630"/>
        <w:rPr>
          <w:rFonts w:hint="eastAsia" w:ascii="宋体" w:hAnsi="宋体"/>
          <w:color w:val="000000"/>
          <w:sz w:val="24"/>
        </w:rPr>
      </w:pPr>
      <w:r>
        <w:rPr>
          <w:rFonts w:hint="eastAsia" w:ascii="宋体" w:hAnsi="宋体"/>
          <w:color w:val="000000"/>
          <w:sz w:val="24"/>
        </w:rPr>
        <w:t>4.公司被税务部门列入重大税收违法案件当事人名单的；</w:t>
      </w:r>
    </w:p>
    <w:p>
      <w:pPr>
        <w:spacing w:line="360" w:lineRule="auto"/>
        <w:ind w:firstLine="630"/>
        <w:rPr>
          <w:rFonts w:ascii="宋体" w:hAnsi="宋体"/>
          <w:color w:val="000000"/>
          <w:sz w:val="24"/>
        </w:rPr>
      </w:pPr>
      <w:r>
        <w:rPr>
          <w:rFonts w:hint="eastAsia" w:ascii="宋体" w:hAnsi="宋体"/>
          <w:color w:val="000000"/>
          <w:sz w:val="24"/>
        </w:rPr>
        <w:t>5.</w:t>
      </w:r>
      <w:r>
        <w:rPr>
          <w:rFonts w:hint="eastAsia" w:ascii="宋体" w:hAnsi="宋体"/>
          <w:color w:val="000000"/>
          <w:sz w:val="24"/>
          <w:szCs w:val="24"/>
        </w:rPr>
        <w:t xml:space="preserve"> 参加本次投标活动前三年内，在服务活动中没有重大违法及安全事故记录</w:t>
      </w:r>
      <w:r>
        <w:rPr>
          <w:rFonts w:hint="eastAsia" w:ascii="宋体" w:hAnsi="宋体"/>
          <w:color w:val="000000"/>
          <w:sz w:val="24"/>
        </w:rPr>
        <w:t>。</w:t>
      </w:r>
    </w:p>
    <w:p>
      <w:pPr>
        <w:spacing w:line="360" w:lineRule="auto"/>
        <w:ind w:firstLine="630"/>
        <w:rPr>
          <w:rFonts w:hint="eastAsia" w:ascii="宋体" w:hAnsi="宋体"/>
          <w:color w:val="000000"/>
          <w:sz w:val="24"/>
        </w:rPr>
      </w:pPr>
      <w:r>
        <w:rPr>
          <w:rFonts w:ascii="宋体" w:hAnsi="宋体"/>
          <w:color w:val="000000"/>
          <w:sz w:val="24"/>
        </w:rPr>
        <w:t>我公司已就上述不良信用行为按照招标文件规定进行了查询，并在投标文件中如实提供查询截图及相关证明。我公司承诺</w:t>
      </w:r>
      <w:r>
        <w:rPr>
          <w:rFonts w:hint="eastAsia" w:ascii="宋体" w:hAnsi="宋体"/>
          <w:color w:val="000000"/>
          <w:sz w:val="24"/>
        </w:rPr>
        <w:t>：</w:t>
      </w:r>
      <w:r>
        <w:rPr>
          <w:rFonts w:ascii="宋体" w:hAnsi="宋体"/>
          <w:color w:val="000000"/>
          <w:sz w:val="24"/>
        </w:rPr>
        <w:t xml:space="preserve">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r>
        <w:rPr>
          <w:rFonts w:hint="eastAsia" w:ascii="宋体" w:hAnsi="宋体"/>
          <w:b/>
          <w:color w:val="000000"/>
          <w:sz w:val="24"/>
        </w:rPr>
        <w:t>投标人（公章）：</w:t>
      </w: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hint="eastAsia" w:ascii="宋体" w:hAnsi="宋体"/>
          <w:b/>
          <w:color w:val="000000"/>
          <w:sz w:val="24"/>
        </w:rPr>
      </w:pPr>
    </w:p>
    <w:p>
      <w:pPr>
        <w:spacing w:line="360" w:lineRule="auto"/>
        <w:ind w:firstLine="630"/>
        <w:rPr>
          <w:rFonts w:ascii="宋体" w:hAnsi="宋体"/>
          <w:b/>
          <w:color w:val="000000"/>
          <w:sz w:val="24"/>
        </w:rPr>
      </w:pPr>
    </w:p>
    <w:bookmarkEnd w:id="101"/>
    <w:p>
      <w:pPr>
        <w:pStyle w:val="4"/>
        <w:rPr>
          <w:rFonts w:hint="eastAsia" w:hAnsi="宋体"/>
          <w:color w:val="000000"/>
          <w:sz w:val="28"/>
        </w:rPr>
      </w:pPr>
      <w:bookmarkStart w:id="102" w:name="_Hlt509738950"/>
      <w:bookmarkEnd w:id="102"/>
      <w:bookmarkStart w:id="103" w:name="_Toc496587831"/>
      <w:bookmarkStart w:id="104" w:name="_Toc97880116"/>
      <w:r>
        <w:rPr>
          <w:rFonts w:hint="eastAsia" w:hAnsi="宋体"/>
          <w:color w:val="000000"/>
          <w:sz w:val="28"/>
          <w:lang w:val="en-US" w:eastAsia="zh-CN"/>
        </w:rPr>
        <w:t>五</w:t>
      </w:r>
      <w:r>
        <w:rPr>
          <w:rFonts w:hint="eastAsia" w:hAnsi="宋体"/>
          <w:color w:val="000000"/>
          <w:sz w:val="28"/>
        </w:rPr>
        <w:t>.</w:t>
      </w:r>
      <w:bookmarkEnd w:id="103"/>
      <w:r>
        <w:rPr>
          <w:rFonts w:hint="eastAsia" w:hAnsi="宋体"/>
          <w:color w:val="000000"/>
          <w:sz w:val="28"/>
        </w:rPr>
        <w:t xml:space="preserve"> 投标业绩</w:t>
      </w:r>
      <w:bookmarkEnd w:id="104"/>
    </w:p>
    <w:p>
      <w:pPr>
        <w:jc w:val="center"/>
        <w:rPr>
          <w:rFonts w:hint="eastAsia"/>
          <w:b/>
          <w:color w:val="000000"/>
          <w:sz w:val="28"/>
          <w:szCs w:val="28"/>
        </w:rPr>
      </w:pPr>
      <w:r>
        <w:rPr>
          <w:rFonts w:hint="eastAsia"/>
          <w:b/>
          <w:color w:val="000000"/>
          <w:sz w:val="28"/>
          <w:szCs w:val="28"/>
        </w:rPr>
        <w:t>（一）业绩表</w:t>
      </w:r>
    </w:p>
    <w:p>
      <w:pPr>
        <w:jc w:val="center"/>
        <w:rPr>
          <w:color w:val="000000"/>
          <w:sz w:val="24"/>
          <w:szCs w:val="24"/>
        </w:rPr>
      </w:pPr>
      <w:r>
        <w:rPr>
          <w:rFonts w:hint="eastAsia"/>
          <w:color w:val="000000"/>
          <w:sz w:val="24"/>
          <w:szCs w:val="24"/>
        </w:rPr>
        <w:t>（格式仅供参考）</w:t>
      </w:r>
    </w:p>
    <w:tbl>
      <w:tblPr>
        <w:tblStyle w:val="51"/>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170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序号</w:t>
            </w:r>
          </w:p>
        </w:tc>
        <w:tc>
          <w:tcPr>
            <w:tcW w:w="1559"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项目名称</w:t>
            </w:r>
          </w:p>
        </w:tc>
        <w:tc>
          <w:tcPr>
            <w:tcW w:w="2410" w:type="dxa"/>
            <w:noWrap w:val="0"/>
            <w:vAlign w:val="center"/>
          </w:tcPr>
          <w:p>
            <w:pPr>
              <w:widowControl/>
              <w:jc w:val="center"/>
              <w:rPr>
                <w:rFonts w:ascii="宋体" w:hAnsi="宋体"/>
                <w:color w:val="000000"/>
                <w:sz w:val="24"/>
                <w:szCs w:val="24"/>
              </w:rPr>
            </w:pPr>
            <w:r>
              <w:rPr>
                <w:rFonts w:hint="eastAsia" w:ascii="宋体" w:hAnsi="宋体"/>
                <w:color w:val="000000"/>
                <w:sz w:val="24"/>
                <w:szCs w:val="24"/>
              </w:rPr>
              <w:t>服务内容</w:t>
            </w:r>
          </w:p>
        </w:tc>
        <w:tc>
          <w:tcPr>
            <w:tcW w:w="1559"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合同总金额</w:t>
            </w:r>
          </w:p>
        </w:tc>
        <w:tc>
          <w:tcPr>
            <w:tcW w:w="1701"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业主单位</w:t>
            </w:r>
          </w:p>
          <w:p>
            <w:pPr>
              <w:spacing w:line="360" w:lineRule="auto"/>
              <w:jc w:val="center"/>
              <w:rPr>
                <w:rFonts w:ascii="宋体" w:hAnsi="宋体"/>
                <w:color w:val="000000"/>
                <w:sz w:val="24"/>
                <w:szCs w:val="24"/>
              </w:rPr>
            </w:pPr>
            <w:r>
              <w:rPr>
                <w:rFonts w:hint="eastAsia" w:ascii="宋体" w:hAnsi="宋体"/>
                <w:color w:val="000000"/>
                <w:sz w:val="24"/>
                <w:szCs w:val="24"/>
              </w:rPr>
              <w:t>及联系电话</w:t>
            </w:r>
          </w:p>
        </w:tc>
        <w:tc>
          <w:tcPr>
            <w:tcW w:w="1134"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209" w:type="dxa"/>
            <w:gridSpan w:val="6"/>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初审业绩（资格门槛业绩）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1</w:t>
            </w: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gridSpan w:val="6"/>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评审业绩（打分业绩）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r>
              <w:rPr>
                <w:rFonts w:hint="eastAsia" w:ascii="宋体" w:hAnsi="宋体"/>
                <w:color w:val="000000"/>
                <w:sz w:val="24"/>
                <w:szCs w:val="24"/>
              </w:rPr>
              <w:t>1</w:t>
            </w: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r>
              <w:rPr>
                <w:rFonts w:ascii="宋体" w:hAnsi="宋体"/>
                <w:color w:val="000000"/>
                <w:sz w:val="24"/>
                <w:szCs w:val="24"/>
              </w:rPr>
              <w:t>……</w:t>
            </w: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spacing w:line="360" w:lineRule="auto"/>
              <w:jc w:val="center"/>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2410" w:type="dxa"/>
            <w:noWrap w:val="0"/>
            <w:vAlign w:val="center"/>
          </w:tcPr>
          <w:p>
            <w:pPr>
              <w:spacing w:line="360" w:lineRule="auto"/>
              <w:rPr>
                <w:rFonts w:ascii="宋体" w:hAnsi="宋体"/>
                <w:color w:val="000000"/>
                <w:sz w:val="24"/>
                <w:szCs w:val="24"/>
              </w:rPr>
            </w:pPr>
          </w:p>
        </w:tc>
        <w:tc>
          <w:tcPr>
            <w:tcW w:w="1559" w:type="dxa"/>
            <w:noWrap w:val="0"/>
            <w:vAlign w:val="center"/>
          </w:tcPr>
          <w:p>
            <w:pPr>
              <w:spacing w:line="360" w:lineRule="auto"/>
              <w:rPr>
                <w:rFonts w:ascii="宋体" w:hAnsi="宋体"/>
                <w:color w:val="000000"/>
                <w:sz w:val="24"/>
                <w:szCs w:val="24"/>
              </w:rPr>
            </w:pPr>
          </w:p>
        </w:tc>
        <w:tc>
          <w:tcPr>
            <w:tcW w:w="1701" w:type="dxa"/>
            <w:noWrap w:val="0"/>
            <w:vAlign w:val="center"/>
          </w:tcPr>
          <w:p>
            <w:pPr>
              <w:spacing w:line="360" w:lineRule="auto"/>
              <w:rPr>
                <w:rFonts w:ascii="宋体" w:hAnsi="宋体"/>
                <w:color w:val="000000"/>
                <w:sz w:val="24"/>
                <w:szCs w:val="24"/>
              </w:rPr>
            </w:pPr>
          </w:p>
        </w:tc>
        <w:tc>
          <w:tcPr>
            <w:tcW w:w="1134" w:type="dxa"/>
            <w:noWrap w:val="0"/>
            <w:vAlign w:val="center"/>
          </w:tcPr>
          <w:p>
            <w:pPr>
              <w:spacing w:line="360" w:lineRule="auto"/>
              <w:rPr>
                <w:rFonts w:ascii="宋体" w:hAnsi="宋体"/>
                <w:color w:val="000000"/>
                <w:sz w:val="24"/>
                <w:szCs w:val="24"/>
              </w:rPr>
            </w:pPr>
          </w:p>
        </w:tc>
      </w:tr>
    </w:tbl>
    <w:p>
      <w:pPr>
        <w:spacing w:before="48" w:beforeLines="20" w:after="48" w:afterLines="20" w:line="360" w:lineRule="auto"/>
        <w:rPr>
          <w:rFonts w:ascii="宋体" w:hAnsi="宋体"/>
          <w:color w:val="000000"/>
          <w:sz w:val="28"/>
        </w:rPr>
      </w:pPr>
    </w:p>
    <w:p>
      <w:pPr>
        <w:spacing w:before="48" w:beforeLines="20" w:after="48" w:afterLines="20" w:line="360" w:lineRule="auto"/>
        <w:jc w:val="center"/>
        <w:rPr>
          <w:rFonts w:ascii="宋体" w:hAnsi="宋体"/>
          <w:b/>
          <w:color w:val="000000"/>
          <w:sz w:val="28"/>
        </w:rPr>
      </w:pPr>
      <w:r>
        <w:rPr>
          <w:rFonts w:hint="eastAsia" w:ascii="宋体" w:hAnsi="宋体"/>
          <w:b/>
          <w:color w:val="000000"/>
          <w:sz w:val="28"/>
        </w:rPr>
        <w:t>（二）业绩证明材料</w:t>
      </w:r>
    </w:p>
    <w:p>
      <w:pPr>
        <w:spacing w:before="48" w:beforeLines="20" w:after="48" w:afterLines="20" w:line="360" w:lineRule="auto"/>
        <w:jc w:val="center"/>
        <w:rPr>
          <w:rFonts w:ascii="宋体" w:hAnsi="宋体"/>
          <w:color w:val="000000"/>
          <w:sz w:val="24"/>
          <w:szCs w:val="24"/>
        </w:rPr>
      </w:pPr>
      <w:r>
        <w:rPr>
          <w:rFonts w:hint="eastAsia" w:ascii="宋体" w:hAnsi="宋体"/>
          <w:color w:val="000000"/>
          <w:sz w:val="24"/>
          <w:szCs w:val="24"/>
        </w:rPr>
        <w:t>（建议与上述“（一）业绩表”填写的业绩一一对应提供）</w:t>
      </w: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hint="eastAsia" w:ascii="宋体" w:hAnsi="宋体"/>
          <w:color w:val="000000"/>
          <w:sz w:val="24"/>
          <w:szCs w:val="24"/>
        </w:rPr>
      </w:pPr>
    </w:p>
    <w:p>
      <w:pPr>
        <w:spacing w:before="48" w:beforeLines="20" w:after="48" w:afterLines="20" w:line="360" w:lineRule="auto"/>
        <w:jc w:val="center"/>
        <w:rPr>
          <w:rFonts w:ascii="宋体" w:hAnsi="宋体"/>
          <w:color w:val="000000"/>
          <w:sz w:val="24"/>
          <w:szCs w:val="24"/>
        </w:rPr>
      </w:pPr>
    </w:p>
    <w:p>
      <w:pPr>
        <w:pStyle w:val="4"/>
        <w:rPr>
          <w:rFonts w:hint="eastAsia" w:hAnsi="宋体"/>
          <w:color w:val="000000"/>
          <w:sz w:val="28"/>
          <w:szCs w:val="36"/>
        </w:rPr>
      </w:pPr>
      <w:bookmarkStart w:id="105" w:name="_Toc496587832"/>
      <w:bookmarkStart w:id="106" w:name="_Toc97880117"/>
      <w:bookmarkStart w:id="107" w:name="_Toc471675527"/>
      <w:r>
        <w:rPr>
          <w:rFonts w:hint="eastAsia" w:hAnsi="宋体"/>
          <w:color w:val="000000"/>
          <w:sz w:val="28"/>
          <w:lang w:val="en-US" w:eastAsia="zh-CN"/>
        </w:rPr>
        <w:t>六</w:t>
      </w:r>
      <w:r>
        <w:rPr>
          <w:rFonts w:hint="eastAsia" w:hAnsi="宋体"/>
          <w:color w:val="000000"/>
          <w:sz w:val="28"/>
        </w:rPr>
        <w:t>．拟投入本项目的人员情况</w:t>
      </w:r>
      <w:bookmarkEnd w:id="105"/>
      <w:bookmarkEnd w:id="106"/>
      <w:bookmarkEnd w:id="107"/>
    </w:p>
    <w:p>
      <w:pPr>
        <w:tabs>
          <w:tab w:val="left" w:pos="4620"/>
        </w:tabs>
        <w:spacing w:line="360" w:lineRule="auto"/>
        <w:ind w:firstLine="480" w:firstLineChars="200"/>
        <w:rPr>
          <w:rFonts w:hint="eastAsia" w:ascii="宋体" w:hAnsi="宋体"/>
          <w:color w:val="000000"/>
          <w:sz w:val="24"/>
        </w:rPr>
      </w:pPr>
      <w:r>
        <w:rPr>
          <w:rFonts w:hint="eastAsia" w:ascii="宋体" w:hAnsi="宋体"/>
          <w:bCs/>
          <w:color w:val="000000"/>
          <w:sz w:val="24"/>
          <w:szCs w:val="24"/>
        </w:rPr>
        <w:t>投标人可自行制作格式</w:t>
      </w:r>
      <w:r>
        <w:rPr>
          <w:rFonts w:hint="eastAsia" w:ascii="宋体" w:hAnsi="宋体"/>
          <w:color w:val="000000"/>
          <w:sz w:val="24"/>
        </w:rPr>
        <w:t>，应能体现出所有招标文件要求的内容，并附相关证明材料（扫描件）。</w:t>
      </w:r>
    </w:p>
    <w:p>
      <w:pPr>
        <w:pStyle w:val="4"/>
        <w:rPr>
          <w:rFonts w:hint="eastAsia" w:hAnsi="宋体"/>
          <w:color w:val="000000"/>
          <w:sz w:val="28"/>
          <w:lang w:val="en-US" w:eastAsia="zh-CN"/>
        </w:rPr>
      </w:pPr>
      <w:bookmarkStart w:id="108" w:name="_Toc97880118"/>
      <w:bookmarkStart w:id="109" w:name="_Toc496587833"/>
      <w:bookmarkStart w:id="110" w:name="_Toc471675528"/>
    </w:p>
    <w:p>
      <w:pPr>
        <w:pStyle w:val="4"/>
        <w:rPr>
          <w:rFonts w:hint="eastAsia" w:hAnsi="宋体"/>
          <w:color w:val="000000"/>
          <w:sz w:val="28"/>
          <w:szCs w:val="36"/>
        </w:rPr>
      </w:pPr>
      <w:r>
        <w:rPr>
          <w:rFonts w:hint="eastAsia" w:hAnsi="宋体"/>
          <w:color w:val="000000"/>
          <w:sz w:val="28"/>
          <w:lang w:val="en-US" w:eastAsia="zh-CN"/>
        </w:rPr>
        <w:t>七</w:t>
      </w:r>
      <w:r>
        <w:rPr>
          <w:rFonts w:hint="eastAsia" w:hAnsi="宋体"/>
          <w:color w:val="000000"/>
          <w:sz w:val="28"/>
        </w:rPr>
        <w:t>．服务方案</w:t>
      </w:r>
      <w:bookmarkEnd w:id="108"/>
      <w:bookmarkEnd w:id="109"/>
      <w:bookmarkEnd w:id="110"/>
    </w:p>
    <w:p>
      <w:pPr>
        <w:spacing w:before="48" w:beforeLines="20" w:after="48" w:afterLines="20" w:line="360" w:lineRule="auto"/>
        <w:jc w:val="center"/>
        <w:rPr>
          <w:rFonts w:ascii="宋体" w:hAnsi="宋体"/>
          <w:bCs/>
          <w:color w:val="000000"/>
          <w:sz w:val="24"/>
          <w:szCs w:val="24"/>
        </w:rPr>
      </w:pPr>
      <w:r>
        <w:rPr>
          <w:rFonts w:hint="eastAsia" w:ascii="宋体" w:hAnsi="宋体"/>
          <w:bCs/>
          <w:color w:val="000000"/>
          <w:sz w:val="24"/>
          <w:szCs w:val="24"/>
        </w:rPr>
        <w:t>（投标人可自行制作格式）</w:t>
      </w:r>
    </w:p>
    <w:p>
      <w:pPr>
        <w:pStyle w:val="50"/>
        <w:rPr>
          <w:color w:val="000000"/>
        </w:rPr>
      </w:pPr>
    </w:p>
    <w:p>
      <w:pPr>
        <w:pStyle w:val="50"/>
        <w:rPr>
          <w:color w:val="000000"/>
        </w:rPr>
      </w:pPr>
    </w:p>
    <w:p>
      <w:pPr>
        <w:pStyle w:val="50"/>
        <w:rPr>
          <w:color w:val="000000"/>
        </w:rPr>
      </w:pPr>
    </w:p>
    <w:p>
      <w:pPr>
        <w:pStyle w:val="50"/>
        <w:rPr>
          <w:color w:val="000000"/>
        </w:rPr>
      </w:pPr>
    </w:p>
    <w:p>
      <w:pPr>
        <w:pStyle w:val="50"/>
        <w:ind w:firstLine="367" w:firstLineChars="175"/>
        <w:rPr>
          <w:color w:val="000000"/>
        </w:rPr>
      </w:pPr>
    </w:p>
    <w:p>
      <w:pPr>
        <w:pStyle w:val="50"/>
        <w:ind w:firstLine="367" w:firstLineChars="175"/>
        <w:rPr>
          <w:color w:val="000000"/>
        </w:rPr>
      </w:pPr>
    </w:p>
    <w:p>
      <w:pPr>
        <w:pStyle w:val="50"/>
        <w:ind w:firstLine="367" w:firstLineChars="175"/>
        <w:rPr>
          <w:rFonts w:hint="eastAsia"/>
          <w:color w:val="000000"/>
        </w:rPr>
      </w:pPr>
    </w:p>
    <w:p>
      <w:pPr>
        <w:pStyle w:val="4"/>
        <w:rPr>
          <w:rFonts w:hint="eastAsia" w:hAnsi="宋体"/>
          <w:color w:val="000000"/>
          <w:sz w:val="28"/>
          <w:szCs w:val="36"/>
        </w:rPr>
      </w:pPr>
      <w:bookmarkStart w:id="111" w:name="_Toc97880119"/>
      <w:bookmarkStart w:id="112" w:name="_Toc496587834"/>
      <w:r>
        <w:rPr>
          <w:rFonts w:hint="eastAsia" w:hAnsi="宋体"/>
          <w:color w:val="000000"/>
          <w:sz w:val="28"/>
          <w:lang w:val="en-US" w:eastAsia="zh-CN"/>
        </w:rPr>
        <w:t>八</w:t>
      </w:r>
      <w:r>
        <w:rPr>
          <w:rFonts w:hint="eastAsia" w:hAnsi="宋体"/>
          <w:color w:val="000000"/>
          <w:sz w:val="28"/>
        </w:rPr>
        <w:t>．有关证明文件</w:t>
      </w:r>
      <w:bookmarkEnd w:id="111"/>
      <w:bookmarkEnd w:id="112"/>
    </w:p>
    <w:p>
      <w:pPr>
        <w:tabs>
          <w:tab w:val="left" w:pos="4620"/>
        </w:tabs>
        <w:spacing w:line="360" w:lineRule="auto"/>
        <w:ind w:firstLine="480" w:firstLineChars="200"/>
        <w:rPr>
          <w:rFonts w:hint="eastAsia" w:ascii="宋体" w:hAnsi="宋体"/>
          <w:color w:val="000000"/>
          <w:sz w:val="24"/>
        </w:rPr>
      </w:pPr>
      <w:r>
        <w:rPr>
          <w:rFonts w:hint="eastAsia" w:ascii="宋体" w:hAnsi="宋体"/>
          <w:color w:val="000000"/>
          <w:sz w:val="24"/>
        </w:rPr>
        <w:t>提供符合投标邀请（招标公告）、招标需求及评标办法规定的相关证明文件（制作成扫描件）。</w:t>
      </w:r>
    </w:p>
    <w:p>
      <w:pPr>
        <w:pStyle w:val="26"/>
        <w:snapToGrid w:val="0"/>
        <w:spacing w:before="120" w:after="120" w:line="360" w:lineRule="auto"/>
        <w:ind w:firstLine="480"/>
        <w:jc w:val="left"/>
        <w:rPr>
          <w:rFonts w:hAnsi="宋体"/>
          <w:color w:val="000000"/>
          <w:sz w:val="24"/>
        </w:rPr>
      </w:pPr>
      <w:r>
        <w:rPr>
          <w:rFonts w:hint="eastAsia" w:hAnsi="宋体"/>
          <w:color w:val="000000"/>
          <w:sz w:val="24"/>
        </w:rPr>
        <w:t>特别提示：</w:t>
      </w:r>
    </w:p>
    <w:p>
      <w:pPr>
        <w:pStyle w:val="26"/>
        <w:snapToGrid w:val="0"/>
        <w:spacing w:line="360" w:lineRule="auto"/>
        <w:ind w:firstLine="482"/>
        <w:jc w:val="left"/>
        <w:rPr>
          <w:rFonts w:hint="eastAsia" w:hAnsi="宋体"/>
          <w:color w:val="000000"/>
          <w:sz w:val="24"/>
        </w:rPr>
      </w:pPr>
      <w:r>
        <w:rPr>
          <w:rFonts w:hint="eastAsia" w:hAnsi="宋体"/>
          <w:color w:val="000000"/>
          <w:sz w:val="24"/>
        </w:rPr>
        <w:t>投标人在投标文件制作时，在此栏内上传下列材料（包括但不限于）：</w:t>
      </w:r>
    </w:p>
    <w:p>
      <w:pPr>
        <w:tabs>
          <w:tab w:val="left" w:pos="4620"/>
        </w:tabs>
        <w:spacing w:line="360" w:lineRule="auto"/>
        <w:ind w:firstLine="482" w:firstLineChars="200"/>
        <w:rPr>
          <w:rFonts w:hint="eastAsia" w:ascii="宋体" w:hAnsi="宋体"/>
          <w:color w:val="000000"/>
          <w:sz w:val="24"/>
        </w:rPr>
      </w:pPr>
      <w:r>
        <w:rPr>
          <w:rFonts w:hint="eastAsia" w:ascii="宋体" w:hAnsi="宋体"/>
          <w:b/>
          <w:color w:val="000000"/>
          <w:sz w:val="24"/>
        </w:rPr>
        <w:t>招标文件要求的其他证明资料</w:t>
      </w:r>
      <w:r>
        <w:rPr>
          <w:rFonts w:hint="eastAsia" w:ascii="宋体" w:hAnsi="宋体" w:cs="Cambria"/>
          <w:b/>
          <w:color w:val="000000"/>
          <w:sz w:val="24"/>
        </w:rPr>
        <w:t>（根据项目要求编辑）</w:t>
      </w:r>
      <w:r>
        <w:rPr>
          <w:rFonts w:hint="eastAsia" w:ascii="宋体" w:hAnsi="宋体"/>
          <w:b/>
          <w:color w:val="000000"/>
          <w:sz w:val="24"/>
          <w:szCs w:val="24"/>
        </w:rPr>
        <w:t>，如营业执照、税务登记证、业绩、相关证书、证明资料等，</w:t>
      </w:r>
      <w:r>
        <w:rPr>
          <w:rFonts w:hint="eastAsia" w:ascii="宋体" w:hAnsi="宋体"/>
          <w:color w:val="000000"/>
          <w:sz w:val="24"/>
        </w:rPr>
        <w:t>应将上述证明材料制作成扫描件。</w:t>
      </w:r>
    </w:p>
    <w:p>
      <w:pPr>
        <w:tabs>
          <w:tab w:val="left" w:pos="4620"/>
        </w:tabs>
        <w:spacing w:line="360" w:lineRule="auto"/>
        <w:ind w:firstLine="480" w:firstLineChars="200"/>
        <w:rPr>
          <w:rFonts w:hint="eastAsia" w:ascii="宋体" w:hAnsi="宋体"/>
          <w:color w:val="000000"/>
          <w:sz w:val="24"/>
        </w:rPr>
      </w:pPr>
    </w:p>
    <w:p>
      <w:pPr>
        <w:tabs>
          <w:tab w:val="left" w:pos="4620"/>
        </w:tabs>
        <w:spacing w:line="360" w:lineRule="auto"/>
        <w:rPr>
          <w:rFonts w:hint="eastAsia" w:ascii="宋体" w:hAnsi="宋体"/>
          <w:color w:val="000000"/>
          <w:sz w:val="24"/>
        </w:rPr>
      </w:pPr>
    </w:p>
    <w:p>
      <w:pPr>
        <w:pStyle w:val="4"/>
        <w:rPr>
          <w:rFonts w:hint="eastAsia" w:hAnsi="宋体"/>
          <w:color w:val="000000"/>
          <w:sz w:val="28"/>
          <w:lang w:val="en-US" w:eastAsia="zh-CN"/>
        </w:rPr>
      </w:pPr>
      <w:bookmarkStart w:id="113" w:name="_Toc97880120"/>
      <w:bookmarkStart w:id="114" w:name="_Toc508363608"/>
      <w:bookmarkStart w:id="115" w:name="_Toc220232401"/>
      <w:bookmarkStart w:id="116" w:name="_Toc471736417"/>
      <w:bookmarkStart w:id="117" w:name="_Toc516969104"/>
      <w:bookmarkStart w:id="118" w:name="_Hlt510342906"/>
    </w:p>
    <w:p>
      <w:pPr>
        <w:pStyle w:val="4"/>
        <w:rPr>
          <w:rFonts w:hint="eastAsia" w:hAnsi="宋体"/>
          <w:color w:val="000000"/>
          <w:sz w:val="28"/>
          <w:lang w:val="en-US" w:eastAsia="zh-CN"/>
        </w:rPr>
      </w:pPr>
    </w:p>
    <w:p>
      <w:pPr>
        <w:pStyle w:val="4"/>
        <w:rPr>
          <w:rFonts w:hint="eastAsia" w:hAnsi="宋体"/>
          <w:color w:val="000000"/>
          <w:sz w:val="28"/>
        </w:rPr>
      </w:pPr>
      <w:r>
        <w:rPr>
          <w:rFonts w:hint="eastAsia" w:hAnsi="宋体"/>
          <w:color w:val="000000"/>
          <w:sz w:val="28"/>
          <w:lang w:val="en-US" w:eastAsia="zh-CN"/>
        </w:rPr>
        <w:t>九</w:t>
      </w:r>
      <w:r>
        <w:rPr>
          <w:rFonts w:hint="eastAsia" w:hAnsi="宋体"/>
          <w:color w:val="000000"/>
          <w:sz w:val="28"/>
        </w:rPr>
        <w:t>．投标授权书</w:t>
      </w:r>
      <w:bookmarkEnd w:id="113"/>
    </w:p>
    <w:p>
      <w:pPr>
        <w:pStyle w:val="26"/>
        <w:snapToGrid w:val="0"/>
        <w:spacing w:line="360" w:lineRule="auto"/>
        <w:ind w:firstLine="480" w:firstLineChars="200"/>
        <w:jc w:val="left"/>
        <w:rPr>
          <w:rFonts w:hint="eastAsia" w:hAnsi="宋体"/>
          <w:color w:val="000000"/>
          <w:sz w:val="24"/>
          <w:szCs w:val="28"/>
        </w:rPr>
      </w:pPr>
      <w:r>
        <w:rPr>
          <w:rFonts w:hint="eastAsia" w:hAnsi="宋体"/>
          <w:color w:val="000000"/>
          <w:sz w:val="24"/>
          <w:szCs w:val="28"/>
        </w:rPr>
        <w:t>本授权书声明：</w:t>
      </w:r>
      <w:r>
        <w:rPr>
          <w:rFonts w:hint="eastAsia" w:hAnsi="宋体"/>
          <w:color w:val="000000"/>
          <w:sz w:val="24"/>
          <w:szCs w:val="28"/>
          <w:u w:val="single"/>
        </w:rPr>
        <w:t xml:space="preserve">           </w:t>
      </w:r>
      <w:r>
        <w:rPr>
          <w:rFonts w:hint="eastAsia" w:hAnsi="宋体"/>
          <w:color w:val="000000"/>
          <w:sz w:val="24"/>
          <w:szCs w:val="28"/>
        </w:rPr>
        <w:t>公司授权</w:t>
      </w:r>
      <w:r>
        <w:rPr>
          <w:rFonts w:hint="eastAsia" w:hAnsi="宋体"/>
          <w:color w:val="000000"/>
          <w:sz w:val="24"/>
          <w:szCs w:val="28"/>
          <w:u w:val="single"/>
        </w:rPr>
        <w:t xml:space="preserve">       </w:t>
      </w:r>
      <w:r>
        <w:rPr>
          <w:rFonts w:hint="eastAsia" w:hAnsi="宋体"/>
          <w:color w:val="000000"/>
          <w:sz w:val="24"/>
          <w:szCs w:val="28"/>
        </w:rPr>
        <w:t>（投标人授权代表姓名、职务，手机号码）代表本公司参加合肥文旅博览集团有限公司</w:t>
      </w:r>
      <w:r>
        <w:rPr>
          <w:rFonts w:hint="eastAsia" w:hAnsi="宋体"/>
          <w:b/>
          <w:color w:val="000000"/>
          <w:sz w:val="24"/>
          <w:szCs w:val="28"/>
          <w:u w:val="single"/>
        </w:rPr>
        <w:t xml:space="preserve">                   </w:t>
      </w:r>
      <w:r>
        <w:rPr>
          <w:rFonts w:hint="eastAsia" w:hAnsi="宋体"/>
          <w:bCs/>
          <w:color w:val="000000"/>
          <w:sz w:val="24"/>
          <w:szCs w:val="28"/>
        </w:rPr>
        <w:t>招标活动（项目编号：</w:t>
      </w:r>
      <w:r>
        <w:rPr>
          <w:rFonts w:hint="eastAsia" w:hAnsi="宋体"/>
          <w:b/>
          <w:color w:val="000000"/>
          <w:sz w:val="24"/>
          <w:szCs w:val="28"/>
        </w:rPr>
        <w:t xml:space="preserve">       </w:t>
      </w:r>
      <w:r>
        <w:rPr>
          <w:rFonts w:hint="eastAsia" w:hAnsi="宋体"/>
          <w:bCs/>
          <w:color w:val="000000"/>
          <w:sz w:val="24"/>
          <w:szCs w:val="28"/>
        </w:rPr>
        <w:t>）</w:t>
      </w:r>
      <w:r>
        <w:rPr>
          <w:rFonts w:hint="eastAsia" w:hAnsi="宋体"/>
          <w:color w:val="000000"/>
          <w:sz w:val="24"/>
          <w:szCs w:val="28"/>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pPr>
        <w:pStyle w:val="26"/>
        <w:snapToGrid w:val="0"/>
        <w:spacing w:line="360" w:lineRule="auto"/>
        <w:ind w:firstLine="480" w:firstLineChars="200"/>
        <w:jc w:val="left"/>
        <w:rPr>
          <w:rFonts w:hint="eastAsia" w:hAnsi="宋体"/>
          <w:color w:val="000000"/>
          <w:sz w:val="24"/>
          <w:szCs w:val="28"/>
        </w:rPr>
      </w:pPr>
      <w:r>
        <w:rPr>
          <w:rFonts w:hint="eastAsia" w:hAnsi="宋体"/>
          <w:color w:val="000000"/>
          <w:sz w:val="24"/>
          <w:szCs w:val="28"/>
        </w:rPr>
        <w:t>本授权书自出具之日起生效。</w:t>
      </w: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r>
        <w:rPr>
          <w:rFonts w:hint="eastAsia" w:ascii="宋体" w:hAnsi="宋体"/>
          <w:color w:val="000000"/>
          <w:sz w:val="24"/>
          <w:szCs w:val="28"/>
        </w:rPr>
        <mc:AlternateContent>
          <mc:Choice Requires="wpg">
            <w:drawing>
              <wp:anchor distT="0" distB="0" distL="114300" distR="114300" simplePos="0" relativeHeight="251659264" behindDoc="0" locked="0" layoutInCell="1" allowOverlap="1">
                <wp:simplePos x="0" y="0"/>
                <wp:positionH relativeFrom="column">
                  <wp:posOffset>1160780</wp:posOffset>
                </wp:positionH>
                <wp:positionV relativeFrom="paragraph">
                  <wp:posOffset>255270</wp:posOffset>
                </wp:positionV>
                <wp:extent cx="3860165" cy="727710"/>
                <wp:effectExtent l="4445" t="4445" r="21590" b="10795"/>
                <wp:wrapNone/>
                <wp:docPr id="4" name="组合 4"/>
                <wp:cNvGraphicFramePr/>
                <a:graphic xmlns:a="http://schemas.openxmlformats.org/drawingml/2006/main">
                  <a:graphicData uri="http://schemas.microsoft.com/office/word/2010/wordprocessingGroup">
                    <wpg:wgp>
                      <wpg:cNvGrpSpPr/>
                      <wpg:grpSpPr>
                        <a:xfrm>
                          <a:off x="0" y="0"/>
                          <a:ext cx="3860165" cy="727710"/>
                          <a:chOff x="3270" y="5789"/>
                          <a:chExt cx="6079" cy="1525"/>
                        </a:xfrm>
                      </wpg:grpSpPr>
                      <wps:wsp>
                        <wps:cNvPr id="2" name="圆角矩形 2"/>
                        <wps:cNvSpPr/>
                        <wps:spPr>
                          <a:xfrm>
                            <a:off x="3270" y="5789"/>
                            <a:ext cx="2794" cy="15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txbxContent>
                        </wps:txbx>
                        <wps:bodyPr upright="1"/>
                      </wps:wsp>
                      <wps:wsp>
                        <wps:cNvPr id="3" name="圆角矩形 3"/>
                        <wps:cNvSpPr/>
                        <wps:spPr>
                          <a:xfrm>
                            <a:off x="6555" y="5789"/>
                            <a:ext cx="2794" cy="15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color w:val="FF0000"/>
                                  <w:szCs w:val="21"/>
                                </w:rPr>
                              </w:pPr>
                            </w:p>
                          </w:txbxContent>
                        </wps:txbx>
                        <wps:bodyPr upright="1"/>
                      </wps:wsp>
                    </wpg:wgp>
                  </a:graphicData>
                </a:graphic>
              </wp:anchor>
            </w:drawing>
          </mc:Choice>
          <mc:Fallback>
            <w:pict>
              <v:group id="_x0000_s1026" o:spid="_x0000_s1026" o:spt="203" style="position:absolute;left:0pt;margin-left:91.4pt;margin-top:20.1pt;height:57.3pt;width:303.95pt;z-index:251659264;mso-width-relative:page;mso-height-relative:page;" coordorigin="3270,5789" coordsize="6079,1525" o:gfxdata="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5BtsPZAAAACgEAAA8AAAAAAAAA&#10;AQAgAAAAIgAAAGRycy9kb3ducmV2LnhtbFBLAQIUABQAAAAIAIdO4kADkzwFuwIAAAAIAAAOAAAA&#10;AAAAAAEAIAAAACgBAABkcnMvZTJvRG9jLnhtbFBLBQYAAAAABgAGAFkBAABVBgAAAAA=&#10;">
                <o:lock v:ext="edit" aspectratio="f"/>
                <v:roundrect id="_x0000_s1026" o:spid="_x0000_s1026" o:spt="2" style="position:absolute;left:3270;top:5789;height:1525;width:2794;" fillcolor="#FFFFFF" filled="t" stroked="t" coordsize="21600,21600" arcsize="0.166666666666667" o:gfxdata="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6lSNG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txbxContent>
                  </v:textbox>
                </v:roundrect>
                <v:roundrect id="_x0000_s1026" o:spid="_x0000_s1026" o:spt="2" style="position:absolute;left:6555;top:5789;height:1525;width:2794;" fillcolor="#FFFFFF" filled="t" stroked="t" coordsize="21600,21600" arcsize="0.166666666666667" o:gfxdata="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p7Uq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jc w:val="center"/>
                          <w:rPr>
                            <w:color w:val="FF0000"/>
                            <w:szCs w:val="21"/>
                          </w:rPr>
                        </w:pPr>
                      </w:p>
                    </w:txbxContent>
                  </v:textbox>
                </v:roundrect>
              </v:group>
            </w:pict>
          </mc:Fallback>
        </mc:AlternateContent>
      </w:r>
    </w:p>
    <w:p>
      <w:pPr>
        <w:spacing w:line="360" w:lineRule="auto"/>
        <w:ind w:firstLine="645"/>
        <w:rPr>
          <w:rFonts w:hint="eastAsia" w:ascii="宋体" w:hAnsi="宋体"/>
          <w:color w:val="000000"/>
          <w:sz w:val="24"/>
          <w:szCs w:val="28"/>
        </w:rPr>
      </w:pPr>
      <w:r>
        <w:rPr>
          <w:rFonts w:hint="eastAsia" w:ascii="宋体" w:hAnsi="宋体"/>
          <w:color w:val="000000"/>
          <w:sz w:val="24"/>
          <w:szCs w:val="28"/>
        </w:rPr>
        <w:t>特此声明。</w:t>
      </w: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color w:val="000000"/>
          <w:sz w:val="24"/>
          <w:szCs w:val="28"/>
        </w:rPr>
      </w:pPr>
    </w:p>
    <w:p>
      <w:pPr>
        <w:spacing w:line="360" w:lineRule="auto"/>
        <w:rPr>
          <w:rFonts w:hint="eastAsia" w:ascii="宋体" w:hAnsi="宋体"/>
          <w:b/>
          <w:bCs/>
          <w:color w:val="000000"/>
          <w:sz w:val="24"/>
          <w:szCs w:val="28"/>
        </w:rPr>
      </w:pPr>
      <w:r>
        <w:rPr>
          <w:rFonts w:hint="eastAsia" w:ascii="宋体" w:hAnsi="宋体"/>
          <w:b/>
          <w:bCs/>
          <w:color w:val="000000"/>
          <w:sz w:val="24"/>
          <w:szCs w:val="28"/>
        </w:rPr>
        <w:t>投标人(公章)：</w:t>
      </w:r>
      <w:r>
        <w:rPr>
          <w:rFonts w:hint="eastAsia" w:ascii="宋体" w:hAnsi="宋体"/>
          <w:b/>
          <w:bCs/>
          <w:color w:val="000000"/>
          <w:sz w:val="24"/>
          <w:szCs w:val="28"/>
          <w:u w:val="single"/>
        </w:rPr>
        <w:t xml:space="preserve">                    </w:t>
      </w:r>
    </w:p>
    <w:p>
      <w:pPr>
        <w:spacing w:line="360" w:lineRule="auto"/>
        <w:rPr>
          <w:rFonts w:hint="eastAsia" w:ascii="宋体" w:hAnsi="宋体"/>
          <w:color w:val="000000"/>
          <w:sz w:val="24"/>
          <w:szCs w:val="28"/>
        </w:rPr>
      </w:pPr>
      <w:r>
        <w:rPr>
          <w:rFonts w:hint="eastAsia" w:ascii="宋体" w:hAnsi="宋体"/>
          <w:color w:val="000000"/>
          <w:sz w:val="24"/>
          <w:szCs w:val="28"/>
        </w:rPr>
        <w:t xml:space="preserve">日        期： </w:t>
      </w:r>
      <w:r>
        <w:rPr>
          <w:rFonts w:hint="eastAsia" w:ascii="宋体" w:hAnsi="宋体"/>
          <w:color w:val="000000"/>
          <w:sz w:val="24"/>
          <w:szCs w:val="28"/>
          <w:u w:val="single"/>
        </w:rPr>
        <w:t xml:space="preserve">                   </w:t>
      </w:r>
    </w:p>
    <w:p>
      <w:pPr>
        <w:rPr>
          <w:rFonts w:hint="eastAsia" w:ascii="宋体" w:hAnsi="宋体"/>
          <w:color w:val="000000"/>
          <w:sz w:val="28"/>
          <w:szCs w:val="28"/>
        </w:rPr>
      </w:pPr>
    </w:p>
    <w:p>
      <w:pPr>
        <w:pStyle w:val="26"/>
        <w:snapToGrid w:val="0"/>
        <w:spacing w:line="360" w:lineRule="auto"/>
        <w:jc w:val="left"/>
        <w:rPr>
          <w:rFonts w:hint="eastAsia" w:hAnsi="宋体"/>
          <w:color w:val="000000"/>
          <w:sz w:val="24"/>
          <w:szCs w:val="28"/>
        </w:rPr>
      </w:pPr>
      <w:r>
        <w:rPr>
          <w:rFonts w:hint="eastAsia" w:hAnsi="宋体"/>
          <w:color w:val="000000"/>
          <w:sz w:val="24"/>
          <w:szCs w:val="28"/>
        </w:rPr>
        <w:t>注：</w:t>
      </w:r>
    </w:p>
    <w:p>
      <w:pPr>
        <w:pStyle w:val="26"/>
        <w:snapToGrid w:val="0"/>
        <w:spacing w:line="360" w:lineRule="auto"/>
        <w:jc w:val="left"/>
        <w:rPr>
          <w:rFonts w:hAnsi="宋体"/>
          <w:color w:val="000000"/>
          <w:sz w:val="24"/>
          <w:szCs w:val="28"/>
        </w:rPr>
      </w:pPr>
      <w:bookmarkStart w:id="119" w:name="_Toc471736421"/>
      <w:bookmarkStart w:id="120" w:name="_Toc220232403"/>
      <w:r>
        <w:rPr>
          <w:rFonts w:hint="eastAsia" w:hAnsi="宋体"/>
          <w:color w:val="000000"/>
          <w:sz w:val="24"/>
          <w:szCs w:val="28"/>
        </w:rPr>
        <w:t>1.本项目只允许有唯一的投标人授权代表（须与投标函中授权代表为同一人，否则投标无效），投标文件中提供授权代表身份证</w:t>
      </w:r>
      <w:r>
        <w:rPr>
          <w:rFonts w:hint="eastAsia" w:hAnsi="宋体"/>
          <w:color w:val="000000"/>
          <w:sz w:val="24"/>
        </w:rPr>
        <w:t>扫描件</w:t>
      </w:r>
      <w:r>
        <w:rPr>
          <w:rFonts w:hint="eastAsia" w:hAnsi="宋体"/>
          <w:color w:val="000000"/>
          <w:sz w:val="24"/>
          <w:szCs w:val="28"/>
        </w:rPr>
        <w:t>。</w:t>
      </w:r>
    </w:p>
    <w:p>
      <w:pPr>
        <w:pStyle w:val="26"/>
        <w:snapToGrid w:val="0"/>
        <w:spacing w:line="360" w:lineRule="auto"/>
        <w:jc w:val="left"/>
        <w:rPr>
          <w:rFonts w:hint="eastAsia" w:hAnsi="宋体"/>
          <w:color w:val="000000"/>
          <w:sz w:val="24"/>
          <w:szCs w:val="24"/>
        </w:rPr>
      </w:pPr>
      <w:r>
        <w:rPr>
          <w:rFonts w:hint="eastAsia" w:hAnsi="宋体"/>
          <w:color w:val="000000"/>
          <w:sz w:val="24"/>
          <w:szCs w:val="28"/>
        </w:rPr>
        <w:t>2.法定代表人参加投标的无需此件，</w:t>
      </w:r>
      <w:r>
        <w:rPr>
          <w:rFonts w:hint="eastAsia" w:hAnsi="宋体"/>
          <w:color w:val="000000"/>
          <w:sz w:val="24"/>
        </w:rPr>
        <w:t>但投标文件中须提供身份证扫描件。</w:t>
      </w:r>
    </w:p>
    <w:bookmarkEnd w:id="119"/>
    <w:bookmarkEnd w:id="120"/>
    <w:p>
      <w:pPr>
        <w:rPr>
          <w:rFonts w:hint="eastAsia"/>
          <w:color w:val="000000"/>
        </w:rPr>
      </w:pPr>
    </w:p>
    <w:bookmarkEnd w:id="114"/>
    <w:bookmarkEnd w:id="115"/>
    <w:bookmarkEnd w:id="116"/>
    <w:bookmarkEnd w:id="117"/>
    <w:bookmarkEnd w:id="118"/>
    <w:p>
      <w:pPr>
        <w:spacing w:line="500" w:lineRule="exact"/>
        <w:jc w:val="center"/>
        <w:rPr>
          <w:rFonts w:ascii="宋体" w:hAnsi="宋体"/>
          <w:b/>
          <w:bCs/>
          <w:color w:val="000000"/>
          <w:sz w:val="30"/>
        </w:rPr>
        <w:sectPr>
          <w:headerReference r:id="rId3" w:type="default"/>
          <w:footerReference r:id="rId4" w:type="default"/>
          <w:footerReference r:id="rId5" w:type="even"/>
          <w:pgSz w:w="11907" w:h="16840"/>
          <w:pgMar w:top="1440" w:right="1247" w:bottom="1440" w:left="1247" w:header="851" w:footer="992" w:gutter="0"/>
          <w:cols w:space="720" w:num="1"/>
          <w:docGrid w:linePitch="303" w:charSpace="0"/>
        </w:sectPr>
      </w:pPr>
    </w:p>
    <w:p>
      <w:pPr>
        <w:pStyle w:val="4"/>
        <w:rPr>
          <w:rFonts w:hint="eastAsia" w:hAnsi="宋体"/>
          <w:color w:val="000000"/>
          <w:sz w:val="28"/>
        </w:rPr>
      </w:pPr>
      <w:bookmarkStart w:id="121" w:name="_Toc459990157"/>
      <w:bookmarkStart w:id="122" w:name="_Toc420342108"/>
      <w:bookmarkStart w:id="123" w:name="_Toc471736427"/>
      <w:bookmarkStart w:id="124" w:name="_Toc391040781"/>
      <w:bookmarkStart w:id="125" w:name="_Toc390243258"/>
      <w:bookmarkStart w:id="126" w:name="_Toc517681252"/>
      <w:bookmarkStart w:id="127" w:name="_Toc97880121"/>
      <w:r>
        <w:rPr>
          <w:rFonts w:hint="eastAsia" w:hAnsi="宋体"/>
          <w:color w:val="000000"/>
          <w:sz w:val="28"/>
        </w:rPr>
        <w:t>十．</w:t>
      </w:r>
      <w:bookmarkEnd w:id="121"/>
      <w:bookmarkEnd w:id="122"/>
      <w:bookmarkEnd w:id="123"/>
      <w:bookmarkEnd w:id="124"/>
      <w:bookmarkEnd w:id="125"/>
      <w:bookmarkStart w:id="128" w:name="_Toc471733801"/>
      <w:bookmarkStart w:id="129" w:name="_Toc389124158"/>
      <w:bookmarkStart w:id="130" w:name="_Toc471736430"/>
      <w:r>
        <w:rPr>
          <w:rFonts w:hint="eastAsia" w:hAnsi="宋体"/>
          <w:color w:val="000000"/>
          <w:sz w:val="28"/>
        </w:rPr>
        <w:t>投标人认为需提供的其他资料</w:t>
      </w:r>
      <w:bookmarkEnd w:id="126"/>
      <w:bookmarkEnd w:id="127"/>
      <w:bookmarkEnd w:id="128"/>
      <w:bookmarkEnd w:id="129"/>
      <w:bookmarkEnd w:id="130"/>
    </w:p>
    <w:p>
      <w:pPr>
        <w:spacing w:line="500" w:lineRule="exact"/>
        <w:rPr>
          <w:rFonts w:ascii="宋体" w:hAnsi="宋体"/>
          <w:b/>
          <w:bCs/>
          <w:color w:val="000000"/>
          <w:sz w:val="24"/>
          <w:szCs w:val="24"/>
        </w:rPr>
      </w:pPr>
      <w:r>
        <w:rPr>
          <w:rFonts w:hint="eastAsia" w:ascii="宋体" w:hAnsi="宋体"/>
          <w:b/>
          <w:bCs/>
          <w:color w:val="000000"/>
          <w:sz w:val="30"/>
        </w:rPr>
        <w:t xml:space="preserve">               </w:t>
      </w:r>
      <w:r>
        <w:rPr>
          <w:rFonts w:hint="eastAsia" w:ascii="宋体" w:hAnsi="宋体"/>
          <w:b/>
          <w:bCs/>
          <w:color w:val="000000"/>
          <w:sz w:val="24"/>
          <w:szCs w:val="24"/>
        </w:rPr>
        <w:t xml:space="preserve">        （</w:t>
      </w:r>
      <w:r>
        <w:rPr>
          <w:rFonts w:hint="eastAsia" w:ascii="宋体" w:hAnsi="宋体"/>
          <w:bCs/>
          <w:color w:val="000000"/>
          <w:sz w:val="24"/>
          <w:szCs w:val="24"/>
        </w:rPr>
        <w:t>投标人可自行制作格式</w:t>
      </w:r>
      <w:r>
        <w:rPr>
          <w:rFonts w:hint="eastAsia" w:ascii="宋体" w:hAnsi="宋体"/>
          <w:b/>
          <w:bCs/>
          <w:color w:val="000000"/>
          <w:sz w:val="24"/>
          <w:szCs w:val="24"/>
        </w:rPr>
        <w:t>）</w:t>
      </w:r>
    </w:p>
    <w:p>
      <w:pPr>
        <w:pStyle w:val="2"/>
        <w:spacing w:line="500" w:lineRule="exact"/>
        <w:jc w:val="center"/>
        <w:rPr>
          <w:rFonts w:hAnsi="Arial"/>
          <w:color w:val="000000" w:themeColor="text1"/>
          <w:sz w:val="24"/>
          <w14:textFill>
            <w14:solidFill>
              <w14:schemeClr w14:val="tx1"/>
            </w14:solidFill>
          </w14:textFill>
        </w:rPr>
      </w:pPr>
    </w:p>
    <w:sectPr>
      <w:headerReference r:id="rId6" w:type="default"/>
      <w:footerReference r:id="rId7" w:type="default"/>
      <w:footerReference r:id="rId8" w:type="even"/>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简标宋">
    <w:altName w:val="黑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DotumChe">
    <w:altName w:val="Malgun Gothic"/>
    <w:panose1 w:val="00000000000000000000"/>
    <w:charset w:val="81"/>
    <w:family w:val="modern"/>
    <w:pitch w:val="default"/>
    <w:sig w:usb0="00000000" w:usb1="00000000" w:usb2="00000030" w:usb3="00000000" w:csb0="4008009F" w:csb1="DFD70000"/>
  </w:font>
  <w:font w:name="MS Mincho">
    <w:altName w:val="Yu Gothic UI"/>
    <w:panose1 w:val="02020609040205080304"/>
    <w:charset w:val="80"/>
    <w:family w:val="roman"/>
    <w:pitch w:val="default"/>
    <w:sig w:usb0="00000000" w:usb1="00000000" w:usb2="00000010" w:usb3="00000000" w:csb0="4002009F" w:csb1="DFD70000"/>
  </w:font>
  <w:font w:name="Wingdings 2">
    <w:panose1 w:val="05020102010507070707"/>
    <w:charset w:val="02"/>
    <w:family w:val="roman"/>
    <w:pitch w:val="default"/>
    <w:sig w:usb0="00000000" w:usb1="00000000" w:usb2="00000000" w:usb3="00000000" w:csb0="80000000" w:csb1="00000000"/>
  </w:font>
  <w:font w:name="宋体-18030">
    <w:altName w:val="宋体"/>
    <w:panose1 w:val="00000000000000000000"/>
    <w:charset w:val="86"/>
    <w:family w:val="modern"/>
    <w:pitch w:val="default"/>
    <w:sig w:usb0="00000000" w:usb1="00000000" w:usb2="000A005E" w:usb3="00000000" w:csb0="00040001" w:csb1="00000000"/>
  </w:font>
  <w:font w:name="Cambria">
    <w:panose1 w:val="02040503050406030204"/>
    <w:charset w:val="00"/>
    <w:family w:val="roman"/>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39</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40</w:t>
    </w:r>
    <w:r>
      <w:rPr>
        <w:rFonts w:ascii="宋体" w:hAnsi="宋体"/>
        <w:kern w:val="0"/>
        <w:sz w:val="24"/>
        <w:szCs w:val="21"/>
      </w:rPr>
      <w:fldChar w:fldCharType="end"/>
    </w:r>
    <w:r>
      <w:rPr>
        <w:rFonts w:hint="eastAsia" w:ascii="宋体" w:hAnsi="宋体"/>
        <w:kern w:val="0"/>
        <w:sz w:val="24"/>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4"/>
      </w:rPr>
    </w:pPr>
    <w:r>
      <w:fldChar w:fldCharType="begin"/>
    </w:r>
    <w:r>
      <w:rPr>
        <w:rStyle w:val="54"/>
      </w:rPr>
      <w:instrText xml:space="preserve">PAGE  </w:instrText>
    </w:r>
    <w:r>
      <w:fldChar w:fldCharType="end"/>
    </w:r>
  </w:p>
  <w:p>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2</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41</w:t>
    </w:r>
    <w:r>
      <w:rPr>
        <w:rFonts w:ascii="宋体" w:hAnsi="宋体"/>
        <w:kern w:val="0"/>
        <w:sz w:val="24"/>
        <w:szCs w:val="21"/>
      </w:rPr>
      <w:fldChar w:fldCharType="end"/>
    </w:r>
    <w:r>
      <w:rPr>
        <w:rFonts w:hint="eastAsia" w:ascii="宋体" w:hAnsi="宋体"/>
        <w:kern w:val="0"/>
        <w:sz w:val="24"/>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4"/>
      </w:rPr>
    </w:pPr>
    <w:r>
      <w:fldChar w:fldCharType="begin"/>
    </w:r>
    <w:r>
      <w:rPr>
        <w:rStyle w:val="54"/>
      </w:rPr>
      <w:instrText xml:space="preserve">PAGE  </w:instrText>
    </w:r>
    <w:r>
      <w:fldChar w:fldCharType="end"/>
    </w:r>
  </w:p>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hint="eastAsia" w:ascii="宋体" w:hAnsi="宋体"/>
        <w:b/>
        <w:i/>
        <w:sz w:val="24"/>
      </w:rPr>
    </w:pPr>
    <w:r>
      <w:rPr>
        <w:rFonts w:hint="eastAsia"/>
      </w:rPr>
      <w:t>合肥</w:t>
    </w:r>
    <w:r>
      <w:rPr>
        <w:rFonts w:hint="eastAsia"/>
        <w:lang w:val="en-US" w:eastAsia="zh-CN"/>
      </w:rPr>
      <w:t>体育产业投资</w:t>
    </w:r>
    <w:r>
      <w:rPr>
        <w:rFonts w:hint="eastAsia"/>
      </w:rPr>
      <w:t xml:space="preserve">有限公司招标文件-服务类（适用于综合评分法）                       </w:t>
    </w:r>
    <w:r>
      <w:t>202</w:t>
    </w:r>
    <w:r>
      <w:rPr>
        <w:rFonts w:hint="eastAsia"/>
        <w:lang w:val="en-US" w:eastAsia="zh-CN"/>
      </w:rPr>
      <w:t>3</w:t>
    </w:r>
    <w:r>
      <w:rPr>
        <w:rFonts w:hint="eastAsia"/>
      </w:rPr>
      <w:t>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ascii="宋体" w:hAnsi="宋体"/>
        <w:b/>
        <w:i/>
        <w:sz w:val="24"/>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4A119"/>
    <w:multiLevelType w:val="singleLevel"/>
    <w:tmpl w:val="CD64A119"/>
    <w:lvl w:ilvl="0" w:tentative="0">
      <w:start w:val="6"/>
      <w:numFmt w:val="chineseCounting"/>
      <w:suff w:val="space"/>
      <w:lvlText w:val="第%1章"/>
      <w:lvlJc w:val="left"/>
      <w:rPr>
        <w:rFonts w:hint="eastAsia"/>
      </w:rPr>
    </w:lvl>
  </w:abstractNum>
  <w:abstractNum w:abstractNumId="1">
    <w:nsid w:val="00000005"/>
    <w:multiLevelType w:val="multilevel"/>
    <w:tmpl w:val="00000005"/>
    <w:lvl w:ilvl="0" w:tentative="0">
      <w:start w:val="1"/>
      <w:numFmt w:val="decimal"/>
      <w:pStyle w:val="62"/>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61207F6"/>
    <w:multiLevelType w:val="multilevel"/>
    <w:tmpl w:val="061207F6"/>
    <w:lvl w:ilvl="0" w:tentative="0">
      <w:start w:val="1"/>
      <w:numFmt w:val="japaneseCounting"/>
      <w:lvlText w:val="%1、"/>
      <w:lvlJc w:val="left"/>
      <w:pPr>
        <w:ind w:left="840" w:hanging="51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3">
    <w:nsid w:val="2E4F3A11"/>
    <w:multiLevelType w:val="multilevel"/>
    <w:tmpl w:val="2E4F3A11"/>
    <w:lvl w:ilvl="0" w:tentative="0">
      <w:start w:val="1"/>
      <w:numFmt w:val="decimal"/>
      <w:pStyle w:val="64"/>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65"/>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63"/>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3E2E1B76"/>
    <w:multiLevelType w:val="multilevel"/>
    <w:tmpl w:val="3E2E1B76"/>
    <w:lvl w:ilvl="0" w:tentative="0">
      <w:start w:val="2"/>
      <w:numFmt w:val="japaneseCounting"/>
      <w:lvlText w:val="%1、"/>
      <w:lvlJc w:val="left"/>
      <w:pPr>
        <w:ind w:left="700" w:hanging="50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5">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83"/>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6">
    <w:nsid w:val="4D2A0EDA"/>
    <w:multiLevelType w:val="multilevel"/>
    <w:tmpl w:val="4D2A0EDA"/>
    <w:lvl w:ilvl="0" w:tentative="0">
      <w:start w:val="2"/>
      <w:numFmt w:val="decimal"/>
      <w:lvlText w:val="%1"/>
      <w:lvlJc w:val="left"/>
      <w:pPr>
        <w:ind w:left="360" w:hanging="360"/>
      </w:pPr>
      <w:rPr>
        <w:rFonts w:hint="default"/>
      </w:rPr>
    </w:lvl>
    <w:lvl w:ilvl="1" w:tentative="0">
      <w:start w:val="6"/>
      <w:numFmt w:val="decimal"/>
      <w:lvlText w:val="%1.%2"/>
      <w:lvlJc w:val="left"/>
      <w:pPr>
        <w:ind w:left="909" w:hanging="360"/>
      </w:pPr>
      <w:rPr>
        <w:rFonts w:hint="default"/>
      </w:rPr>
    </w:lvl>
    <w:lvl w:ilvl="2" w:tentative="0">
      <w:start w:val="1"/>
      <w:numFmt w:val="decimal"/>
      <w:lvlText w:val="%1.%2.%3"/>
      <w:lvlJc w:val="left"/>
      <w:pPr>
        <w:ind w:left="1818" w:hanging="720"/>
      </w:pPr>
      <w:rPr>
        <w:rFonts w:hint="default"/>
      </w:rPr>
    </w:lvl>
    <w:lvl w:ilvl="3" w:tentative="0">
      <w:start w:val="1"/>
      <w:numFmt w:val="decimal"/>
      <w:lvlText w:val="%1.%2.%3.%4"/>
      <w:lvlJc w:val="left"/>
      <w:pPr>
        <w:ind w:left="2727" w:hanging="1080"/>
      </w:pPr>
      <w:rPr>
        <w:rFonts w:hint="default"/>
      </w:rPr>
    </w:lvl>
    <w:lvl w:ilvl="4" w:tentative="0">
      <w:start w:val="1"/>
      <w:numFmt w:val="decimal"/>
      <w:lvlText w:val="%1.%2.%3.%4.%5"/>
      <w:lvlJc w:val="left"/>
      <w:pPr>
        <w:ind w:left="3276" w:hanging="1080"/>
      </w:pPr>
      <w:rPr>
        <w:rFonts w:hint="default"/>
      </w:rPr>
    </w:lvl>
    <w:lvl w:ilvl="5" w:tentative="0">
      <w:start w:val="1"/>
      <w:numFmt w:val="decimal"/>
      <w:lvlText w:val="%1.%2.%3.%4.%5.%6"/>
      <w:lvlJc w:val="left"/>
      <w:pPr>
        <w:ind w:left="4185" w:hanging="1440"/>
      </w:pPr>
      <w:rPr>
        <w:rFonts w:hint="default"/>
      </w:rPr>
    </w:lvl>
    <w:lvl w:ilvl="6" w:tentative="0">
      <w:start w:val="1"/>
      <w:numFmt w:val="decimal"/>
      <w:lvlText w:val="%1.%2.%3.%4.%5.%6.%7"/>
      <w:lvlJc w:val="left"/>
      <w:pPr>
        <w:ind w:left="5094" w:hanging="1800"/>
      </w:pPr>
      <w:rPr>
        <w:rFonts w:hint="default"/>
      </w:rPr>
    </w:lvl>
    <w:lvl w:ilvl="7" w:tentative="0">
      <w:start w:val="1"/>
      <w:numFmt w:val="decimal"/>
      <w:lvlText w:val="%1.%2.%3.%4.%5.%6.%7.%8"/>
      <w:lvlJc w:val="left"/>
      <w:pPr>
        <w:ind w:left="5643" w:hanging="1800"/>
      </w:pPr>
      <w:rPr>
        <w:rFonts w:hint="default"/>
      </w:rPr>
    </w:lvl>
    <w:lvl w:ilvl="8" w:tentative="0">
      <w:start w:val="1"/>
      <w:numFmt w:val="decimal"/>
      <w:lvlText w:val="%1.%2.%3.%4.%5.%6.%7.%8.%9"/>
      <w:lvlJc w:val="left"/>
      <w:pPr>
        <w:ind w:left="6552" w:hanging="2160"/>
      </w:pPr>
      <w:rPr>
        <w:rFonts w:hint="default"/>
      </w:rPr>
    </w:lvl>
  </w:abstractNum>
  <w:abstractNum w:abstractNumId="7">
    <w:nsid w:val="7FBBB2C7"/>
    <w:multiLevelType w:val="singleLevel"/>
    <w:tmpl w:val="7FBBB2C7"/>
    <w:lvl w:ilvl="0" w:tentative="0">
      <w:start w:val="1"/>
      <w:numFmt w:val="decimal"/>
      <w:suff w:val="nothing"/>
      <w:lvlText w:val="%1、"/>
      <w:lvlJc w:val="left"/>
    </w:lvl>
  </w:abstractNum>
  <w:num w:numId="1">
    <w:abstractNumId w:val="1"/>
  </w:num>
  <w:num w:numId="2">
    <w:abstractNumId w:val="3"/>
  </w:num>
  <w:num w:numId="3">
    <w:abstractNumId w:val="5"/>
  </w:num>
  <w:num w:numId="4">
    <w:abstractNumId w:val="4"/>
  </w:num>
  <w:num w:numId="5">
    <w:abstractNumId w:val="6"/>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A0B"/>
    <w:rsid w:val="000035A3"/>
    <w:rsid w:val="000106D4"/>
    <w:rsid w:val="00010CC7"/>
    <w:rsid w:val="00015DB9"/>
    <w:rsid w:val="000165BF"/>
    <w:rsid w:val="000251FA"/>
    <w:rsid w:val="0003169D"/>
    <w:rsid w:val="00034DE4"/>
    <w:rsid w:val="000375D6"/>
    <w:rsid w:val="000500BD"/>
    <w:rsid w:val="00050A33"/>
    <w:rsid w:val="00052552"/>
    <w:rsid w:val="00054AE6"/>
    <w:rsid w:val="00061E30"/>
    <w:rsid w:val="00070AF8"/>
    <w:rsid w:val="00081E48"/>
    <w:rsid w:val="00083595"/>
    <w:rsid w:val="0009188A"/>
    <w:rsid w:val="00093C96"/>
    <w:rsid w:val="000974B8"/>
    <w:rsid w:val="000B5931"/>
    <w:rsid w:val="000C12DF"/>
    <w:rsid w:val="000C51EA"/>
    <w:rsid w:val="000C720D"/>
    <w:rsid w:val="000D0E34"/>
    <w:rsid w:val="000D64A2"/>
    <w:rsid w:val="000D73B0"/>
    <w:rsid w:val="000E1FDF"/>
    <w:rsid w:val="000E61BF"/>
    <w:rsid w:val="000E7B46"/>
    <w:rsid w:val="000F404D"/>
    <w:rsid w:val="001006B1"/>
    <w:rsid w:val="001029A1"/>
    <w:rsid w:val="00103B7D"/>
    <w:rsid w:val="00106234"/>
    <w:rsid w:val="0011682E"/>
    <w:rsid w:val="00121C5C"/>
    <w:rsid w:val="00122092"/>
    <w:rsid w:val="00123512"/>
    <w:rsid w:val="00133123"/>
    <w:rsid w:val="00136CE8"/>
    <w:rsid w:val="00143D8F"/>
    <w:rsid w:val="00145FCF"/>
    <w:rsid w:val="001567A4"/>
    <w:rsid w:val="00157DA2"/>
    <w:rsid w:val="00165A31"/>
    <w:rsid w:val="00165E3E"/>
    <w:rsid w:val="00167D2D"/>
    <w:rsid w:val="00170641"/>
    <w:rsid w:val="00171D92"/>
    <w:rsid w:val="00172A27"/>
    <w:rsid w:val="00172CCB"/>
    <w:rsid w:val="001758D1"/>
    <w:rsid w:val="00177581"/>
    <w:rsid w:val="00180621"/>
    <w:rsid w:val="00182763"/>
    <w:rsid w:val="00182F13"/>
    <w:rsid w:val="00187141"/>
    <w:rsid w:val="00187355"/>
    <w:rsid w:val="001873D0"/>
    <w:rsid w:val="00190FC3"/>
    <w:rsid w:val="00191011"/>
    <w:rsid w:val="00192FA2"/>
    <w:rsid w:val="00193CCB"/>
    <w:rsid w:val="001A15C7"/>
    <w:rsid w:val="001A3416"/>
    <w:rsid w:val="001A5D42"/>
    <w:rsid w:val="001B1E68"/>
    <w:rsid w:val="001B5756"/>
    <w:rsid w:val="001B6CA4"/>
    <w:rsid w:val="001C5E9E"/>
    <w:rsid w:val="001D22B3"/>
    <w:rsid w:val="001E0B84"/>
    <w:rsid w:val="001E1917"/>
    <w:rsid w:val="001E38B4"/>
    <w:rsid w:val="001F18D1"/>
    <w:rsid w:val="001F2286"/>
    <w:rsid w:val="001F489C"/>
    <w:rsid w:val="001F711F"/>
    <w:rsid w:val="002115AF"/>
    <w:rsid w:val="002208C9"/>
    <w:rsid w:val="00220990"/>
    <w:rsid w:val="00234F18"/>
    <w:rsid w:val="0024080E"/>
    <w:rsid w:val="00241826"/>
    <w:rsid w:val="002505C8"/>
    <w:rsid w:val="00252128"/>
    <w:rsid w:val="00256362"/>
    <w:rsid w:val="00256B0B"/>
    <w:rsid w:val="00260053"/>
    <w:rsid w:val="00260ED6"/>
    <w:rsid w:val="00266ED5"/>
    <w:rsid w:val="00282F64"/>
    <w:rsid w:val="00284E8A"/>
    <w:rsid w:val="00286D1E"/>
    <w:rsid w:val="002871F0"/>
    <w:rsid w:val="00290E0B"/>
    <w:rsid w:val="00291AA9"/>
    <w:rsid w:val="00291BDA"/>
    <w:rsid w:val="002925B9"/>
    <w:rsid w:val="00294401"/>
    <w:rsid w:val="002957A2"/>
    <w:rsid w:val="002A0717"/>
    <w:rsid w:val="002A106D"/>
    <w:rsid w:val="002A1AEB"/>
    <w:rsid w:val="002A35E3"/>
    <w:rsid w:val="002A3E6A"/>
    <w:rsid w:val="002A55E5"/>
    <w:rsid w:val="002A6ADC"/>
    <w:rsid w:val="002A6D1E"/>
    <w:rsid w:val="002A7309"/>
    <w:rsid w:val="002B25E9"/>
    <w:rsid w:val="002B2F57"/>
    <w:rsid w:val="002B3FCC"/>
    <w:rsid w:val="002B653A"/>
    <w:rsid w:val="002C2DE2"/>
    <w:rsid w:val="002C74C8"/>
    <w:rsid w:val="002C785E"/>
    <w:rsid w:val="002D4B74"/>
    <w:rsid w:val="002D797D"/>
    <w:rsid w:val="002E0440"/>
    <w:rsid w:val="002E0D6B"/>
    <w:rsid w:val="002E1859"/>
    <w:rsid w:val="002E428A"/>
    <w:rsid w:val="002E7812"/>
    <w:rsid w:val="002F1441"/>
    <w:rsid w:val="002F16E1"/>
    <w:rsid w:val="002F4164"/>
    <w:rsid w:val="002F4E93"/>
    <w:rsid w:val="00303BEB"/>
    <w:rsid w:val="003040D2"/>
    <w:rsid w:val="00305B48"/>
    <w:rsid w:val="0030781B"/>
    <w:rsid w:val="00317ED7"/>
    <w:rsid w:val="00321272"/>
    <w:rsid w:val="003228AD"/>
    <w:rsid w:val="00325655"/>
    <w:rsid w:val="003318E8"/>
    <w:rsid w:val="0033258B"/>
    <w:rsid w:val="00334886"/>
    <w:rsid w:val="00340899"/>
    <w:rsid w:val="00346CFB"/>
    <w:rsid w:val="003503E0"/>
    <w:rsid w:val="003519DD"/>
    <w:rsid w:val="00351E5E"/>
    <w:rsid w:val="00353D22"/>
    <w:rsid w:val="00360539"/>
    <w:rsid w:val="00362DC7"/>
    <w:rsid w:val="00363F24"/>
    <w:rsid w:val="003725BD"/>
    <w:rsid w:val="00376BA7"/>
    <w:rsid w:val="003822F5"/>
    <w:rsid w:val="0038312D"/>
    <w:rsid w:val="00385FFF"/>
    <w:rsid w:val="00386644"/>
    <w:rsid w:val="00391B6E"/>
    <w:rsid w:val="003933DB"/>
    <w:rsid w:val="00393D11"/>
    <w:rsid w:val="00394F7F"/>
    <w:rsid w:val="003B0A8B"/>
    <w:rsid w:val="003B0FB4"/>
    <w:rsid w:val="003B21C4"/>
    <w:rsid w:val="003B400F"/>
    <w:rsid w:val="003B4882"/>
    <w:rsid w:val="003C0193"/>
    <w:rsid w:val="003C01A9"/>
    <w:rsid w:val="003D2373"/>
    <w:rsid w:val="003D38BB"/>
    <w:rsid w:val="003D7BDF"/>
    <w:rsid w:val="003E5BF3"/>
    <w:rsid w:val="003E5D09"/>
    <w:rsid w:val="003F29DE"/>
    <w:rsid w:val="003F7921"/>
    <w:rsid w:val="00400F2C"/>
    <w:rsid w:val="0040206D"/>
    <w:rsid w:val="0040374C"/>
    <w:rsid w:val="00403F76"/>
    <w:rsid w:val="00412C60"/>
    <w:rsid w:val="00422599"/>
    <w:rsid w:val="004225D3"/>
    <w:rsid w:val="0042556C"/>
    <w:rsid w:val="00425AF3"/>
    <w:rsid w:val="00426D82"/>
    <w:rsid w:val="00427F08"/>
    <w:rsid w:val="004302CE"/>
    <w:rsid w:val="00440EB9"/>
    <w:rsid w:val="00441B3A"/>
    <w:rsid w:val="0044389C"/>
    <w:rsid w:val="00445B16"/>
    <w:rsid w:val="00445DD2"/>
    <w:rsid w:val="004460A8"/>
    <w:rsid w:val="00447973"/>
    <w:rsid w:val="00451119"/>
    <w:rsid w:val="00451447"/>
    <w:rsid w:val="00451ACD"/>
    <w:rsid w:val="004533D6"/>
    <w:rsid w:val="00453E04"/>
    <w:rsid w:val="00454420"/>
    <w:rsid w:val="0046180F"/>
    <w:rsid w:val="00462FD8"/>
    <w:rsid w:val="00463267"/>
    <w:rsid w:val="00464611"/>
    <w:rsid w:val="00472EA7"/>
    <w:rsid w:val="0047443A"/>
    <w:rsid w:val="00476E14"/>
    <w:rsid w:val="0048008A"/>
    <w:rsid w:val="00484B61"/>
    <w:rsid w:val="00486967"/>
    <w:rsid w:val="004873FB"/>
    <w:rsid w:val="0049233E"/>
    <w:rsid w:val="004962CC"/>
    <w:rsid w:val="004A6495"/>
    <w:rsid w:val="004B0C11"/>
    <w:rsid w:val="004B5915"/>
    <w:rsid w:val="004B6AA8"/>
    <w:rsid w:val="004C0863"/>
    <w:rsid w:val="004D1F92"/>
    <w:rsid w:val="004D2B46"/>
    <w:rsid w:val="004D413E"/>
    <w:rsid w:val="004D52B6"/>
    <w:rsid w:val="004E2086"/>
    <w:rsid w:val="004E2310"/>
    <w:rsid w:val="004E2D49"/>
    <w:rsid w:val="004E2F0D"/>
    <w:rsid w:val="004E3766"/>
    <w:rsid w:val="004F128E"/>
    <w:rsid w:val="004F4F38"/>
    <w:rsid w:val="004F5FD0"/>
    <w:rsid w:val="0050175C"/>
    <w:rsid w:val="00502FBE"/>
    <w:rsid w:val="005055F8"/>
    <w:rsid w:val="00507362"/>
    <w:rsid w:val="00510C99"/>
    <w:rsid w:val="00511D05"/>
    <w:rsid w:val="00512F8C"/>
    <w:rsid w:val="00513759"/>
    <w:rsid w:val="005151FA"/>
    <w:rsid w:val="00523298"/>
    <w:rsid w:val="00523310"/>
    <w:rsid w:val="00523411"/>
    <w:rsid w:val="00524A70"/>
    <w:rsid w:val="00527DA4"/>
    <w:rsid w:val="00530ED5"/>
    <w:rsid w:val="00535551"/>
    <w:rsid w:val="00541DA2"/>
    <w:rsid w:val="00551D5E"/>
    <w:rsid w:val="00555E88"/>
    <w:rsid w:val="0056335F"/>
    <w:rsid w:val="005639AC"/>
    <w:rsid w:val="00566C97"/>
    <w:rsid w:val="00575119"/>
    <w:rsid w:val="005823EC"/>
    <w:rsid w:val="005904B5"/>
    <w:rsid w:val="005A413D"/>
    <w:rsid w:val="005A64BC"/>
    <w:rsid w:val="005A7181"/>
    <w:rsid w:val="005B1427"/>
    <w:rsid w:val="005B2CBF"/>
    <w:rsid w:val="005B51DB"/>
    <w:rsid w:val="005C1423"/>
    <w:rsid w:val="005C43C2"/>
    <w:rsid w:val="005C6C62"/>
    <w:rsid w:val="005D210F"/>
    <w:rsid w:val="005E0C2F"/>
    <w:rsid w:val="005E49E3"/>
    <w:rsid w:val="005E6B2E"/>
    <w:rsid w:val="005F0E09"/>
    <w:rsid w:val="005F13A5"/>
    <w:rsid w:val="005F50AD"/>
    <w:rsid w:val="0060098C"/>
    <w:rsid w:val="00601316"/>
    <w:rsid w:val="00607F38"/>
    <w:rsid w:val="00621A5D"/>
    <w:rsid w:val="00625222"/>
    <w:rsid w:val="0063024E"/>
    <w:rsid w:val="00630C2A"/>
    <w:rsid w:val="006322AD"/>
    <w:rsid w:val="006327D9"/>
    <w:rsid w:val="00635863"/>
    <w:rsid w:val="00640572"/>
    <w:rsid w:val="00642FE4"/>
    <w:rsid w:val="00644A0A"/>
    <w:rsid w:val="00652237"/>
    <w:rsid w:val="00661219"/>
    <w:rsid w:val="00676E2C"/>
    <w:rsid w:val="00682E33"/>
    <w:rsid w:val="00683852"/>
    <w:rsid w:val="00685014"/>
    <w:rsid w:val="0069137C"/>
    <w:rsid w:val="00691BC2"/>
    <w:rsid w:val="006A0AF6"/>
    <w:rsid w:val="006A1112"/>
    <w:rsid w:val="006A3E3D"/>
    <w:rsid w:val="006B14CD"/>
    <w:rsid w:val="006B1F89"/>
    <w:rsid w:val="006C1D2E"/>
    <w:rsid w:val="006C23D4"/>
    <w:rsid w:val="006C5436"/>
    <w:rsid w:val="006C5AEA"/>
    <w:rsid w:val="006D573B"/>
    <w:rsid w:val="006D57DD"/>
    <w:rsid w:val="006D59F7"/>
    <w:rsid w:val="006D6FFA"/>
    <w:rsid w:val="006E3909"/>
    <w:rsid w:val="006E39BD"/>
    <w:rsid w:val="006E72A5"/>
    <w:rsid w:val="006F7F60"/>
    <w:rsid w:val="007036D9"/>
    <w:rsid w:val="0070546F"/>
    <w:rsid w:val="00707AE7"/>
    <w:rsid w:val="00710B83"/>
    <w:rsid w:val="00710CE4"/>
    <w:rsid w:val="0071226A"/>
    <w:rsid w:val="00713E75"/>
    <w:rsid w:val="00713E7E"/>
    <w:rsid w:val="00714C49"/>
    <w:rsid w:val="0072120C"/>
    <w:rsid w:val="0072609C"/>
    <w:rsid w:val="00726B75"/>
    <w:rsid w:val="00732508"/>
    <w:rsid w:val="00740B9D"/>
    <w:rsid w:val="00745F7B"/>
    <w:rsid w:val="00752A46"/>
    <w:rsid w:val="00752AFC"/>
    <w:rsid w:val="0075389C"/>
    <w:rsid w:val="007560E8"/>
    <w:rsid w:val="00761E33"/>
    <w:rsid w:val="007663D1"/>
    <w:rsid w:val="00766A33"/>
    <w:rsid w:val="007700B5"/>
    <w:rsid w:val="00780D9C"/>
    <w:rsid w:val="00792F19"/>
    <w:rsid w:val="0079701A"/>
    <w:rsid w:val="007A0FDC"/>
    <w:rsid w:val="007A5368"/>
    <w:rsid w:val="007A60C0"/>
    <w:rsid w:val="007B1C4F"/>
    <w:rsid w:val="007B354C"/>
    <w:rsid w:val="007C097B"/>
    <w:rsid w:val="007D52FA"/>
    <w:rsid w:val="007D5D5F"/>
    <w:rsid w:val="007D7ECD"/>
    <w:rsid w:val="007E07A7"/>
    <w:rsid w:val="007E4C8A"/>
    <w:rsid w:val="007E5AFC"/>
    <w:rsid w:val="007E75C3"/>
    <w:rsid w:val="007F0A95"/>
    <w:rsid w:val="007F5FD0"/>
    <w:rsid w:val="008128B8"/>
    <w:rsid w:val="00815391"/>
    <w:rsid w:val="00815CC7"/>
    <w:rsid w:val="008166FE"/>
    <w:rsid w:val="008307D0"/>
    <w:rsid w:val="00830E4A"/>
    <w:rsid w:val="00835BCB"/>
    <w:rsid w:val="00850903"/>
    <w:rsid w:val="00850D86"/>
    <w:rsid w:val="00853D8C"/>
    <w:rsid w:val="00865DFE"/>
    <w:rsid w:val="00870122"/>
    <w:rsid w:val="0087493C"/>
    <w:rsid w:val="0087726F"/>
    <w:rsid w:val="00882634"/>
    <w:rsid w:val="00883D6B"/>
    <w:rsid w:val="00886160"/>
    <w:rsid w:val="00895E26"/>
    <w:rsid w:val="008A404B"/>
    <w:rsid w:val="008A4B6B"/>
    <w:rsid w:val="008B2926"/>
    <w:rsid w:val="008B6B28"/>
    <w:rsid w:val="008C40F1"/>
    <w:rsid w:val="008C4744"/>
    <w:rsid w:val="008C645B"/>
    <w:rsid w:val="008D0769"/>
    <w:rsid w:val="008D0F22"/>
    <w:rsid w:val="008D361A"/>
    <w:rsid w:val="008E251D"/>
    <w:rsid w:val="008E582E"/>
    <w:rsid w:val="008E7F4B"/>
    <w:rsid w:val="008F67EE"/>
    <w:rsid w:val="009000C4"/>
    <w:rsid w:val="00911E5A"/>
    <w:rsid w:val="00913C55"/>
    <w:rsid w:val="0092742B"/>
    <w:rsid w:val="00930DEE"/>
    <w:rsid w:val="0093106A"/>
    <w:rsid w:val="00932EAF"/>
    <w:rsid w:val="00934EED"/>
    <w:rsid w:val="00935D83"/>
    <w:rsid w:val="00935F63"/>
    <w:rsid w:val="00936418"/>
    <w:rsid w:val="00940FFD"/>
    <w:rsid w:val="00945A59"/>
    <w:rsid w:val="0094711E"/>
    <w:rsid w:val="0094752C"/>
    <w:rsid w:val="00950E5C"/>
    <w:rsid w:val="0095667D"/>
    <w:rsid w:val="0095690F"/>
    <w:rsid w:val="009612C8"/>
    <w:rsid w:val="009671CB"/>
    <w:rsid w:val="00967968"/>
    <w:rsid w:val="00982352"/>
    <w:rsid w:val="00982D88"/>
    <w:rsid w:val="00986E38"/>
    <w:rsid w:val="00992FF0"/>
    <w:rsid w:val="009A16DE"/>
    <w:rsid w:val="009B1543"/>
    <w:rsid w:val="009B5DA1"/>
    <w:rsid w:val="009B6EB6"/>
    <w:rsid w:val="009C1060"/>
    <w:rsid w:val="009C3BEC"/>
    <w:rsid w:val="009D18FB"/>
    <w:rsid w:val="009D1A24"/>
    <w:rsid w:val="009D30A0"/>
    <w:rsid w:val="009E21BE"/>
    <w:rsid w:val="009E30A1"/>
    <w:rsid w:val="009E33B2"/>
    <w:rsid w:val="009E4C87"/>
    <w:rsid w:val="009E4E8C"/>
    <w:rsid w:val="009E61D6"/>
    <w:rsid w:val="009F305F"/>
    <w:rsid w:val="009F57D2"/>
    <w:rsid w:val="009F72B6"/>
    <w:rsid w:val="009F7301"/>
    <w:rsid w:val="009F7F8B"/>
    <w:rsid w:val="00A008D0"/>
    <w:rsid w:val="00A02D8E"/>
    <w:rsid w:val="00A03549"/>
    <w:rsid w:val="00A07E48"/>
    <w:rsid w:val="00A12979"/>
    <w:rsid w:val="00A15988"/>
    <w:rsid w:val="00A26BA0"/>
    <w:rsid w:val="00A3623A"/>
    <w:rsid w:val="00A36550"/>
    <w:rsid w:val="00A41301"/>
    <w:rsid w:val="00A41F02"/>
    <w:rsid w:val="00A44A89"/>
    <w:rsid w:val="00A51BDB"/>
    <w:rsid w:val="00A52920"/>
    <w:rsid w:val="00A72769"/>
    <w:rsid w:val="00A7306D"/>
    <w:rsid w:val="00A76002"/>
    <w:rsid w:val="00A77107"/>
    <w:rsid w:val="00A77327"/>
    <w:rsid w:val="00A940F0"/>
    <w:rsid w:val="00AA0E81"/>
    <w:rsid w:val="00AA331B"/>
    <w:rsid w:val="00AA4F95"/>
    <w:rsid w:val="00AA64D2"/>
    <w:rsid w:val="00AA678F"/>
    <w:rsid w:val="00AA7B90"/>
    <w:rsid w:val="00AB2FDC"/>
    <w:rsid w:val="00AB43ED"/>
    <w:rsid w:val="00AC1749"/>
    <w:rsid w:val="00AC4F57"/>
    <w:rsid w:val="00AD0330"/>
    <w:rsid w:val="00AD6D59"/>
    <w:rsid w:val="00AE3F71"/>
    <w:rsid w:val="00AE5C03"/>
    <w:rsid w:val="00AE7D2C"/>
    <w:rsid w:val="00B01ECB"/>
    <w:rsid w:val="00B0284E"/>
    <w:rsid w:val="00B078D3"/>
    <w:rsid w:val="00B1079C"/>
    <w:rsid w:val="00B11FE0"/>
    <w:rsid w:val="00B13314"/>
    <w:rsid w:val="00B1344B"/>
    <w:rsid w:val="00B142D6"/>
    <w:rsid w:val="00B154A6"/>
    <w:rsid w:val="00B17378"/>
    <w:rsid w:val="00B21FA5"/>
    <w:rsid w:val="00B22229"/>
    <w:rsid w:val="00B25AC1"/>
    <w:rsid w:val="00B25BBF"/>
    <w:rsid w:val="00B343E6"/>
    <w:rsid w:val="00B4127B"/>
    <w:rsid w:val="00B413DD"/>
    <w:rsid w:val="00B45F26"/>
    <w:rsid w:val="00B50D6E"/>
    <w:rsid w:val="00B51477"/>
    <w:rsid w:val="00B51BC4"/>
    <w:rsid w:val="00B51E41"/>
    <w:rsid w:val="00B52E63"/>
    <w:rsid w:val="00B616DA"/>
    <w:rsid w:val="00B74383"/>
    <w:rsid w:val="00B7791A"/>
    <w:rsid w:val="00B8044D"/>
    <w:rsid w:val="00B8172C"/>
    <w:rsid w:val="00B83F95"/>
    <w:rsid w:val="00B8540A"/>
    <w:rsid w:val="00B8680C"/>
    <w:rsid w:val="00B90B93"/>
    <w:rsid w:val="00B93AD3"/>
    <w:rsid w:val="00BA20C9"/>
    <w:rsid w:val="00BA23F1"/>
    <w:rsid w:val="00BA57B5"/>
    <w:rsid w:val="00BB32FC"/>
    <w:rsid w:val="00BB3A0A"/>
    <w:rsid w:val="00BC3C31"/>
    <w:rsid w:val="00BD090E"/>
    <w:rsid w:val="00BD1274"/>
    <w:rsid w:val="00BD3FD5"/>
    <w:rsid w:val="00BD40F7"/>
    <w:rsid w:val="00BE05BB"/>
    <w:rsid w:val="00BF1A4D"/>
    <w:rsid w:val="00BF5F61"/>
    <w:rsid w:val="00C032BD"/>
    <w:rsid w:val="00C067DC"/>
    <w:rsid w:val="00C071DD"/>
    <w:rsid w:val="00C07F29"/>
    <w:rsid w:val="00C109CF"/>
    <w:rsid w:val="00C10B0C"/>
    <w:rsid w:val="00C15CC2"/>
    <w:rsid w:val="00C27290"/>
    <w:rsid w:val="00C34286"/>
    <w:rsid w:val="00C3452C"/>
    <w:rsid w:val="00C368F4"/>
    <w:rsid w:val="00C37490"/>
    <w:rsid w:val="00C401FD"/>
    <w:rsid w:val="00C4138F"/>
    <w:rsid w:val="00C4239E"/>
    <w:rsid w:val="00C43979"/>
    <w:rsid w:val="00C46089"/>
    <w:rsid w:val="00C464C9"/>
    <w:rsid w:val="00C500F7"/>
    <w:rsid w:val="00C50EAE"/>
    <w:rsid w:val="00C518AA"/>
    <w:rsid w:val="00C54E51"/>
    <w:rsid w:val="00C555C4"/>
    <w:rsid w:val="00C55714"/>
    <w:rsid w:val="00C56E63"/>
    <w:rsid w:val="00C65FD6"/>
    <w:rsid w:val="00C7266C"/>
    <w:rsid w:val="00C72856"/>
    <w:rsid w:val="00C7353D"/>
    <w:rsid w:val="00C77528"/>
    <w:rsid w:val="00C80E42"/>
    <w:rsid w:val="00C843E5"/>
    <w:rsid w:val="00C8637C"/>
    <w:rsid w:val="00C90E61"/>
    <w:rsid w:val="00C92914"/>
    <w:rsid w:val="00C95452"/>
    <w:rsid w:val="00C95AF8"/>
    <w:rsid w:val="00C97B0A"/>
    <w:rsid w:val="00CA1935"/>
    <w:rsid w:val="00CA1E51"/>
    <w:rsid w:val="00CA1F6C"/>
    <w:rsid w:val="00CA230C"/>
    <w:rsid w:val="00CA3BC6"/>
    <w:rsid w:val="00CB18E8"/>
    <w:rsid w:val="00CB42F9"/>
    <w:rsid w:val="00CB4BB2"/>
    <w:rsid w:val="00CC5EBA"/>
    <w:rsid w:val="00CC687D"/>
    <w:rsid w:val="00CD1F78"/>
    <w:rsid w:val="00CD763C"/>
    <w:rsid w:val="00CD7854"/>
    <w:rsid w:val="00CE0765"/>
    <w:rsid w:val="00CE4B22"/>
    <w:rsid w:val="00CE4D9A"/>
    <w:rsid w:val="00CE7904"/>
    <w:rsid w:val="00CF72D5"/>
    <w:rsid w:val="00CF7C91"/>
    <w:rsid w:val="00D05444"/>
    <w:rsid w:val="00D06A28"/>
    <w:rsid w:val="00D25E73"/>
    <w:rsid w:val="00D30431"/>
    <w:rsid w:val="00D30506"/>
    <w:rsid w:val="00D360D3"/>
    <w:rsid w:val="00D4342F"/>
    <w:rsid w:val="00D435A8"/>
    <w:rsid w:val="00D44A98"/>
    <w:rsid w:val="00D450FF"/>
    <w:rsid w:val="00D52223"/>
    <w:rsid w:val="00D658D1"/>
    <w:rsid w:val="00D67E5F"/>
    <w:rsid w:val="00D700F9"/>
    <w:rsid w:val="00D709EE"/>
    <w:rsid w:val="00D713D1"/>
    <w:rsid w:val="00D73555"/>
    <w:rsid w:val="00D74062"/>
    <w:rsid w:val="00D74C90"/>
    <w:rsid w:val="00D763B1"/>
    <w:rsid w:val="00D8284E"/>
    <w:rsid w:val="00D861E8"/>
    <w:rsid w:val="00D91C69"/>
    <w:rsid w:val="00D94B7F"/>
    <w:rsid w:val="00D964DA"/>
    <w:rsid w:val="00DA0527"/>
    <w:rsid w:val="00DA6955"/>
    <w:rsid w:val="00DA7BE3"/>
    <w:rsid w:val="00DB18CD"/>
    <w:rsid w:val="00DB3C15"/>
    <w:rsid w:val="00DB498E"/>
    <w:rsid w:val="00DB4BE6"/>
    <w:rsid w:val="00DB57F0"/>
    <w:rsid w:val="00DB5FF6"/>
    <w:rsid w:val="00DB7A28"/>
    <w:rsid w:val="00DC4276"/>
    <w:rsid w:val="00DC5B6B"/>
    <w:rsid w:val="00DC63D7"/>
    <w:rsid w:val="00DD227D"/>
    <w:rsid w:val="00DD27EE"/>
    <w:rsid w:val="00DE2BD8"/>
    <w:rsid w:val="00DF0182"/>
    <w:rsid w:val="00DF474B"/>
    <w:rsid w:val="00DF59FF"/>
    <w:rsid w:val="00DF6BA5"/>
    <w:rsid w:val="00E006C3"/>
    <w:rsid w:val="00E1233F"/>
    <w:rsid w:val="00E167E6"/>
    <w:rsid w:val="00E168D7"/>
    <w:rsid w:val="00E16A2B"/>
    <w:rsid w:val="00E17FAA"/>
    <w:rsid w:val="00E22E43"/>
    <w:rsid w:val="00E27CF4"/>
    <w:rsid w:val="00E41124"/>
    <w:rsid w:val="00E43B1A"/>
    <w:rsid w:val="00E4404E"/>
    <w:rsid w:val="00E44556"/>
    <w:rsid w:val="00E4486C"/>
    <w:rsid w:val="00E45883"/>
    <w:rsid w:val="00E47746"/>
    <w:rsid w:val="00E47992"/>
    <w:rsid w:val="00E50CC5"/>
    <w:rsid w:val="00E52082"/>
    <w:rsid w:val="00E537D2"/>
    <w:rsid w:val="00E57AAD"/>
    <w:rsid w:val="00E57CB7"/>
    <w:rsid w:val="00E57DB3"/>
    <w:rsid w:val="00E60456"/>
    <w:rsid w:val="00E6148D"/>
    <w:rsid w:val="00E647B9"/>
    <w:rsid w:val="00E6666C"/>
    <w:rsid w:val="00E713C8"/>
    <w:rsid w:val="00E71A01"/>
    <w:rsid w:val="00E74240"/>
    <w:rsid w:val="00E74CB1"/>
    <w:rsid w:val="00E75CF6"/>
    <w:rsid w:val="00E8081C"/>
    <w:rsid w:val="00E80F6C"/>
    <w:rsid w:val="00E83E35"/>
    <w:rsid w:val="00E91868"/>
    <w:rsid w:val="00E92AA2"/>
    <w:rsid w:val="00E93AF4"/>
    <w:rsid w:val="00E94523"/>
    <w:rsid w:val="00E95E9C"/>
    <w:rsid w:val="00EA02BE"/>
    <w:rsid w:val="00EA6EBE"/>
    <w:rsid w:val="00EB1352"/>
    <w:rsid w:val="00EB4D59"/>
    <w:rsid w:val="00EC4E34"/>
    <w:rsid w:val="00ED6DFC"/>
    <w:rsid w:val="00EE04A9"/>
    <w:rsid w:val="00EE06AC"/>
    <w:rsid w:val="00EE3509"/>
    <w:rsid w:val="00EF0E30"/>
    <w:rsid w:val="00EF4158"/>
    <w:rsid w:val="00F00808"/>
    <w:rsid w:val="00F035B7"/>
    <w:rsid w:val="00F05728"/>
    <w:rsid w:val="00F07F81"/>
    <w:rsid w:val="00F111D7"/>
    <w:rsid w:val="00F12004"/>
    <w:rsid w:val="00F12EC0"/>
    <w:rsid w:val="00F160D7"/>
    <w:rsid w:val="00F16736"/>
    <w:rsid w:val="00F20036"/>
    <w:rsid w:val="00F24100"/>
    <w:rsid w:val="00F25E33"/>
    <w:rsid w:val="00F32079"/>
    <w:rsid w:val="00F37A6B"/>
    <w:rsid w:val="00F41A05"/>
    <w:rsid w:val="00F50AFC"/>
    <w:rsid w:val="00F56F2B"/>
    <w:rsid w:val="00F600E4"/>
    <w:rsid w:val="00F66EC1"/>
    <w:rsid w:val="00F72579"/>
    <w:rsid w:val="00F773F9"/>
    <w:rsid w:val="00F819A9"/>
    <w:rsid w:val="00F8586C"/>
    <w:rsid w:val="00F86144"/>
    <w:rsid w:val="00F94735"/>
    <w:rsid w:val="00F965C0"/>
    <w:rsid w:val="00FA39CC"/>
    <w:rsid w:val="00FA5436"/>
    <w:rsid w:val="00FA58B5"/>
    <w:rsid w:val="00FA7C85"/>
    <w:rsid w:val="00FB0A8A"/>
    <w:rsid w:val="00FB3B06"/>
    <w:rsid w:val="00FB5B2E"/>
    <w:rsid w:val="00FD1103"/>
    <w:rsid w:val="00FD6000"/>
    <w:rsid w:val="00FD7BCF"/>
    <w:rsid w:val="00FE0E2C"/>
    <w:rsid w:val="00FE34DF"/>
    <w:rsid w:val="00FE752C"/>
    <w:rsid w:val="00FF12D0"/>
    <w:rsid w:val="00FF558A"/>
    <w:rsid w:val="00FF7C61"/>
    <w:rsid w:val="04070FD7"/>
    <w:rsid w:val="04191FE8"/>
    <w:rsid w:val="04AD49AF"/>
    <w:rsid w:val="05320427"/>
    <w:rsid w:val="05675650"/>
    <w:rsid w:val="079C35A2"/>
    <w:rsid w:val="07E57F8A"/>
    <w:rsid w:val="091866F2"/>
    <w:rsid w:val="09A901E7"/>
    <w:rsid w:val="09AA1EA3"/>
    <w:rsid w:val="09B47B48"/>
    <w:rsid w:val="0AB83E86"/>
    <w:rsid w:val="0B457729"/>
    <w:rsid w:val="0BC37BA5"/>
    <w:rsid w:val="0C5D6CB0"/>
    <w:rsid w:val="0D262955"/>
    <w:rsid w:val="0D5546C2"/>
    <w:rsid w:val="0F047AD5"/>
    <w:rsid w:val="10566193"/>
    <w:rsid w:val="113E1ECE"/>
    <w:rsid w:val="11590601"/>
    <w:rsid w:val="129A7375"/>
    <w:rsid w:val="12D9586D"/>
    <w:rsid w:val="14F73442"/>
    <w:rsid w:val="15015A4D"/>
    <w:rsid w:val="15BB3FE0"/>
    <w:rsid w:val="181F6FEE"/>
    <w:rsid w:val="1ABC6140"/>
    <w:rsid w:val="1B7B1FFE"/>
    <w:rsid w:val="1C596267"/>
    <w:rsid w:val="1D4B15AF"/>
    <w:rsid w:val="1DE673AB"/>
    <w:rsid w:val="1E065D08"/>
    <w:rsid w:val="1F675596"/>
    <w:rsid w:val="1F881C91"/>
    <w:rsid w:val="1F8A53A7"/>
    <w:rsid w:val="22661437"/>
    <w:rsid w:val="23155FF5"/>
    <w:rsid w:val="2360512A"/>
    <w:rsid w:val="27F018C7"/>
    <w:rsid w:val="280C59D4"/>
    <w:rsid w:val="2A1C1D38"/>
    <w:rsid w:val="2B7820CD"/>
    <w:rsid w:val="2B7D1323"/>
    <w:rsid w:val="2BD72000"/>
    <w:rsid w:val="2BF45A41"/>
    <w:rsid w:val="2D840453"/>
    <w:rsid w:val="301D1BA7"/>
    <w:rsid w:val="33B144DD"/>
    <w:rsid w:val="34195B0A"/>
    <w:rsid w:val="34FF30A8"/>
    <w:rsid w:val="359D100F"/>
    <w:rsid w:val="36EA36F6"/>
    <w:rsid w:val="377C34BF"/>
    <w:rsid w:val="384C3ABA"/>
    <w:rsid w:val="3B027975"/>
    <w:rsid w:val="3CE3374A"/>
    <w:rsid w:val="3D6873BC"/>
    <w:rsid w:val="3F4D6AD1"/>
    <w:rsid w:val="417D7548"/>
    <w:rsid w:val="430F6C0D"/>
    <w:rsid w:val="4393335D"/>
    <w:rsid w:val="43AA6122"/>
    <w:rsid w:val="45227573"/>
    <w:rsid w:val="46CC17F1"/>
    <w:rsid w:val="474D674C"/>
    <w:rsid w:val="48EF052A"/>
    <w:rsid w:val="49646C15"/>
    <w:rsid w:val="4AC130BF"/>
    <w:rsid w:val="4B6533E5"/>
    <w:rsid w:val="4D2E398B"/>
    <w:rsid w:val="4EBA7F34"/>
    <w:rsid w:val="50736177"/>
    <w:rsid w:val="50A2358F"/>
    <w:rsid w:val="51AC7161"/>
    <w:rsid w:val="51AF2A2C"/>
    <w:rsid w:val="54A46C00"/>
    <w:rsid w:val="55CE2806"/>
    <w:rsid w:val="55DB2445"/>
    <w:rsid w:val="55F65E25"/>
    <w:rsid w:val="57AB69E7"/>
    <w:rsid w:val="57B97182"/>
    <w:rsid w:val="585E0AFE"/>
    <w:rsid w:val="59C8705B"/>
    <w:rsid w:val="5AAB183A"/>
    <w:rsid w:val="5C421161"/>
    <w:rsid w:val="5F0F3C40"/>
    <w:rsid w:val="60184B53"/>
    <w:rsid w:val="61F45016"/>
    <w:rsid w:val="623E7BBD"/>
    <w:rsid w:val="641F6B07"/>
    <w:rsid w:val="656B4D08"/>
    <w:rsid w:val="68AE46AB"/>
    <w:rsid w:val="68B4270D"/>
    <w:rsid w:val="698C7B0F"/>
    <w:rsid w:val="69C27EFD"/>
    <w:rsid w:val="6A366533"/>
    <w:rsid w:val="6A805665"/>
    <w:rsid w:val="6B992415"/>
    <w:rsid w:val="6CF406D1"/>
    <w:rsid w:val="6D335B0B"/>
    <w:rsid w:val="6DCC1AD8"/>
    <w:rsid w:val="703219B2"/>
    <w:rsid w:val="70517456"/>
    <w:rsid w:val="7060648B"/>
    <w:rsid w:val="717040FC"/>
    <w:rsid w:val="71BC008E"/>
    <w:rsid w:val="723E1398"/>
    <w:rsid w:val="72A14A47"/>
    <w:rsid w:val="730C77B1"/>
    <w:rsid w:val="735D680B"/>
    <w:rsid w:val="73655BBF"/>
    <w:rsid w:val="7425434E"/>
    <w:rsid w:val="74964A72"/>
    <w:rsid w:val="791F22C6"/>
    <w:rsid w:val="7ACF29F8"/>
    <w:rsid w:val="7ADA0DE1"/>
    <w:rsid w:val="7F1864ED"/>
    <w:rsid w:val="7F633EA2"/>
    <w:rsid w:val="7FDB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1" w:name="heading 8"/>
    <w:lsdException w:qFormat="1" w:uiPriority="1"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0" w:semiHidden="0"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1" w:name="caption"/>
    <w:lsdException w:uiPriority="1" w:name="table of figures"/>
    <w:lsdException w:uiPriority="1" w:name="envelope address"/>
    <w:lsdException w:qFormat="1" w:uiPriority="99" w:semiHidden="0" w:name="envelope return"/>
    <w:lsdException w:uiPriority="1" w:name="footnote reference"/>
    <w:lsdException w:qFormat="1" w:uiPriority="0" w:semiHidden="0" w:name="annotation reference"/>
    <w:lsdException w:uiPriority="1" w:name="line number"/>
    <w:lsdException w:qFormat="1" w:unhideWhenUsed="0" w:uiPriority="99" w:semiHidden="0" w:name="page number"/>
    <w:lsdException w:uiPriority="1" w:name="endnote reference"/>
    <w:lsdException w:uiPriority="1" w:name="endnote text"/>
    <w:lsdException w:qFormat="1" w:unhideWhenUsed="0" w:uiPriority="0" w:name="table of authorities"/>
    <w:lsdException w:uiPriority="1" w:name="macro"/>
    <w:lsdException w:qFormat="1" w:unhideWhenUsed="0" w:uiPriority="0"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0" w:semiHidden="0"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99" w:semiHidden="0"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5"/>
    <w:qFormat/>
    <w:uiPriority w:val="99"/>
    <w:pPr>
      <w:keepNext/>
      <w:keepLines/>
      <w:spacing w:before="340" w:after="330" w:line="578" w:lineRule="auto"/>
      <w:outlineLvl w:val="0"/>
    </w:pPr>
    <w:rPr>
      <w:b/>
      <w:bCs/>
      <w:kern w:val="44"/>
      <w:sz w:val="30"/>
      <w:szCs w:val="44"/>
    </w:rPr>
  </w:style>
  <w:style w:type="paragraph" w:styleId="3">
    <w:name w:val="heading 2"/>
    <w:basedOn w:val="1"/>
    <w:next w:val="1"/>
    <w:link w:val="109"/>
    <w:qFormat/>
    <w:uiPriority w:val="99"/>
    <w:pPr>
      <w:keepNext/>
      <w:keepLines/>
      <w:spacing w:before="260" w:after="260" w:line="416" w:lineRule="auto"/>
      <w:ind w:firstLine="628"/>
      <w:jc w:val="center"/>
      <w:outlineLvl w:val="1"/>
    </w:pPr>
    <w:rPr>
      <w:rFonts w:ascii="Arial" w:hAnsi="Arial" w:eastAsia="黑体"/>
      <w:b/>
      <w:bCs/>
      <w:sz w:val="32"/>
      <w:szCs w:val="32"/>
    </w:rPr>
  </w:style>
  <w:style w:type="paragraph" w:styleId="4">
    <w:name w:val="heading 3"/>
    <w:basedOn w:val="1"/>
    <w:next w:val="1"/>
    <w:link w:val="108"/>
    <w:qFormat/>
    <w:uiPriority w:val="0"/>
    <w:pPr>
      <w:keepNext/>
      <w:keepLines/>
      <w:spacing w:before="260" w:after="260" w:line="416" w:lineRule="auto"/>
      <w:jc w:val="center"/>
      <w:outlineLvl w:val="2"/>
    </w:pPr>
    <w:rPr>
      <w:rFonts w:ascii="宋体"/>
      <w:b/>
      <w:bCs/>
      <w:sz w:val="32"/>
      <w:szCs w:val="32"/>
    </w:rPr>
  </w:style>
  <w:style w:type="paragraph" w:styleId="5">
    <w:name w:val="heading 4"/>
    <w:basedOn w:val="1"/>
    <w:next w:val="1"/>
    <w:link w:val="9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6"/>
    <w:qFormat/>
    <w:uiPriority w:val="0"/>
    <w:pPr>
      <w:keepNext/>
      <w:outlineLvl w:val="4"/>
    </w:pPr>
    <w:rPr>
      <w:rFonts w:ascii="宋体" w:hAnsi="Arial"/>
      <w:bCs/>
      <w:sz w:val="28"/>
      <w:szCs w:val="20"/>
    </w:rPr>
  </w:style>
  <w:style w:type="paragraph" w:styleId="7">
    <w:name w:val="heading 6"/>
    <w:basedOn w:val="1"/>
    <w:next w:val="1"/>
    <w:link w:val="95"/>
    <w:qFormat/>
    <w:uiPriority w:val="0"/>
    <w:pPr>
      <w:keepNext/>
      <w:autoSpaceDE w:val="0"/>
      <w:autoSpaceDN w:val="0"/>
      <w:adjustRightInd w:val="0"/>
      <w:spacing w:beforeLines="50" w:afterLines="50" w:line="300" w:lineRule="exact"/>
      <w:jc w:val="center"/>
      <w:outlineLvl w:val="5"/>
    </w:pPr>
    <w:rPr>
      <w:rFonts w:ascii="宋体" w:hAnsi="宋体"/>
      <w:kern w:val="0"/>
      <w:sz w:val="28"/>
      <w:szCs w:val="20"/>
    </w:rPr>
  </w:style>
  <w:style w:type="paragraph" w:styleId="8">
    <w:name w:val="heading 7"/>
    <w:basedOn w:val="1"/>
    <w:next w:val="1"/>
    <w:link w:val="94"/>
    <w:qFormat/>
    <w:uiPriority w:val="0"/>
    <w:pPr>
      <w:keepNext/>
      <w:keepLines/>
      <w:spacing w:before="240" w:after="64" w:line="320" w:lineRule="auto"/>
      <w:ind w:right="-24" w:rightChars="-10" w:firstLine="464" w:firstLineChars="225"/>
      <w:jc w:val="left"/>
      <w:outlineLvl w:val="6"/>
    </w:pPr>
    <w:rPr>
      <w:rFonts w:ascii="Arial" w:hAnsi="Arial" w:eastAsia="仿宋_GB2312"/>
      <w:b/>
      <w:bCs/>
      <w:spacing w:val="-4"/>
      <w:sz w:val="24"/>
      <w:szCs w:val="24"/>
    </w:rPr>
  </w:style>
  <w:style w:type="character" w:default="1" w:styleId="52">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semiHidden/>
    <w:qFormat/>
    <w:uiPriority w:val="0"/>
    <w:pPr>
      <w:ind w:left="1260"/>
      <w:jc w:val="left"/>
    </w:pPr>
    <w:rPr>
      <w:szCs w:val="21"/>
    </w:rPr>
  </w:style>
  <w:style w:type="paragraph" w:styleId="10">
    <w:name w:val="table of authorities"/>
    <w:basedOn w:val="1"/>
    <w:next w:val="1"/>
    <w:semiHidden/>
    <w:qFormat/>
    <w:uiPriority w:val="0"/>
    <w:pPr>
      <w:ind w:left="420" w:leftChars="200"/>
    </w:pPr>
    <w:rPr>
      <w:szCs w:val="20"/>
    </w:rPr>
  </w:style>
  <w:style w:type="paragraph" w:styleId="11">
    <w:name w:val="index 8"/>
    <w:basedOn w:val="1"/>
    <w:next w:val="1"/>
    <w:semiHidden/>
    <w:qFormat/>
    <w:uiPriority w:val="0"/>
    <w:pPr>
      <w:ind w:left="1400" w:leftChars="1400"/>
    </w:pPr>
    <w:rPr>
      <w:szCs w:val="20"/>
    </w:rPr>
  </w:style>
  <w:style w:type="paragraph" w:styleId="12">
    <w:name w:val="Normal Indent"/>
    <w:basedOn w:val="1"/>
    <w:unhideWhenUsed/>
    <w:qFormat/>
    <w:uiPriority w:val="0"/>
    <w:pPr>
      <w:ind w:firstLine="420" w:firstLineChars="200"/>
    </w:pPr>
    <w:rPr>
      <w:rFonts w:ascii="Calibri" w:hAnsi="Calibri"/>
    </w:rPr>
  </w:style>
  <w:style w:type="paragraph" w:styleId="13">
    <w:name w:val="index 5"/>
    <w:basedOn w:val="1"/>
    <w:next w:val="1"/>
    <w:semiHidden/>
    <w:qFormat/>
    <w:uiPriority w:val="0"/>
    <w:pPr>
      <w:ind w:left="800" w:leftChars="800"/>
    </w:pPr>
    <w:rPr>
      <w:szCs w:val="20"/>
    </w:rPr>
  </w:style>
  <w:style w:type="paragraph" w:styleId="14">
    <w:name w:val="Document Map"/>
    <w:basedOn w:val="1"/>
    <w:link w:val="100"/>
    <w:semiHidden/>
    <w:qFormat/>
    <w:uiPriority w:val="0"/>
    <w:pPr>
      <w:shd w:val="clear" w:color="auto" w:fill="000080"/>
    </w:pPr>
    <w:rPr>
      <w:szCs w:val="20"/>
    </w:rPr>
  </w:style>
  <w:style w:type="paragraph" w:styleId="15">
    <w:name w:val="toa heading"/>
    <w:basedOn w:val="1"/>
    <w:next w:val="1"/>
    <w:semiHidden/>
    <w:qFormat/>
    <w:uiPriority w:val="0"/>
    <w:pPr>
      <w:spacing w:before="120"/>
    </w:pPr>
    <w:rPr>
      <w:rFonts w:ascii="Arial" w:hAnsi="Arial"/>
      <w:b/>
      <w:bCs/>
      <w:szCs w:val="24"/>
    </w:rPr>
  </w:style>
  <w:style w:type="paragraph" w:styleId="16">
    <w:name w:val="annotation text"/>
    <w:basedOn w:val="1"/>
    <w:link w:val="102"/>
    <w:qFormat/>
    <w:uiPriority w:val="0"/>
    <w:pPr>
      <w:jc w:val="left"/>
    </w:pPr>
    <w:rPr>
      <w:szCs w:val="20"/>
    </w:rPr>
  </w:style>
  <w:style w:type="paragraph" w:styleId="17">
    <w:name w:val="index 6"/>
    <w:basedOn w:val="1"/>
    <w:next w:val="1"/>
    <w:semiHidden/>
    <w:qFormat/>
    <w:uiPriority w:val="0"/>
    <w:pPr>
      <w:ind w:left="1000" w:leftChars="1000"/>
    </w:pPr>
    <w:rPr>
      <w:szCs w:val="20"/>
    </w:rPr>
  </w:style>
  <w:style w:type="paragraph" w:styleId="18">
    <w:name w:val="Body Text 3"/>
    <w:basedOn w:val="1"/>
    <w:link w:val="104"/>
    <w:qFormat/>
    <w:uiPriority w:val="0"/>
    <w:rPr>
      <w:rFonts w:ascii="黑体" w:hAnsi="Arial" w:eastAsia="黑体"/>
      <w:b/>
      <w:sz w:val="28"/>
      <w:szCs w:val="20"/>
    </w:rPr>
  </w:style>
  <w:style w:type="paragraph" w:styleId="19">
    <w:name w:val="Body Text"/>
    <w:basedOn w:val="1"/>
    <w:link w:val="99"/>
    <w:qFormat/>
    <w:uiPriority w:val="0"/>
    <w:rPr>
      <w:rFonts w:ascii="宋体" w:hAnsi="Arial"/>
      <w:sz w:val="28"/>
      <w:szCs w:val="20"/>
    </w:rPr>
  </w:style>
  <w:style w:type="paragraph" w:styleId="20">
    <w:name w:val="Body Text Indent"/>
    <w:basedOn w:val="1"/>
    <w:next w:val="21"/>
    <w:link w:val="89"/>
    <w:qFormat/>
    <w:uiPriority w:val="0"/>
    <w:pPr>
      <w:ind w:firstLine="645"/>
    </w:pPr>
    <w:rPr>
      <w:rFonts w:ascii="楷体_GB2312" w:eastAsia="楷体_GB2312"/>
      <w:sz w:val="32"/>
      <w:szCs w:val="20"/>
    </w:rPr>
  </w:style>
  <w:style w:type="paragraph" w:styleId="21">
    <w:name w:val="envelope return"/>
    <w:basedOn w:val="1"/>
    <w:unhideWhenUsed/>
    <w:qFormat/>
    <w:uiPriority w:val="99"/>
    <w:pPr>
      <w:snapToGrid w:val="0"/>
    </w:pPr>
    <w:rPr>
      <w:rFonts w:ascii="Arial" w:hAnsi="Arial"/>
    </w:rPr>
  </w:style>
  <w:style w:type="paragraph" w:styleId="22">
    <w:name w:val="Block Text"/>
    <w:basedOn w:val="1"/>
    <w:qFormat/>
    <w:uiPriority w:val="99"/>
    <w:pPr>
      <w:spacing w:after="156"/>
    </w:pPr>
    <w:rPr>
      <w:rFonts w:ascii="宋体"/>
    </w:rPr>
  </w:style>
  <w:style w:type="paragraph" w:styleId="23">
    <w:name w:val="index 4"/>
    <w:basedOn w:val="1"/>
    <w:next w:val="1"/>
    <w:semiHidden/>
    <w:qFormat/>
    <w:uiPriority w:val="0"/>
    <w:pPr>
      <w:ind w:left="600" w:leftChars="600"/>
    </w:pPr>
    <w:rPr>
      <w:szCs w:val="20"/>
    </w:rPr>
  </w:style>
  <w:style w:type="paragraph" w:styleId="24">
    <w:name w:val="toc 5"/>
    <w:basedOn w:val="1"/>
    <w:next w:val="1"/>
    <w:semiHidden/>
    <w:qFormat/>
    <w:uiPriority w:val="0"/>
    <w:pPr>
      <w:ind w:left="840"/>
      <w:jc w:val="left"/>
    </w:pPr>
    <w:rPr>
      <w:szCs w:val="21"/>
    </w:rPr>
  </w:style>
  <w:style w:type="paragraph" w:styleId="25">
    <w:name w:val="toc 3"/>
    <w:basedOn w:val="1"/>
    <w:next w:val="1"/>
    <w:qFormat/>
    <w:uiPriority w:val="39"/>
    <w:pPr>
      <w:tabs>
        <w:tab w:val="right" w:leader="dot" w:pos="9403"/>
      </w:tabs>
      <w:spacing w:line="380" w:lineRule="exact"/>
      <w:ind w:left="420"/>
      <w:jc w:val="left"/>
    </w:pPr>
    <w:rPr>
      <w:i/>
      <w:iCs/>
      <w:szCs w:val="24"/>
    </w:rPr>
  </w:style>
  <w:style w:type="paragraph" w:styleId="26">
    <w:name w:val="Plain Text"/>
    <w:basedOn w:val="1"/>
    <w:link w:val="92"/>
    <w:qFormat/>
    <w:uiPriority w:val="0"/>
    <w:rPr>
      <w:rFonts w:ascii="宋体" w:hAnsi="Courier New"/>
      <w:szCs w:val="20"/>
    </w:rPr>
  </w:style>
  <w:style w:type="paragraph" w:styleId="27">
    <w:name w:val="toc 8"/>
    <w:basedOn w:val="1"/>
    <w:next w:val="1"/>
    <w:semiHidden/>
    <w:qFormat/>
    <w:uiPriority w:val="0"/>
    <w:pPr>
      <w:ind w:left="1470"/>
      <w:jc w:val="left"/>
    </w:pPr>
    <w:rPr>
      <w:szCs w:val="21"/>
    </w:rPr>
  </w:style>
  <w:style w:type="paragraph" w:styleId="28">
    <w:name w:val="index 3"/>
    <w:basedOn w:val="1"/>
    <w:next w:val="1"/>
    <w:semiHidden/>
    <w:qFormat/>
    <w:uiPriority w:val="0"/>
    <w:pPr>
      <w:ind w:left="400" w:leftChars="400"/>
    </w:pPr>
    <w:rPr>
      <w:szCs w:val="20"/>
    </w:rPr>
  </w:style>
  <w:style w:type="paragraph" w:styleId="29">
    <w:name w:val="Date"/>
    <w:basedOn w:val="1"/>
    <w:next w:val="1"/>
    <w:link w:val="85"/>
    <w:qFormat/>
    <w:uiPriority w:val="0"/>
    <w:rPr>
      <w:b/>
      <w:sz w:val="28"/>
      <w:szCs w:val="20"/>
    </w:rPr>
  </w:style>
  <w:style w:type="paragraph" w:styleId="30">
    <w:name w:val="Body Text Indent 2"/>
    <w:basedOn w:val="1"/>
    <w:link w:val="87"/>
    <w:qFormat/>
    <w:uiPriority w:val="0"/>
    <w:pPr>
      <w:ind w:left="630" w:firstLine="645"/>
    </w:pPr>
    <w:rPr>
      <w:rFonts w:ascii="Arial" w:hAnsi="Arial" w:eastAsia="仿宋_GB2312"/>
      <w:sz w:val="32"/>
      <w:szCs w:val="20"/>
    </w:rPr>
  </w:style>
  <w:style w:type="paragraph" w:styleId="31">
    <w:name w:val="Balloon Text"/>
    <w:basedOn w:val="1"/>
    <w:link w:val="110"/>
    <w:qFormat/>
    <w:uiPriority w:val="99"/>
    <w:rPr>
      <w:sz w:val="18"/>
      <w:szCs w:val="18"/>
    </w:rPr>
  </w:style>
  <w:style w:type="paragraph" w:styleId="32">
    <w:name w:val="footer"/>
    <w:basedOn w:val="1"/>
    <w:link w:val="93"/>
    <w:qFormat/>
    <w:uiPriority w:val="99"/>
    <w:pPr>
      <w:tabs>
        <w:tab w:val="center" w:pos="4153"/>
        <w:tab w:val="right" w:pos="8306"/>
      </w:tabs>
      <w:snapToGrid w:val="0"/>
      <w:jc w:val="left"/>
    </w:pPr>
    <w:rPr>
      <w:sz w:val="18"/>
      <w:szCs w:val="20"/>
    </w:rPr>
  </w:style>
  <w:style w:type="paragraph" w:styleId="33">
    <w:name w:val="header"/>
    <w:basedOn w:val="1"/>
    <w:link w:val="103"/>
    <w:qFormat/>
    <w:uiPriority w:val="0"/>
    <w:pPr>
      <w:pBdr>
        <w:bottom w:val="single" w:color="auto" w:sz="6" w:space="1"/>
      </w:pBdr>
      <w:tabs>
        <w:tab w:val="center" w:pos="4153"/>
        <w:tab w:val="right" w:pos="8306"/>
      </w:tabs>
      <w:snapToGrid w:val="0"/>
      <w:jc w:val="center"/>
    </w:pPr>
    <w:rPr>
      <w:sz w:val="18"/>
      <w:szCs w:val="20"/>
    </w:rPr>
  </w:style>
  <w:style w:type="paragraph" w:styleId="34">
    <w:name w:val="toc 1"/>
    <w:basedOn w:val="1"/>
    <w:next w:val="1"/>
    <w:qFormat/>
    <w:uiPriority w:val="39"/>
    <w:pPr>
      <w:spacing w:before="120" w:after="120"/>
      <w:jc w:val="left"/>
    </w:pPr>
    <w:rPr>
      <w:caps/>
      <w:szCs w:val="24"/>
    </w:rPr>
  </w:style>
  <w:style w:type="paragraph" w:styleId="35">
    <w:name w:val="toc 4"/>
    <w:basedOn w:val="1"/>
    <w:next w:val="1"/>
    <w:semiHidden/>
    <w:qFormat/>
    <w:uiPriority w:val="0"/>
    <w:pPr>
      <w:ind w:left="630"/>
      <w:jc w:val="left"/>
    </w:pPr>
    <w:rPr>
      <w:szCs w:val="21"/>
    </w:rPr>
  </w:style>
  <w:style w:type="paragraph" w:styleId="36">
    <w:name w:val="index heading"/>
    <w:basedOn w:val="1"/>
    <w:next w:val="37"/>
    <w:semiHidden/>
    <w:qFormat/>
    <w:uiPriority w:val="0"/>
    <w:rPr>
      <w:szCs w:val="20"/>
    </w:rPr>
  </w:style>
  <w:style w:type="paragraph" w:styleId="37">
    <w:name w:val="index 1"/>
    <w:basedOn w:val="1"/>
    <w:next w:val="1"/>
    <w:semiHidden/>
    <w:qFormat/>
    <w:uiPriority w:val="0"/>
    <w:pPr>
      <w:jc w:val="center"/>
    </w:pPr>
    <w:rPr>
      <w:rFonts w:ascii="仿宋_GB2312" w:eastAsia="仿宋_GB2312"/>
      <w:b/>
      <w:bCs/>
      <w:sz w:val="28"/>
      <w:szCs w:val="20"/>
    </w:rPr>
  </w:style>
  <w:style w:type="paragraph" w:styleId="38">
    <w:name w:val="toc 6"/>
    <w:basedOn w:val="1"/>
    <w:next w:val="1"/>
    <w:semiHidden/>
    <w:qFormat/>
    <w:uiPriority w:val="0"/>
    <w:pPr>
      <w:ind w:left="1050"/>
      <w:jc w:val="left"/>
    </w:pPr>
    <w:rPr>
      <w:szCs w:val="21"/>
    </w:rPr>
  </w:style>
  <w:style w:type="paragraph" w:styleId="39">
    <w:name w:val="Body Text Indent 3"/>
    <w:basedOn w:val="1"/>
    <w:link w:val="98"/>
    <w:qFormat/>
    <w:uiPriority w:val="0"/>
    <w:pPr>
      <w:ind w:firstLine="645"/>
    </w:pPr>
    <w:rPr>
      <w:rFonts w:ascii="仿宋_GB2312" w:hAnsi="Arial" w:eastAsia="仿宋_GB2312"/>
      <w:color w:val="000000"/>
      <w:sz w:val="30"/>
      <w:szCs w:val="20"/>
    </w:rPr>
  </w:style>
  <w:style w:type="paragraph" w:styleId="40">
    <w:name w:val="index 7"/>
    <w:basedOn w:val="1"/>
    <w:next w:val="1"/>
    <w:semiHidden/>
    <w:qFormat/>
    <w:uiPriority w:val="0"/>
    <w:pPr>
      <w:ind w:left="1200" w:leftChars="1200"/>
    </w:pPr>
    <w:rPr>
      <w:szCs w:val="20"/>
    </w:rPr>
  </w:style>
  <w:style w:type="paragraph" w:styleId="41">
    <w:name w:val="index 9"/>
    <w:basedOn w:val="1"/>
    <w:next w:val="1"/>
    <w:semiHidden/>
    <w:qFormat/>
    <w:uiPriority w:val="0"/>
    <w:pPr>
      <w:ind w:left="1600" w:leftChars="1600"/>
    </w:pPr>
    <w:rPr>
      <w:szCs w:val="20"/>
    </w:rPr>
  </w:style>
  <w:style w:type="paragraph" w:styleId="42">
    <w:name w:val="toc 2"/>
    <w:basedOn w:val="1"/>
    <w:next w:val="1"/>
    <w:qFormat/>
    <w:uiPriority w:val="39"/>
    <w:pPr>
      <w:tabs>
        <w:tab w:val="right" w:leader="dot" w:pos="9403"/>
      </w:tabs>
      <w:ind w:left="210"/>
      <w:jc w:val="left"/>
    </w:pPr>
    <w:rPr>
      <w:smallCaps/>
      <w:sz w:val="28"/>
      <w:szCs w:val="24"/>
    </w:rPr>
  </w:style>
  <w:style w:type="paragraph" w:styleId="43">
    <w:name w:val="toc 9"/>
    <w:basedOn w:val="1"/>
    <w:next w:val="1"/>
    <w:semiHidden/>
    <w:qFormat/>
    <w:uiPriority w:val="0"/>
    <w:pPr>
      <w:ind w:left="1680"/>
      <w:jc w:val="left"/>
    </w:pPr>
    <w:rPr>
      <w:szCs w:val="21"/>
    </w:rPr>
  </w:style>
  <w:style w:type="paragraph" w:styleId="44">
    <w:name w:val="Body Text 2"/>
    <w:basedOn w:val="1"/>
    <w:link w:val="86"/>
    <w:qFormat/>
    <w:uiPriority w:val="0"/>
    <w:rPr>
      <w:rFonts w:ascii="仿宋_GB2312" w:eastAsia="仿宋_GB2312"/>
      <w:b/>
      <w:sz w:val="24"/>
      <w:szCs w:val="20"/>
    </w:rPr>
  </w:style>
  <w:style w:type="paragraph" w:styleId="45">
    <w:name w:val="HTML Preformatted"/>
    <w:basedOn w:val="1"/>
    <w:link w:val="9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46">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47">
    <w:name w:val="index 2"/>
    <w:basedOn w:val="1"/>
    <w:next w:val="1"/>
    <w:semiHidden/>
    <w:qFormat/>
    <w:uiPriority w:val="0"/>
    <w:pPr>
      <w:ind w:left="200" w:leftChars="200"/>
    </w:pPr>
    <w:rPr>
      <w:szCs w:val="20"/>
    </w:rPr>
  </w:style>
  <w:style w:type="paragraph" w:styleId="48">
    <w:name w:val="annotation subject"/>
    <w:basedOn w:val="16"/>
    <w:next w:val="16"/>
    <w:link w:val="90"/>
    <w:unhideWhenUsed/>
    <w:qFormat/>
    <w:uiPriority w:val="99"/>
    <w:rPr>
      <w:b/>
      <w:bCs/>
      <w:szCs w:val="22"/>
    </w:rPr>
  </w:style>
  <w:style w:type="paragraph" w:styleId="49">
    <w:name w:val="Body Text First Indent"/>
    <w:basedOn w:val="1"/>
    <w:link w:val="111"/>
    <w:qFormat/>
    <w:uiPriority w:val="0"/>
    <w:pPr>
      <w:autoSpaceDE w:val="0"/>
      <w:autoSpaceDN w:val="0"/>
      <w:adjustRightInd w:val="0"/>
      <w:spacing w:line="360" w:lineRule="auto"/>
      <w:ind w:right="-24" w:rightChars="-10" w:firstLine="425" w:firstLineChars="225"/>
    </w:pPr>
    <w:rPr>
      <w:rFonts w:ascii="Arial" w:hAnsi="Arial" w:eastAsia="仿宋_GB2312"/>
      <w:sz w:val="24"/>
      <w:szCs w:val="32"/>
    </w:rPr>
  </w:style>
  <w:style w:type="paragraph" w:styleId="50">
    <w:name w:val="Body Text First Indent 2"/>
    <w:basedOn w:val="20"/>
    <w:unhideWhenUsed/>
    <w:qFormat/>
    <w:uiPriority w:val="0"/>
    <w:pPr>
      <w:spacing w:after="120"/>
      <w:ind w:left="420" w:leftChars="200" w:firstLine="420" w:firstLineChars="200"/>
    </w:pPr>
    <w:rPr>
      <w:rFonts w:ascii="Times New Roman" w:cstheme="minorBidi"/>
      <w:sz w:val="21"/>
      <w:szCs w:val="22"/>
    </w:rPr>
  </w:style>
  <w:style w:type="character" w:styleId="53">
    <w:name w:val="Strong"/>
    <w:qFormat/>
    <w:uiPriority w:val="99"/>
    <w:rPr>
      <w:b/>
      <w:bCs/>
    </w:rPr>
  </w:style>
  <w:style w:type="character" w:styleId="54">
    <w:name w:val="page number"/>
    <w:qFormat/>
    <w:uiPriority w:val="99"/>
  </w:style>
  <w:style w:type="character" w:styleId="55">
    <w:name w:val="FollowedHyperlink"/>
    <w:qFormat/>
    <w:uiPriority w:val="0"/>
    <w:rPr>
      <w:color w:val="800080"/>
      <w:u w:val="single"/>
    </w:rPr>
  </w:style>
  <w:style w:type="character" w:styleId="56">
    <w:name w:val="Emphasis"/>
    <w:qFormat/>
    <w:uiPriority w:val="0"/>
    <w:rPr>
      <w:color w:val="CC0033"/>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paragraph" w:customStyle="1" w:styleId="59">
    <w:name w:val="_Style 3"/>
    <w:basedOn w:val="1"/>
    <w:qFormat/>
    <w:uiPriority w:val="0"/>
    <w:pPr>
      <w:ind w:firstLine="420" w:firstLineChars="200"/>
    </w:pPr>
  </w:style>
  <w:style w:type="paragraph" w:customStyle="1" w:styleId="60">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61">
    <w:name w:val="Char Char Char Char"/>
    <w:basedOn w:val="1"/>
    <w:qFormat/>
    <w:uiPriority w:val="0"/>
    <w:pPr>
      <w:widowControl/>
      <w:spacing w:after="160" w:line="240" w:lineRule="exact"/>
      <w:jc w:val="left"/>
    </w:pPr>
    <w:rPr>
      <w:kern w:val="0"/>
      <w:sz w:val="24"/>
      <w:szCs w:val="24"/>
    </w:rPr>
  </w:style>
  <w:style w:type="paragraph" w:customStyle="1" w:styleId="62">
    <w:name w:val="样式1"/>
    <w:basedOn w:val="1"/>
    <w:link w:val="101"/>
    <w:qFormat/>
    <w:uiPriority w:val="0"/>
    <w:pPr>
      <w:numPr>
        <w:ilvl w:val="0"/>
        <w:numId w:val="1"/>
      </w:numPr>
      <w:adjustRightInd w:val="0"/>
      <w:textAlignment w:val="baseline"/>
    </w:pPr>
    <w:rPr>
      <w:rFonts w:ascii="宋体" w:hAnsi="宋体"/>
      <w:kern w:val="0"/>
      <w:szCs w:val="20"/>
    </w:rPr>
  </w:style>
  <w:style w:type="paragraph" w:customStyle="1" w:styleId="63">
    <w:name w:val="一级标题"/>
    <w:basedOn w:val="1"/>
    <w:next w:val="64"/>
    <w:qFormat/>
    <w:uiPriority w:val="0"/>
    <w:pPr>
      <w:numPr>
        <w:ilvl w:val="2"/>
        <w:numId w:val="2"/>
      </w:numPr>
      <w:tabs>
        <w:tab w:val="left" w:pos="425"/>
      </w:tabs>
      <w:spacing w:afterLines="100"/>
      <w:ind w:left="850" w:hanging="425"/>
      <w:outlineLvl w:val="0"/>
    </w:pPr>
    <w:rPr>
      <w:rFonts w:ascii="黑体" w:eastAsia="黑体"/>
      <w:sz w:val="30"/>
      <w:szCs w:val="28"/>
    </w:rPr>
  </w:style>
  <w:style w:type="paragraph" w:customStyle="1" w:styleId="64">
    <w:name w:val="二级标题"/>
    <w:basedOn w:val="1"/>
    <w:next w:val="65"/>
    <w:qFormat/>
    <w:uiPriority w:val="0"/>
    <w:pPr>
      <w:numPr>
        <w:ilvl w:val="0"/>
        <w:numId w:val="2"/>
      </w:numPr>
      <w:tabs>
        <w:tab w:val="left" w:pos="992"/>
        <w:tab w:val="clear" w:pos="425"/>
      </w:tabs>
      <w:ind w:left="992" w:hanging="567"/>
      <w:outlineLvl w:val="1"/>
    </w:pPr>
    <w:rPr>
      <w:rFonts w:ascii="黑体" w:eastAsia="黑体"/>
      <w:sz w:val="28"/>
      <w:szCs w:val="24"/>
    </w:rPr>
  </w:style>
  <w:style w:type="paragraph" w:customStyle="1" w:styleId="65">
    <w:name w:val="文章正文"/>
    <w:basedOn w:val="1"/>
    <w:qFormat/>
    <w:uiPriority w:val="0"/>
    <w:pPr>
      <w:numPr>
        <w:ilvl w:val="1"/>
        <w:numId w:val="2"/>
      </w:numPr>
      <w:spacing w:beforeLines="50" w:afterLines="50" w:line="320" w:lineRule="exact"/>
      <w:ind w:left="0" w:firstLine="200" w:firstLineChars="200"/>
    </w:pPr>
    <w:rPr>
      <w:rFonts w:ascii="仿宋_GB2312" w:eastAsia="仿宋_GB2312"/>
      <w:sz w:val="28"/>
      <w:szCs w:val="24"/>
    </w:rPr>
  </w:style>
  <w:style w:type="paragraph" w:customStyle="1" w:styleId="66">
    <w:name w:val="基本文字 Char"/>
    <w:basedOn w:val="1"/>
    <w:qFormat/>
    <w:uiPriority w:val="0"/>
    <w:pPr>
      <w:spacing w:before="156" w:line="400" w:lineRule="atLeast"/>
      <w:ind w:firstLine="540" w:firstLineChars="225"/>
    </w:pPr>
    <w:rPr>
      <w:sz w:val="24"/>
      <w:szCs w:val="20"/>
    </w:rPr>
  </w:style>
  <w:style w:type="paragraph" w:customStyle="1" w:styleId="67">
    <w:name w:val="D&amp;L"/>
    <w:basedOn w:val="33"/>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68">
    <w:name w:val="Char"/>
    <w:basedOn w:val="1"/>
    <w:qFormat/>
    <w:uiPriority w:val="0"/>
    <w:rPr>
      <w:rFonts w:ascii="Tahoma" w:hAnsi="Tahoma"/>
      <w:sz w:val="24"/>
      <w:szCs w:val="20"/>
    </w:rPr>
  </w:style>
  <w:style w:type="paragraph" w:customStyle="1" w:styleId="69">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0">
    <w:name w:val="Char Char Char Char Char Char Char1 Char"/>
    <w:basedOn w:val="1"/>
    <w:qFormat/>
    <w:uiPriority w:val="0"/>
    <w:rPr>
      <w:rFonts w:ascii="Tahoma" w:hAnsi="Tahoma"/>
      <w:sz w:val="24"/>
      <w:szCs w:val="20"/>
    </w:rPr>
  </w:style>
  <w:style w:type="paragraph" w:customStyle="1" w:styleId="7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72">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73">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74">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75">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6">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7">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8">
    <w:name w:val="font6"/>
    <w:basedOn w:val="1"/>
    <w:qFormat/>
    <w:uiPriority w:val="99"/>
    <w:pPr>
      <w:widowControl/>
      <w:spacing w:before="100" w:beforeAutospacing="1" w:after="100" w:afterAutospacing="1"/>
      <w:jc w:val="left"/>
    </w:pPr>
    <w:rPr>
      <w:rFonts w:hint="eastAsia" w:ascii="宋体" w:hAnsi="宋体"/>
      <w:kern w:val="0"/>
      <w:sz w:val="18"/>
      <w:szCs w:val="18"/>
    </w:rPr>
  </w:style>
  <w:style w:type="paragraph" w:styleId="79">
    <w:name w:val="List Paragraph"/>
    <w:basedOn w:val="1"/>
    <w:qFormat/>
    <w:uiPriority w:val="0"/>
    <w:pPr>
      <w:ind w:firstLine="420" w:firstLineChars="200"/>
    </w:pPr>
  </w:style>
  <w:style w:type="paragraph" w:customStyle="1" w:styleId="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8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82">
    <w:name w:val="p0"/>
    <w:basedOn w:val="1"/>
    <w:qFormat/>
    <w:uiPriority w:val="0"/>
    <w:pPr>
      <w:widowControl/>
    </w:pPr>
    <w:rPr>
      <w:kern w:val="0"/>
      <w:szCs w:val="21"/>
    </w:rPr>
  </w:style>
  <w:style w:type="paragraph" w:customStyle="1" w:styleId="83">
    <w:name w:val="SUR-需求定义-第4级"/>
    <w:basedOn w:val="5"/>
    <w:next w:val="1"/>
    <w:qFormat/>
    <w:uiPriority w:val="0"/>
    <w:pPr>
      <w:numPr>
        <w:ilvl w:val="3"/>
        <w:numId w:val="3"/>
      </w:numPr>
      <w:tabs>
        <w:tab w:val="left" w:pos="1080"/>
        <w:tab w:val="clear" w:pos="2934"/>
      </w:tabs>
      <w:spacing w:before="0" w:after="0"/>
      <w:ind w:left="-283" w:firstLine="283"/>
      <w:jc w:val="left"/>
    </w:pPr>
    <w:rPr>
      <w:rFonts w:cs="Arial"/>
      <w:b w:val="0"/>
      <w:color w:val="0000FF"/>
      <w:sz w:val="24"/>
      <w:szCs w:val="24"/>
    </w:rPr>
  </w:style>
  <w:style w:type="paragraph" w:customStyle="1" w:styleId="84">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5">
    <w:name w:val="日期 Char"/>
    <w:link w:val="29"/>
    <w:qFormat/>
    <w:uiPriority w:val="0"/>
    <w:rPr>
      <w:rFonts w:ascii="Times New Roman" w:hAnsi="Times New Roman"/>
      <w:b/>
      <w:kern w:val="2"/>
      <w:sz w:val="28"/>
    </w:rPr>
  </w:style>
  <w:style w:type="character" w:customStyle="1" w:styleId="86">
    <w:name w:val="正文文本 2 Char"/>
    <w:link w:val="44"/>
    <w:qFormat/>
    <w:uiPriority w:val="0"/>
    <w:rPr>
      <w:rFonts w:ascii="仿宋_GB2312" w:hAnsi="Times New Roman" w:eastAsia="仿宋_GB2312"/>
      <w:b/>
      <w:kern w:val="2"/>
      <w:sz w:val="24"/>
    </w:rPr>
  </w:style>
  <w:style w:type="character" w:customStyle="1" w:styleId="87">
    <w:name w:val="正文文本缩进 2 Char"/>
    <w:link w:val="30"/>
    <w:qFormat/>
    <w:uiPriority w:val="0"/>
    <w:rPr>
      <w:rFonts w:ascii="Arial" w:hAnsi="Arial" w:eastAsia="仿宋_GB2312"/>
      <w:kern w:val="2"/>
      <w:sz w:val="32"/>
    </w:rPr>
  </w:style>
  <w:style w:type="character" w:customStyle="1" w:styleId="88">
    <w:name w:val="Char Char1"/>
    <w:qFormat/>
    <w:uiPriority w:val="99"/>
    <w:rPr>
      <w:rFonts w:cs="Times New Roman"/>
      <w:kern w:val="2"/>
      <w:sz w:val="18"/>
      <w:szCs w:val="18"/>
    </w:rPr>
  </w:style>
  <w:style w:type="character" w:customStyle="1" w:styleId="89">
    <w:name w:val="正文文本缩进 Char"/>
    <w:link w:val="20"/>
    <w:qFormat/>
    <w:uiPriority w:val="0"/>
    <w:rPr>
      <w:rFonts w:ascii="楷体_GB2312" w:hAnsi="Times New Roman" w:eastAsia="楷体_GB2312"/>
      <w:kern w:val="2"/>
      <w:sz w:val="32"/>
    </w:rPr>
  </w:style>
  <w:style w:type="character" w:customStyle="1" w:styleId="90">
    <w:name w:val="批注主题 Char"/>
    <w:link w:val="48"/>
    <w:semiHidden/>
    <w:qFormat/>
    <w:uiPriority w:val="99"/>
    <w:rPr>
      <w:rFonts w:ascii="Times New Roman" w:hAnsi="Times New Roman"/>
      <w:b/>
      <w:bCs/>
      <w:kern w:val="2"/>
      <w:sz w:val="21"/>
      <w:szCs w:val="22"/>
    </w:rPr>
  </w:style>
  <w:style w:type="character" w:customStyle="1" w:styleId="91">
    <w:name w:val="HTML 预设格式 Char"/>
    <w:link w:val="45"/>
    <w:qFormat/>
    <w:uiPriority w:val="0"/>
    <w:rPr>
      <w:rFonts w:ascii="Arial" w:hAnsi="Arial"/>
      <w:sz w:val="24"/>
      <w:szCs w:val="24"/>
    </w:rPr>
  </w:style>
  <w:style w:type="character" w:customStyle="1" w:styleId="92">
    <w:name w:val="纯文本 Char1"/>
    <w:link w:val="26"/>
    <w:qFormat/>
    <w:locked/>
    <w:uiPriority w:val="0"/>
    <w:rPr>
      <w:rFonts w:ascii="宋体" w:hAnsi="Courier New"/>
      <w:kern w:val="2"/>
      <w:sz w:val="21"/>
    </w:rPr>
  </w:style>
  <w:style w:type="character" w:customStyle="1" w:styleId="93">
    <w:name w:val="页脚 Char"/>
    <w:link w:val="32"/>
    <w:qFormat/>
    <w:uiPriority w:val="99"/>
    <w:rPr>
      <w:rFonts w:ascii="Times New Roman" w:hAnsi="Times New Roman"/>
      <w:kern w:val="2"/>
      <w:sz w:val="18"/>
    </w:rPr>
  </w:style>
  <w:style w:type="character" w:customStyle="1" w:styleId="94">
    <w:name w:val="标题 7 Char"/>
    <w:link w:val="8"/>
    <w:qFormat/>
    <w:uiPriority w:val="0"/>
    <w:rPr>
      <w:rFonts w:ascii="Arial" w:hAnsi="Arial" w:eastAsia="仿宋_GB2312" w:cs="Arial"/>
      <w:b/>
      <w:bCs/>
      <w:spacing w:val="-4"/>
      <w:kern w:val="2"/>
      <w:sz w:val="24"/>
      <w:szCs w:val="24"/>
    </w:rPr>
  </w:style>
  <w:style w:type="character" w:customStyle="1" w:styleId="95">
    <w:name w:val="标题 6 Char"/>
    <w:link w:val="7"/>
    <w:qFormat/>
    <w:uiPriority w:val="0"/>
    <w:rPr>
      <w:rFonts w:ascii="宋体" w:hAnsi="宋体"/>
      <w:sz w:val="28"/>
    </w:rPr>
  </w:style>
  <w:style w:type="character" w:customStyle="1" w:styleId="96">
    <w:name w:val="标题 5 Char"/>
    <w:link w:val="6"/>
    <w:qFormat/>
    <w:uiPriority w:val="0"/>
    <w:rPr>
      <w:rFonts w:ascii="宋体" w:hAnsi="Arial"/>
      <w:bCs/>
      <w:kern w:val="2"/>
      <w:sz w:val="28"/>
    </w:rPr>
  </w:style>
  <w:style w:type="character" w:customStyle="1" w:styleId="97">
    <w:name w:val="标题 4 Char"/>
    <w:link w:val="5"/>
    <w:qFormat/>
    <w:uiPriority w:val="0"/>
    <w:rPr>
      <w:rFonts w:ascii="Arial" w:hAnsi="Arial" w:eastAsia="黑体"/>
      <w:b/>
      <w:bCs/>
      <w:kern w:val="2"/>
      <w:sz w:val="28"/>
      <w:szCs w:val="28"/>
    </w:rPr>
  </w:style>
  <w:style w:type="character" w:customStyle="1" w:styleId="98">
    <w:name w:val="正文文本缩进 3 Char"/>
    <w:link w:val="39"/>
    <w:qFormat/>
    <w:uiPriority w:val="0"/>
    <w:rPr>
      <w:rFonts w:ascii="仿宋_GB2312" w:hAnsi="Arial" w:eastAsia="仿宋_GB2312"/>
      <w:color w:val="000000"/>
      <w:kern w:val="2"/>
      <w:sz w:val="30"/>
    </w:rPr>
  </w:style>
  <w:style w:type="character" w:customStyle="1" w:styleId="99">
    <w:name w:val="正文文本 Char"/>
    <w:link w:val="19"/>
    <w:qFormat/>
    <w:uiPriority w:val="0"/>
    <w:rPr>
      <w:rFonts w:ascii="宋体" w:hAnsi="Arial"/>
      <w:kern w:val="2"/>
      <w:sz w:val="28"/>
    </w:rPr>
  </w:style>
  <w:style w:type="character" w:customStyle="1" w:styleId="100">
    <w:name w:val="文档结构图 Char"/>
    <w:link w:val="14"/>
    <w:semiHidden/>
    <w:qFormat/>
    <w:uiPriority w:val="0"/>
    <w:rPr>
      <w:rFonts w:ascii="Times New Roman" w:hAnsi="Times New Roman"/>
      <w:kern w:val="2"/>
      <w:sz w:val="21"/>
      <w:shd w:val="clear" w:color="auto" w:fill="000080"/>
    </w:rPr>
  </w:style>
  <w:style w:type="character" w:customStyle="1" w:styleId="101">
    <w:name w:val="样式1 Char Char"/>
    <w:link w:val="62"/>
    <w:qFormat/>
    <w:locked/>
    <w:uiPriority w:val="0"/>
    <w:rPr>
      <w:rFonts w:ascii="宋体" w:hAnsi="宋体"/>
      <w:sz w:val="21"/>
    </w:rPr>
  </w:style>
  <w:style w:type="character" w:customStyle="1" w:styleId="102">
    <w:name w:val="批注文字 Char"/>
    <w:link w:val="16"/>
    <w:qFormat/>
    <w:uiPriority w:val="0"/>
    <w:rPr>
      <w:rFonts w:ascii="Times New Roman" w:hAnsi="Times New Roman"/>
      <w:kern w:val="2"/>
      <w:sz w:val="21"/>
    </w:rPr>
  </w:style>
  <w:style w:type="character" w:customStyle="1" w:styleId="103">
    <w:name w:val="页眉 Char"/>
    <w:link w:val="33"/>
    <w:qFormat/>
    <w:uiPriority w:val="0"/>
    <w:rPr>
      <w:rFonts w:ascii="Times New Roman" w:hAnsi="Times New Roman"/>
      <w:kern w:val="2"/>
      <w:sz w:val="18"/>
    </w:rPr>
  </w:style>
  <w:style w:type="character" w:customStyle="1" w:styleId="104">
    <w:name w:val="正文文本 3 Char"/>
    <w:link w:val="18"/>
    <w:qFormat/>
    <w:uiPriority w:val="0"/>
    <w:rPr>
      <w:rFonts w:ascii="黑体" w:hAnsi="Arial" w:eastAsia="黑体"/>
      <w:b/>
      <w:kern w:val="2"/>
      <w:sz w:val="28"/>
    </w:rPr>
  </w:style>
  <w:style w:type="character" w:customStyle="1" w:styleId="105">
    <w:name w:val="标题 1 Char"/>
    <w:link w:val="2"/>
    <w:qFormat/>
    <w:uiPriority w:val="99"/>
    <w:rPr>
      <w:rFonts w:ascii="Times New Roman" w:hAnsi="Times New Roman"/>
      <w:b/>
      <w:bCs/>
      <w:kern w:val="44"/>
      <w:sz w:val="30"/>
      <w:szCs w:val="44"/>
    </w:rPr>
  </w:style>
  <w:style w:type="character" w:customStyle="1" w:styleId="106">
    <w:name w:val="Char Char"/>
    <w:qFormat/>
    <w:uiPriority w:val="99"/>
    <w:rPr>
      <w:rFonts w:cs="Times New Roman"/>
      <w:kern w:val="2"/>
      <w:sz w:val="18"/>
      <w:szCs w:val="18"/>
    </w:rPr>
  </w:style>
  <w:style w:type="character" w:customStyle="1" w:styleId="107">
    <w:name w:val="HTML 预设格式 Char1"/>
    <w:semiHidden/>
    <w:qFormat/>
    <w:uiPriority w:val="99"/>
    <w:rPr>
      <w:rFonts w:ascii="Courier New" w:hAnsi="Courier New" w:cs="Courier New"/>
      <w:kern w:val="2"/>
    </w:rPr>
  </w:style>
  <w:style w:type="character" w:customStyle="1" w:styleId="108">
    <w:name w:val="标题 3 Char"/>
    <w:link w:val="4"/>
    <w:qFormat/>
    <w:uiPriority w:val="0"/>
    <w:rPr>
      <w:rFonts w:ascii="宋体" w:hAnsi="Times New Roman"/>
      <w:b/>
      <w:bCs/>
      <w:kern w:val="2"/>
      <w:sz w:val="32"/>
      <w:szCs w:val="32"/>
    </w:rPr>
  </w:style>
  <w:style w:type="character" w:customStyle="1" w:styleId="109">
    <w:name w:val="标题 2 Char"/>
    <w:link w:val="3"/>
    <w:qFormat/>
    <w:uiPriority w:val="99"/>
    <w:rPr>
      <w:rFonts w:ascii="Arial" w:hAnsi="Arial" w:eastAsia="黑体"/>
      <w:b/>
      <w:bCs/>
      <w:kern w:val="2"/>
      <w:sz w:val="32"/>
      <w:szCs w:val="32"/>
    </w:rPr>
  </w:style>
  <w:style w:type="character" w:customStyle="1" w:styleId="110">
    <w:name w:val="批注框文本 Char"/>
    <w:link w:val="31"/>
    <w:semiHidden/>
    <w:qFormat/>
    <w:uiPriority w:val="99"/>
    <w:rPr>
      <w:rFonts w:ascii="Times New Roman" w:hAnsi="Times New Roman"/>
      <w:kern w:val="2"/>
      <w:sz w:val="18"/>
      <w:szCs w:val="18"/>
    </w:rPr>
  </w:style>
  <w:style w:type="character" w:customStyle="1" w:styleId="111">
    <w:name w:val="正文首行缩进 Char"/>
    <w:link w:val="49"/>
    <w:qFormat/>
    <w:uiPriority w:val="0"/>
    <w:rPr>
      <w:rFonts w:ascii="Arial" w:hAnsi="Arial" w:eastAsia="仿宋_GB2312" w:cs="Arial"/>
      <w:kern w:val="2"/>
      <w:sz w:val="24"/>
      <w:szCs w:val="32"/>
    </w:rPr>
  </w:style>
  <w:style w:type="character" w:customStyle="1" w:styleId="112">
    <w:name w:val="纯文本 Char"/>
    <w:semiHidden/>
    <w:qFormat/>
    <w:uiPriority w:val="99"/>
    <w:rPr>
      <w:rFonts w:ascii="宋体" w:hAnsi="Courier New" w:cs="Courier New"/>
      <w:kern w:val="2"/>
      <w:sz w:val="21"/>
      <w:szCs w:val="21"/>
    </w:rPr>
  </w:style>
  <w:style w:type="paragraph" w:customStyle="1" w:styleId="113">
    <w:name w:val="列出段落1"/>
    <w:basedOn w:val="1"/>
    <w:qFormat/>
    <w:uiPriority w:val="0"/>
    <w:pPr>
      <w:ind w:firstLine="420" w:firstLineChars="200"/>
    </w:pPr>
  </w:style>
  <w:style w:type="paragraph" w:customStyle="1" w:styleId="114">
    <w:name w:val="Normal_1"/>
    <w:qFormat/>
    <w:uiPriority w:val="0"/>
    <w:rPr>
      <w:rFonts w:ascii="Times New Roman" w:hAnsi="Times New Roman" w:eastAsia="Times New Roman" w:cs="Times New Roman"/>
      <w:sz w:val="24"/>
      <w:szCs w:val="24"/>
      <w:lang w:val="en-US" w:eastAsia="zh-CN" w:bidi="ar-SA"/>
    </w:rPr>
  </w:style>
  <w:style w:type="paragraph" w:customStyle="1" w:styleId="115">
    <w:name w:val="PlainText"/>
    <w:basedOn w:val="1"/>
    <w:qFormat/>
    <w:uiPriority w:val="0"/>
    <w:pPr>
      <w:spacing w:line="580" w:lineRule="exact"/>
      <w:ind w:right="-197" w:firstLine="560" w:firstLineChars="200"/>
      <w:textAlignment w:val="baseline"/>
    </w:pPr>
    <w:rPr>
      <w:rFonts w:ascii="黑体" w:hAnsi="Courier New" w:eastAsia="黑体"/>
      <w:sz w:val="28"/>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C8D7B-C913-4948-A320-742049C803C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41</Pages>
  <Words>3456</Words>
  <Characters>19701</Characters>
  <Lines>164</Lines>
  <Paragraphs>46</Paragraphs>
  <TotalTime>15</TotalTime>
  <ScaleCrop>false</ScaleCrop>
  <LinksUpToDate>false</LinksUpToDate>
  <CharactersWithSpaces>23111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2020-10-27T00:59:00Z</dcterms:created>
  <dc:creator>越友中</dc:creator>
  <cp:lastModifiedBy>耶！</cp:lastModifiedBy>
  <cp:lastPrinted>2023-11-22T07:23:00Z</cp:lastPrinted>
  <dcterms:modified xsi:type="dcterms:W3CDTF">2023-11-22T07:32:38Z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72AE0BC09C6843F5A731EB1FE7EB116A_13</vt:lpwstr>
  </property>
</Properties>
</file>